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02_PLAN_WISE_2026\02_INDUSTRY3_0\07_Lifecycle\01_Concept\08_Preliminary_BOM - Preliminary BOM</w:t>
      </w:r>
    </w:p>
    <w:p>
      <w:pPr>
        <w:pStyle w:val="Heading2"/>
      </w:pPr>
      <w:r>
        <w:t>1. Purpose of a preliminary bill of materials</w:t>
      </w:r>
    </w:p>
    <w:p>
      <w:r>
        <w:t>A preliminary Bill of Materials (BOM) is an early-stage list of the major equipment, components, materials, software, accessories, and services expected to be required for an automation project.</w:t>
      </w:r>
    </w:p>
    <w:p>
      <w:r>
        <w:t>It is developed after the initial concept, automation architecture, and technology selection. It provides the first structured view of what must be purchased, reused, fabricated, configured, or supplied to implement the proposed system.</w:t>
      </w:r>
    </w:p>
    <w:p>
      <w:r>
        <w:t>A preliminary BOM is not necessarily the final procurement list. Some quantities, part numbers, cable lengths, accessories, and detailed specifications may remain provisional until detailed engineering is completed.</w:t>
      </w:r>
    </w:p>
    <w:p>
      <w:r>
        <w:t>The primary objectives are to:</w:t>
      </w:r>
    </w:p>
    <w:p>
      <w:pPr>
        <w:pStyle w:val="ListBullet"/>
      </w:pPr>
      <w:r>
        <w:t>Identify major equipment required for the proposed solution.</w:t>
      </w:r>
    </w:p>
    <w:p>
      <w:pPr>
        <w:pStyle w:val="ListBullet"/>
      </w:pPr>
      <w:r>
        <w:t>Estimate quantities and identify likely product families.</w:t>
      </w:r>
    </w:p>
    <w:p>
      <w:pPr>
        <w:pStyle w:val="ListBullet"/>
      </w:pPr>
      <w:r>
        <w:t>Distinguish new purchases from reusable equipment.</w:t>
      </w:r>
    </w:p>
    <w:p>
      <w:pPr>
        <w:pStyle w:val="ListBullet"/>
      </w:pPr>
      <w:r>
        <w:t>Identify missing accessories and interface components.</w:t>
      </w:r>
    </w:p>
    <w:p>
      <w:pPr>
        <w:pStyle w:val="ListBullet"/>
      </w:pPr>
      <w:r>
        <w:t>Provide structured input for project costing.</w:t>
      </w:r>
    </w:p>
    <w:p>
      <w:pPr>
        <w:pStyle w:val="ListBullet"/>
      </w:pPr>
      <w:r>
        <w:t>Identify long-lead, obsolete, or difficult-to-source items.</w:t>
      </w:r>
    </w:p>
    <w:p>
      <w:pPr>
        <w:pStyle w:val="ListBullet"/>
      </w:pPr>
      <w:r>
        <w:t>Establish a baseline for detailed engineering and procurement.</w:t>
      </w:r>
    </w:p>
    <w:p>
      <w:pPr>
        <w:pStyle w:val="ListBullet"/>
      </w:pPr>
      <w:r>
        <w:t>Reduce the risk of omissions during installation and commissioning.</w:t>
      </w:r>
    </w:p>
    <w:p>
      <w:r>
        <w:t>For industrial automation, an incomplete BOM can create problems far beyond purchasing. A missing communication module, connector, safety relay, memory card, license, or programming cable can delay commissioning even when the main equipment has arrived.</w:t>
      </w:r>
    </w:p>
    <w:p>
      <w:pPr>
        <w:pStyle w:val="Heading2"/>
      </w:pPr>
      <w:r>
        <w:t>2. Position in the project lifecycle</w:t>
      </w:r>
    </w:p>
    <w:p>
      <w:pPr>
        <w:shd w:val="clear" w:color="auto" w:fill="F4F4F4"/>
        <w:spacing w:before="0" w:after="0" w:line="240" w:lineRule="auto"/>
        <w:ind w:left="216" w:right="216"/>
        <w:jc w:val="left"/>
      </w:pPr>
      <w:r>
        <w:rPr>
          <w:rFonts w:ascii="Consolas" w:hAnsi="Consolas"/>
          <w:color w:val="202020"/>
          <w:sz w:val="18"/>
        </w:rPr>
        <w:t>Customer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study and site survey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Existing-system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Concept development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Automation architecture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Technology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Preliminary BOM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Detailed engineering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Detailed BOM and procurement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Manufacturing, installation, and integration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FAT, SAT, commissioning, and handover</w:t>
      </w:r>
    </w:p>
    <w:p/>
    <w:p>
      <w:r>
        <w:t>The sequence can overlap in real projects. Costing may identify an unaffordable component, for example, and force a review of the technology selection or concept.</w:t>
      </w:r>
    </w:p>
    <w:p>
      <w:r>
        <w:t>The preliminary BOM should therefore be treated as a controlled engineering estimate, not as an unchangeable shopping list.</w:t>
      </w:r>
    </w:p>
    <w:p>
      <w:pPr>
        <w:pStyle w:val="Heading2"/>
      </w:pPr>
      <w:r>
        <w:t>3. Preliminary BOM versus other BOM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BOM type</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level of detail</w:t>
            </w:r>
          </w:p>
        </w:tc>
      </w:tr>
      <w:tr>
        <w:tc>
          <w:tcPr>
            <w:tcW w:type="dxa" w:w="3600"/>
          </w:tcPr>
          <w:p>
            <w:pPr>
              <w:spacing w:after="0" w:before="0" w:line="240" w:lineRule="auto"/>
              <w:jc w:val="left"/>
            </w:pPr>
            <w:r>
              <w:t>Preliminary BOM</w:t>
            </w:r>
          </w:p>
        </w:tc>
        <w:tc>
          <w:tcPr>
            <w:tcW w:type="dxa" w:w="3600"/>
          </w:tcPr>
          <w:p>
            <w:pPr>
              <w:spacing w:after="0" w:before="0" w:line="240" w:lineRule="auto"/>
              <w:jc w:val="left"/>
            </w:pPr>
            <w:r>
              <w:t>Early feasibility and cost estimation</w:t>
            </w:r>
          </w:p>
        </w:tc>
        <w:tc>
          <w:tcPr>
            <w:tcW w:type="dxa" w:w="3600"/>
          </w:tcPr>
          <w:p>
            <w:pPr>
              <w:spacing w:after="0" w:before="0" w:line="240" w:lineRule="auto"/>
              <w:jc w:val="left"/>
            </w:pPr>
            <w:r>
              <w:t>Major components, estimated quantities, provisional models</w:t>
            </w:r>
          </w:p>
        </w:tc>
      </w:tr>
      <w:tr>
        <w:tc>
          <w:tcPr>
            <w:tcW w:type="dxa" w:w="3600"/>
          </w:tcPr>
          <w:p>
            <w:pPr>
              <w:spacing w:after="0" w:before="0" w:line="240" w:lineRule="auto"/>
              <w:jc w:val="left"/>
            </w:pPr>
            <w:r>
              <w:t>Engineering BOM</w:t>
            </w:r>
          </w:p>
        </w:tc>
        <w:tc>
          <w:tcPr>
            <w:tcW w:type="dxa" w:w="3600"/>
          </w:tcPr>
          <w:p>
            <w:pPr>
              <w:spacing w:after="0" w:before="0" w:line="240" w:lineRule="auto"/>
              <w:jc w:val="left"/>
            </w:pPr>
            <w:r>
              <w:t>Defines the engineered system</w:t>
            </w:r>
          </w:p>
        </w:tc>
        <w:tc>
          <w:tcPr>
            <w:tcW w:type="dxa" w:w="3600"/>
          </w:tcPr>
          <w:p>
            <w:pPr>
              <w:spacing w:after="0" w:before="0" w:line="240" w:lineRule="auto"/>
              <w:jc w:val="left"/>
            </w:pPr>
            <w:r>
              <w:t>Approved parts, quantities, assemblies, and technical specifications</w:t>
            </w:r>
          </w:p>
        </w:tc>
      </w:tr>
      <w:tr>
        <w:tc>
          <w:tcPr>
            <w:tcW w:type="dxa" w:w="3600"/>
          </w:tcPr>
          <w:p>
            <w:pPr>
              <w:spacing w:after="0" w:before="0" w:line="240" w:lineRule="auto"/>
              <w:jc w:val="left"/>
            </w:pPr>
            <w:r>
              <w:t>Manufacturing BOM</w:t>
            </w:r>
          </w:p>
        </w:tc>
        <w:tc>
          <w:tcPr>
            <w:tcW w:type="dxa" w:w="3600"/>
          </w:tcPr>
          <w:p>
            <w:pPr>
              <w:spacing w:after="0" w:before="0" w:line="240" w:lineRule="auto"/>
              <w:jc w:val="left"/>
            </w:pPr>
            <w:r>
              <w:t>Defines materials required to manufacture an assembly</w:t>
            </w:r>
          </w:p>
        </w:tc>
        <w:tc>
          <w:tcPr>
            <w:tcW w:type="dxa" w:w="3600"/>
          </w:tcPr>
          <w:p>
            <w:pPr>
              <w:spacing w:after="0" w:before="0" w:line="240" w:lineRule="auto"/>
              <w:jc w:val="left"/>
            </w:pPr>
            <w:r>
              <w:t>Components organized by manufacturing or assembly structure</w:t>
            </w:r>
          </w:p>
        </w:tc>
      </w:tr>
      <w:tr>
        <w:tc>
          <w:tcPr>
            <w:tcW w:type="dxa" w:w="3600"/>
          </w:tcPr>
          <w:p>
            <w:pPr>
              <w:spacing w:after="0" w:before="0" w:line="240" w:lineRule="auto"/>
              <w:jc w:val="left"/>
            </w:pPr>
            <w:r>
              <w:t>Electrical BOM</w:t>
            </w:r>
          </w:p>
        </w:tc>
        <w:tc>
          <w:tcPr>
            <w:tcW w:type="dxa" w:w="3600"/>
          </w:tcPr>
          <w:p>
            <w:pPr>
              <w:spacing w:after="0" w:before="0" w:line="240" w:lineRule="auto"/>
              <w:jc w:val="left"/>
            </w:pPr>
            <w:r>
              <w:t>Defines electrical and automation components</w:t>
            </w:r>
          </w:p>
        </w:tc>
        <w:tc>
          <w:tcPr>
            <w:tcW w:type="dxa" w:w="3600"/>
          </w:tcPr>
          <w:p>
            <w:pPr>
              <w:spacing w:after="0" w:before="0" w:line="240" w:lineRule="auto"/>
              <w:jc w:val="left"/>
            </w:pPr>
            <w:r>
              <w:t>PLCs, I/O, drives, protection, terminals, wiring accessories</w:t>
            </w:r>
          </w:p>
        </w:tc>
      </w:tr>
      <w:tr>
        <w:tc>
          <w:tcPr>
            <w:tcW w:type="dxa" w:w="3600"/>
          </w:tcPr>
          <w:p>
            <w:pPr>
              <w:spacing w:after="0" w:before="0" w:line="240" w:lineRule="auto"/>
              <w:jc w:val="left"/>
            </w:pPr>
            <w:r>
              <w:t>Mechanical BOM</w:t>
            </w:r>
          </w:p>
        </w:tc>
        <w:tc>
          <w:tcPr>
            <w:tcW w:type="dxa" w:w="3600"/>
          </w:tcPr>
          <w:p>
            <w:pPr>
              <w:spacing w:after="0" w:before="0" w:line="240" w:lineRule="auto"/>
              <w:jc w:val="left"/>
            </w:pPr>
            <w:r>
              <w:t>Defines mechanical assemblies and components</w:t>
            </w:r>
          </w:p>
        </w:tc>
        <w:tc>
          <w:tcPr>
            <w:tcW w:type="dxa" w:w="3600"/>
          </w:tcPr>
          <w:p>
            <w:pPr>
              <w:spacing w:after="0" w:before="0" w:line="240" w:lineRule="auto"/>
              <w:jc w:val="left"/>
            </w:pPr>
            <w:r>
              <w:t>Frames, brackets, actuators, fixtures, fasteners</w:t>
            </w:r>
          </w:p>
        </w:tc>
      </w:tr>
      <w:tr>
        <w:tc>
          <w:tcPr>
            <w:tcW w:type="dxa" w:w="3600"/>
          </w:tcPr>
          <w:p>
            <w:pPr>
              <w:spacing w:after="0" w:before="0" w:line="240" w:lineRule="auto"/>
              <w:jc w:val="left"/>
            </w:pPr>
            <w:r>
              <w:t>Procurement BOM</w:t>
            </w:r>
          </w:p>
        </w:tc>
        <w:tc>
          <w:tcPr>
            <w:tcW w:type="dxa" w:w="3600"/>
          </w:tcPr>
          <w:p>
            <w:pPr>
              <w:spacing w:after="0" w:before="0" w:line="240" w:lineRule="auto"/>
              <w:jc w:val="left"/>
            </w:pPr>
            <w:r>
              <w:t>Supports purchasing</w:t>
            </w:r>
          </w:p>
        </w:tc>
        <w:tc>
          <w:tcPr>
            <w:tcW w:type="dxa" w:w="3600"/>
          </w:tcPr>
          <w:p>
            <w:pPr>
              <w:spacing w:after="0" w:before="0" w:line="240" w:lineRule="auto"/>
              <w:jc w:val="left"/>
            </w:pPr>
            <w:r>
              <w:t>Approved ordering codes, quantities, suppliers, and purchasing details</w:t>
            </w:r>
          </w:p>
        </w:tc>
      </w:tr>
      <w:tr>
        <w:tc>
          <w:tcPr>
            <w:tcW w:type="dxa" w:w="3600"/>
          </w:tcPr>
          <w:p>
            <w:pPr>
              <w:spacing w:after="0" w:before="0" w:line="240" w:lineRule="auto"/>
              <w:jc w:val="left"/>
            </w:pPr>
            <w:r>
              <w:t>As-built BOM</w:t>
            </w:r>
          </w:p>
        </w:tc>
        <w:tc>
          <w:tcPr>
            <w:tcW w:type="dxa" w:w="3600"/>
          </w:tcPr>
          <w:p>
            <w:pPr>
              <w:spacing w:after="0" w:before="0" w:line="240" w:lineRule="auto"/>
              <w:jc w:val="left"/>
            </w:pPr>
            <w:r>
              <w:t>Records the installed final configuration</w:t>
            </w:r>
          </w:p>
        </w:tc>
        <w:tc>
          <w:tcPr>
            <w:tcW w:type="dxa" w:w="3600"/>
          </w:tcPr>
          <w:p>
            <w:pPr>
              <w:spacing w:after="0" w:before="0" w:line="240" w:lineRule="auto"/>
              <w:jc w:val="left"/>
            </w:pPr>
            <w:r>
              <w:t>Actual installed parts, revisions, substitutions, and quantities</w:t>
            </w:r>
          </w:p>
        </w:tc>
      </w:tr>
    </w:tbl>
    <w:p/>
    <w:p>
      <w:r>
        <w:t>These categories may overlap depending on the company's engineering and ERP processes. The important distinction is the purpose, maturity, and approval status of each list.</w:t>
      </w:r>
    </w:p>
    <w:p>
      <w:pPr>
        <w:pStyle w:val="Heading2"/>
      </w:pPr>
      <w:r>
        <w:t>4. Inputs required for a preliminary BOM</w:t>
      </w:r>
    </w:p>
    <w:p>
      <w:r>
        <w:t>The BOM must be derived from engineering information, not assembled by copying the parts list from a previous machine without checking the differences.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Input</w:t>
            </w:r>
          </w:p>
        </w:tc>
        <w:tc>
          <w:tcPr>
            <w:tcW w:type="dxa" w:w="5400"/>
            <w:shd w:val="clear" w:color="auto" w:fill="EEF2F7"/>
          </w:tcPr>
          <w:p>
            <w:pPr>
              <w:spacing w:after="0" w:before="0" w:line="240" w:lineRule="auto"/>
              <w:jc w:val="left"/>
            </w:pPr>
            <w:r>
              <w:rPr>
                <w:b/>
                <w:color w:val="1A2E4A"/>
              </w:rPr>
              <w:t>BOM information derived</w:t>
            </w:r>
          </w:p>
        </w:tc>
      </w:tr>
      <w:tr>
        <w:tc>
          <w:tcPr>
            <w:tcW w:type="dxa" w:w="5400"/>
          </w:tcPr>
          <w:p>
            <w:pPr>
              <w:spacing w:after="0" w:before="0" w:line="240" w:lineRule="auto"/>
              <w:jc w:val="left"/>
            </w:pPr>
            <w:r>
              <w:t>Customer requirements</w:t>
            </w:r>
          </w:p>
        </w:tc>
        <w:tc>
          <w:tcPr>
            <w:tcW w:type="dxa" w:w="5400"/>
          </w:tcPr>
          <w:p>
            <w:pPr>
              <w:spacing w:after="0" w:before="0" w:line="240" w:lineRule="auto"/>
              <w:jc w:val="left"/>
            </w:pPr>
            <w:r>
              <w:t>Required functions and major equipment</w:t>
            </w:r>
          </w:p>
        </w:tc>
      </w:tr>
      <w:tr>
        <w:tc>
          <w:tcPr>
            <w:tcW w:type="dxa" w:w="5400"/>
          </w:tcPr>
          <w:p>
            <w:pPr>
              <w:spacing w:after="0" w:before="0" w:line="240" w:lineRule="auto"/>
              <w:jc w:val="left"/>
            </w:pPr>
            <w:r>
              <w:t>Process study</w:t>
            </w:r>
          </w:p>
        </w:tc>
        <w:tc>
          <w:tcPr>
            <w:tcW w:type="dxa" w:w="5400"/>
          </w:tcPr>
          <w:p>
            <w:pPr>
              <w:spacing w:after="0" w:before="0" w:line="240" w:lineRule="auto"/>
              <w:jc w:val="left"/>
            </w:pPr>
            <w:r>
              <w:t>Stations, operations, tools, and equipment</w:t>
            </w:r>
          </w:p>
        </w:tc>
      </w:tr>
      <w:tr>
        <w:tc>
          <w:tcPr>
            <w:tcW w:type="dxa" w:w="5400"/>
          </w:tcPr>
          <w:p>
            <w:pPr>
              <w:spacing w:after="0" w:before="0" w:line="240" w:lineRule="auto"/>
              <w:jc w:val="left"/>
            </w:pPr>
            <w:r>
              <w:t>Site survey</w:t>
            </w:r>
          </w:p>
        </w:tc>
        <w:tc>
          <w:tcPr>
            <w:tcW w:type="dxa" w:w="5400"/>
          </w:tcPr>
          <w:p>
            <w:pPr>
              <w:spacing w:after="0" w:before="0" w:line="240" w:lineRule="auto"/>
              <w:jc w:val="left"/>
            </w:pPr>
            <w:r>
              <w:t>Reusable infrastructure, cable routes, panel space, utilities</w:t>
            </w:r>
          </w:p>
        </w:tc>
      </w:tr>
      <w:tr>
        <w:tc>
          <w:tcPr>
            <w:tcW w:type="dxa" w:w="5400"/>
          </w:tcPr>
          <w:p>
            <w:pPr>
              <w:spacing w:after="0" w:before="0" w:line="240" w:lineRule="auto"/>
              <w:jc w:val="left"/>
            </w:pPr>
            <w:r>
              <w:t>Existing-system assessment</w:t>
            </w:r>
          </w:p>
        </w:tc>
        <w:tc>
          <w:tcPr>
            <w:tcW w:type="dxa" w:w="5400"/>
          </w:tcPr>
          <w:p>
            <w:pPr>
              <w:spacing w:after="0" w:before="0" w:line="240" w:lineRule="auto"/>
              <w:jc w:val="left"/>
            </w:pPr>
            <w:r>
              <w:t>Existing components suitable for reuse or replacement</w:t>
            </w:r>
          </w:p>
        </w:tc>
      </w:tr>
      <w:tr>
        <w:tc>
          <w:tcPr>
            <w:tcW w:type="dxa" w:w="5400"/>
          </w:tcPr>
          <w:p>
            <w:pPr>
              <w:spacing w:after="0" w:before="0" w:line="240" w:lineRule="auto"/>
              <w:jc w:val="left"/>
            </w:pPr>
            <w:r>
              <w:t>Automation architecture</w:t>
            </w:r>
          </w:p>
        </w:tc>
        <w:tc>
          <w:tcPr>
            <w:tcW w:type="dxa" w:w="5400"/>
          </w:tcPr>
          <w:p>
            <w:pPr>
              <w:spacing w:after="0" w:before="0" w:line="240" w:lineRule="auto"/>
              <w:jc w:val="left"/>
            </w:pPr>
            <w:r>
              <w:t>Controllers, interfaces, network structure, and system boundaries</w:t>
            </w:r>
          </w:p>
        </w:tc>
      </w:tr>
      <w:tr>
        <w:tc>
          <w:tcPr>
            <w:tcW w:type="dxa" w:w="5400"/>
          </w:tcPr>
          <w:p>
            <w:pPr>
              <w:spacing w:after="0" w:before="0" w:line="240" w:lineRule="auto"/>
              <w:jc w:val="left"/>
            </w:pPr>
            <w:r>
              <w:t>Technology selection</w:t>
            </w:r>
          </w:p>
        </w:tc>
        <w:tc>
          <w:tcPr>
            <w:tcW w:type="dxa" w:w="5400"/>
          </w:tcPr>
          <w:p>
            <w:pPr>
              <w:spacing w:after="0" w:before="0" w:line="240" w:lineRule="auto"/>
              <w:jc w:val="left"/>
            </w:pPr>
            <w:r>
              <w:t>Candidate product families and technical specifications</w:t>
            </w:r>
          </w:p>
        </w:tc>
      </w:tr>
      <w:tr>
        <w:tc>
          <w:tcPr>
            <w:tcW w:type="dxa" w:w="5400"/>
          </w:tcPr>
          <w:p>
            <w:pPr>
              <w:spacing w:after="0" w:before="0" w:line="240" w:lineRule="auto"/>
              <w:jc w:val="left"/>
            </w:pPr>
            <w:r>
              <w:t>I/O estimate</w:t>
            </w:r>
          </w:p>
        </w:tc>
        <w:tc>
          <w:tcPr>
            <w:tcW w:type="dxa" w:w="5400"/>
          </w:tcPr>
          <w:p>
            <w:pPr>
              <w:spacing w:after="0" w:before="0" w:line="240" w:lineRule="auto"/>
              <w:jc w:val="left"/>
            </w:pPr>
            <w:r>
              <w:t>PLC, remote I/O, terminals, and field-device quantities</w:t>
            </w:r>
          </w:p>
        </w:tc>
      </w:tr>
      <w:tr>
        <w:tc>
          <w:tcPr>
            <w:tcW w:type="dxa" w:w="5400"/>
          </w:tcPr>
          <w:p>
            <w:pPr>
              <w:spacing w:after="0" w:before="0" w:line="240" w:lineRule="auto"/>
              <w:jc w:val="left"/>
            </w:pPr>
            <w:r>
              <w:t>Safety assessment</w:t>
            </w:r>
          </w:p>
        </w:tc>
        <w:tc>
          <w:tcPr>
            <w:tcW w:type="dxa" w:w="5400"/>
          </w:tcPr>
          <w:p>
            <w:pPr>
              <w:spacing w:after="0" w:before="0" w:line="240" w:lineRule="auto"/>
              <w:jc w:val="left"/>
            </w:pPr>
            <w:r>
              <w:t>Safety controller, relays, sensors, and final switching devices</w:t>
            </w:r>
          </w:p>
        </w:tc>
      </w:tr>
      <w:tr>
        <w:tc>
          <w:tcPr>
            <w:tcW w:type="dxa" w:w="5400"/>
          </w:tcPr>
          <w:p>
            <w:pPr>
              <w:spacing w:after="0" w:before="0" w:line="240" w:lineRule="auto"/>
              <w:jc w:val="left"/>
            </w:pPr>
            <w:r>
              <w:t>Network design</w:t>
            </w:r>
          </w:p>
        </w:tc>
        <w:tc>
          <w:tcPr>
            <w:tcW w:type="dxa" w:w="5400"/>
          </w:tcPr>
          <w:p>
            <w:pPr>
              <w:spacing w:after="0" w:before="0" w:line="240" w:lineRule="auto"/>
              <w:jc w:val="left"/>
            </w:pPr>
            <w:r>
              <w:t>Switches, network adapters, connectors, and cables</w:t>
            </w:r>
          </w:p>
        </w:tc>
      </w:tr>
      <w:tr>
        <w:tc>
          <w:tcPr>
            <w:tcW w:type="dxa" w:w="5400"/>
          </w:tcPr>
          <w:p>
            <w:pPr>
              <w:spacing w:after="0" w:before="0" w:line="240" w:lineRule="auto"/>
              <w:jc w:val="left"/>
            </w:pPr>
            <w:r>
              <w:t>Mechanical concept</w:t>
            </w:r>
          </w:p>
        </w:tc>
        <w:tc>
          <w:tcPr>
            <w:tcW w:type="dxa" w:w="5400"/>
          </w:tcPr>
          <w:p>
            <w:pPr>
              <w:spacing w:after="0" w:before="0" w:line="240" w:lineRule="auto"/>
              <w:jc w:val="left"/>
            </w:pPr>
            <w:r>
              <w:t>Fixtures, frames, actuators, guarding, and mounting hardware</w:t>
            </w:r>
          </w:p>
        </w:tc>
      </w:tr>
      <w:tr>
        <w:tc>
          <w:tcPr>
            <w:tcW w:type="dxa" w:w="5400"/>
          </w:tcPr>
          <w:p>
            <w:pPr>
              <w:spacing w:after="0" w:before="0" w:line="240" w:lineRule="auto"/>
              <w:jc w:val="left"/>
            </w:pPr>
            <w:r>
              <w:t>Project constraints</w:t>
            </w:r>
          </w:p>
        </w:tc>
        <w:tc>
          <w:tcPr>
            <w:tcW w:type="dxa" w:w="5400"/>
          </w:tcPr>
          <w:p>
            <w:pPr>
              <w:spacing w:after="0" w:before="0" w:line="240" w:lineRule="auto"/>
              <w:jc w:val="left"/>
            </w:pPr>
            <w:r>
              <w:t>Approved suppliers, delivery limits, standards, and budget assumptions</w:t>
            </w:r>
          </w:p>
        </w:tc>
      </w:tr>
    </w:tbl>
    <w:p/>
    <w:p>
      <w:r>
        <w:t>Every significant BOM item should be traceable to a requirement, design decision, calculation, or defined engineering allowance.</w:t>
      </w:r>
    </w:p>
    <w:p>
      <w:pPr>
        <w:pStyle w:val="Heading2"/>
      </w:pPr>
      <w:r>
        <w:t>5. BOM hierarchy and structure</w:t>
      </w:r>
    </w:p>
    <w:p>
      <w:r>
        <w:t>A useful BOM organizes the system into assemblies and subassemblies.</w:t>
      </w:r>
    </w:p>
    <w:p>
      <w:r>
        <w:t>Example:</w:t>
      </w:r>
    </w:p>
    <w:p>
      <w:pPr>
        <w:shd w:val="clear" w:color="auto" w:fill="F4F4F4"/>
        <w:spacing w:before="0" w:after="0" w:line="240" w:lineRule="auto"/>
        <w:ind w:left="216" w:right="216"/>
        <w:jc w:val="left"/>
      </w:pPr>
      <w:r>
        <w:rPr>
          <w:rFonts w:ascii="Consolas" w:hAnsi="Consolas"/>
          <w:color w:val="202020"/>
          <w:sz w:val="18"/>
        </w:rPr>
        <w:t>Automated Assembly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+-- 01. Main Control Panel</w:t>
      </w:r>
    </w:p>
    <w:p>
      <w:pPr>
        <w:shd w:val="clear" w:color="auto" w:fill="F4F4F4"/>
        <w:spacing w:before="0" w:after="0" w:line="240" w:lineRule="auto"/>
        <w:ind w:left="216" w:right="216"/>
        <w:jc w:val="left"/>
      </w:pPr>
      <w:r>
        <w:rPr>
          <w:rFonts w:ascii="Consolas" w:hAnsi="Consolas"/>
          <w:color w:val="202020"/>
          <w:sz w:val="18"/>
        </w:rPr>
        <w:t xml:space="preserve">    |       +-- PLC and CPU</w:t>
      </w:r>
    </w:p>
    <w:p>
      <w:pPr>
        <w:shd w:val="clear" w:color="auto" w:fill="F4F4F4"/>
        <w:spacing w:before="0" w:after="0" w:line="240" w:lineRule="auto"/>
        <w:ind w:left="216" w:right="216"/>
        <w:jc w:val="left"/>
      </w:pPr>
      <w:r>
        <w:rPr>
          <w:rFonts w:ascii="Consolas" w:hAnsi="Consolas"/>
          <w:color w:val="202020"/>
          <w:sz w:val="18"/>
        </w:rPr>
        <w:t xml:space="preserve">    |       +-- I/O modules</w:t>
      </w:r>
    </w:p>
    <w:p>
      <w:pPr>
        <w:shd w:val="clear" w:color="auto" w:fill="F4F4F4"/>
        <w:spacing w:before="0" w:after="0" w:line="240" w:lineRule="auto"/>
        <w:ind w:left="216" w:right="216"/>
        <w:jc w:val="left"/>
      </w:pPr>
      <w:r>
        <w:rPr>
          <w:rFonts w:ascii="Consolas" w:hAnsi="Consolas"/>
          <w:color w:val="202020"/>
          <w:sz w:val="18"/>
        </w:rPr>
        <w:t xml:space="preserve">    |       +-- Power supplies</w:t>
      </w:r>
    </w:p>
    <w:p>
      <w:pPr>
        <w:shd w:val="clear" w:color="auto" w:fill="F4F4F4"/>
        <w:spacing w:before="0" w:after="0" w:line="240" w:lineRule="auto"/>
        <w:ind w:left="216" w:right="216"/>
        <w:jc w:val="left"/>
      </w:pPr>
      <w:r>
        <w:rPr>
          <w:rFonts w:ascii="Consolas" w:hAnsi="Consolas"/>
          <w:color w:val="202020"/>
          <w:sz w:val="18"/>
        </w:rPr>
        <w:t xml:space="preserve">    |       +-- Circuit protection</w:t>
      </w:r>
    </w:p>
    <w:p>
      <w:pPr>
        <w:shd w:val="clear" w:color="auto" w:fill="F4F4F4"/>
        <w:spacing w:before="0" w:after="0" w:line="240" w:lineRule="auto"/>
        <w:ind w:left="216" w:right="216"/>
        <w:jc w:val="left"/>
      </w:pPr>
      <w:r>
        <w:rPr>
          <w:rFonts w:ascii="Consolas" w:hAnsi="Consolas"/>
          <w:color w:val="202020"/>
          <w:sz w:val="18"/>
        </w:rPr>
        <w:t xml:space="preserve">    |       +-- Terminal blocks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+-- 02. Operator Interface</w:t>
      </w:r>
    </w:p>
    <w:p>
      <w:pPr>
        <w:shd w:val="clear" w:color="auto" w:fill="F4F4F4"/>
        <w:spacing w:before="0" w:after="0" w:line="240" w:lineRule="auto"/>
        <w:ind w:left="216" w:right="216"/>
        <w:jc w:val="left"/>
      </w:pPr>
      <w:r>
        <w:rPr>
          <w:rFonts w:ascii="Consolas" w:hAnsi="Consolas"/>
          <w:color w:val="202020"/>
          <w:sz w:val="18"/>
        </w:rPr>
        <w:t xml:space="preserve">    |       +-- HMI panel</w:t>
      </w:r>
    </w:p>
    <w:p>
      <w:pPr>
        <w:shd w:val="clear" w:color="auto" w:fill="F4F4F4"/>
        <w:spacing w:before="0" w:after="0" w:line="240" w:lineRule="auto"/>
        <w:ind w:left="216" w:right="216"/>
        <w:jc w:val="left"/>
      </w:pPr>
      <w:r>
        <w:rPr>
          <w:rFonts w:ascii="Consolas" w:hAnsi="Consolas"/>
          <w:color w:val="202020"/>
          <w:sz w:val="18"/>
        </w:rPr>
        <w:t xml:space="preserve">    |       +-- Mounting accessories</w:t>
      </w:r>
    </w:p>
    <w:p>
      <w:pPr>
        <w:shd w:val="clear" w:color="auto" w:fill="F4F4F4"/>
        <w:spacing w:before="0" w:after="0" w:line="240" w:lineRule="auto"/>
        <w:ind w:left="216" w:right="216"/>
        <w:jc w:val="left"/>
      </w:pPr>
      <w:r>
        <w:rPr>
          <w:rFonts w:ascii="Consolas" w:hAnsi="Consolas"/>
          <w:color w:val="202020"/>
          <w:sz w:val="18"/>
        </w:rPr>
        <w:t xml:space="preserve">    |       +-- Communication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+-- 03. Conveyor System</w:t>
      </w:r>
    </w:p>
    <w:p>
      <w:pPr>
        <w:shd w:val="clear" w:color="auto" w:fill="F4F4F4"/>
        <w:spacing w:before="0" w:after="0" w:line="240" w:lineRule="auto"/>
        <w:ind w:left="216" w:right="216"/>
        <w:jc w:val="left"/>
      </w:pPr>
      <w:r>
        <w:rPr>
          <w:rFonts w:ascii="Consolas" w:hAnsi="Consolas"/>
          <w:color w:val="202020"/>
          <w:sz w:val="18"/>
        </w:rPr>
        <w:t xml:space="preserve">    |       +-- Motor</w:t>
      </w:r>
    </w:p>
    <w:p>
      <w:pPr>
        <w:shd w:val="clear" w:color="auto" w:fill="F4F4F4"/>
        <w:spacing w:before="0" w:after="0" w:line="240" w:lineRule="auto"/>
        <w:ind w:left="216" w:right="216"/>
        <w:jc w:val="left"/>
      </w:pPr>
      <w:r>
        <w:rPr>
          <w:rFonts w:ascii="Consolas" w:hAnsi="Consolas"/>
          <w:color w:val="202020"/>
          <w:sz w:val="18"/>
        </w:rPr>
        <w:t xml:space="preserve">    |       +-- VFD</w:t>
      </w:r>
    </w:p>
    <w:p>
      <w:pPr>
        <w:shd w:val="clear" w:color="auto" w:fill="F4F4F4"/>
        <w:spacing w:before="0" w:after="0" w:line="240" w:lineRule="auto"/>
        <w:ind w:left="216" w:right="216"/>
        <w:jc w:val="left"/>
      </w:pPr>
      <w:r>
        <w:rPr>
          <w:rFonts w:ascii="Consolas" w:hAnsi="Consolas"/>
          <w:color w:val="202020"/>
          <w:sz w:val="18"/>
        </w:rPr>
        <w:t xml:space="preserve">    |       +-- Motor protection</w:t>
      </w:r>
    </w:p>
    <w:p>
      <w:pPr>
        <w:shd w:val="clear" w:color="auto" w:fill="F4F4F4"/>
        <w:spacing w:before="0" w:after="0" w:line="240" w:lineRule="auto"/>
        <w:ind w:left="216" w:right="216"/>
        <w:jc w:val="left"/>
      </w:pPr>
      <w:r>
        <w:rPr>
          <w:rFonts w:ascii="Consolas" w:hAnsi="Consolas"/>
          <w:color w:val="202020"/>
          <w:sz w:val="18"/>
        </w:rPr>
        <w:t xml:space="preserve">    |       +-- 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+-- 04. Robot Integration</w:t>
      </w:r>
    </w:p>
    <w:p>
      <w:pPr>
        <w:shd w:val="clear" w:color="auto" w:fill="F4F4F4"/>
        <w:spacing w:before="0" w:after="0" w:line="240" w:lineRule="auto"/>
        <w:ind w:left="216" w:right="216"/>
        <w:jc w:val="left"/>
      </w:pPr>
      <w:r>
        <w:rPr>
          <w:rFonts w:ascii="Consolas" w:hAnsi="Consolas"/>
          <w:color w:val="202020"/>
          <w:sz w:val="18"/>
        </w:rPr>
        <w:t xml:space="preserve">    |       +-- Robot controller interface</w:t>
      </w:r>
    </w:p>
    <w:p>
      <w:pPr>
        <w:shd w:val="clear" w:color="auto" w:fill="F4F4F4"/>
        <w:spacing w:before="0" w:after="0" w:line="240" w:lineRule="auto"/>
        <w:ind w:left="216" w:right="216"/>
        <w:jc w:val="left"/>
      </w:pPr>
      <w:r>
        <w:rPr>
          <w:rFonts w:ascii="Consolas" w:hAnsi="Consolas"/>
          <w:color w:val="202020"/>
          <w:sz w:val="18"/>
        </w:rPr>
        <w:t xml:space="preserve">    |       +-- Communication components</w:t>
      </w:r>
    </w:p>
    <w:p>
      <w:pPr>
        <w:shd w:val="clear" w:color="auto" w:fill="F4F4F4"/>
        <w:spacing w:before="0" w:after="0" w:line="240" w:lineRule="auto"/>
        <w:ind w:left="216" w:right="216"/>
        <w:jc w:val="left"/>
      </w:pPr>
      <w:r>
        <w:rPr>
          <w:rFonts w:ascii="Consolas" w:hAnsi="Consolas"/>
          <w:color w:val="202020"/>
          <w:sz w:val="18"/>
        </w:rPr>
        <w:t xml:space="preserve">    |       +-- End-effector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+-- 05. Safety System</w:t>
      </w:r>
    </w:p>
    <w:p>
      <w:pPr>
        <w:shd w:val="clear" w:color="auto" w:fill="F4F4F4"/>
        <w:spacing w:before="0" w:after="0" w:line="240" w:lineRule="auto"/>
        <w:ind w:left="216" w:right="216"/>
        <w:jc w:val="left"/>
      </w:pPr>
      <w:r>
        <w:rPr>
          <w:rFonts w:ascii="Consolas" w:hAnsi="Consolas"/>
          <w:color w:val="202020"/>
          <w:sz w:val="18"/>
        </w:rPr>
        <w:t xml:space="preserve">    |       +-- Safety controller or relays</w:t>
      </w:r>
    </w:p>
    <w:p>
      <w:pPr>
        <w:shd w:val="clear" w:color="auto" w:fill="F4F4F4"/>
        <w:spacing w:before="0" w:after="0" w:line="240" w:lineRule="auto"/>
        <w:ind w:left="216" w:right="216"/>
        <w:jc w:val="left"/>
      </w:pPr>
      <w:r>
        <w:rPr>
          <w:rFonts w:ascii="Consolas" w:hAnsi="Consolas"/>
          <w:color w:val="202020"/>
          <w:sz w:val="18"/>
        </w:rPr>
        <w:t xml:space="preserve">    |       +-- Guard switches</w:t>
      </w:r>
    </w:p>
    <w:p>
      <w:pPr>
        <w:shd w:val="clear" w:color="auto" w:fill="F4F4F4"/>
        <w:spacing w:before="0" w:after="0" w:line="240" w:lineRule="auto"/>
        <w:ind w:left="216" w:right="216"/>
        <w:jc w:val="left"/>
      </w:pPr>
      <w:r>
        <w:rPr>
          <w:rFonts w:ascii="Consolas" w:hAnsi="Consolas"/>
          <w:color w:val="202020"/>
          <w:sz w:val="18"/>
        </w:rPr>
        <w:t xml:space="preserve">    |       +-- Emergency-stop devices</w:t>
      </w:r>
    </w:p>
    <w:p>
      <w:pPr>
        <w:shd w:val="clear" w:color="auto" w:fill="F4F4F4"/>
        <w:spacing w:before="0" w:after="0" w:line="240" w:lineRule="auto"/>
        <w:ind w:left="216" w:right="216"/>
        <w:jc w:val="left"/>
      </w:pPr>
      <w:r>
        <w:rPr>
          <w:rFonts w:ascii="Consolas" w:hAnsi="Consolas"/>
          <w:color w:val="202020"/>
          <w:sz w:val="18"/>
        </w:rPr>
        <w:t xml:space="preserve">    |       +-- Safety-related output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+-- 06. Industrial Network</w:t>
      </w:r>
    </w:p>
    <w:p>
      <w:pPr>
        <w:shd w:val="clear" w:color="auto" w:fill="F4F4F4"/>
        <w:spacing w:before="0" w:after="0" w:line="240" w:lineRule="auto"/>
        <w:ind w:left="216" w:right="216"/>
        <w:jc w:val="left"/>
      </w:pPr>
      <w:r>
        <w:rPr>
          <w:rFonts w:ascii="Consolas" w:hAnsi="Consolas"/>
          <w:color w:val="202020"/>
          <w:sz w:val="18"/>
        </w:rPr>
        <w:t xml:space="preserve">    |       +-- Managed or unmanaged switches</w:t>
      </w:r>
    </w:p>
    <w:p>
      <w:pPr>
        <w:shd w:val="clear" w:color="auto" w:fill="F4F4F4"/>
        <w:spacing w:before="0" w:after="0" w:line="240" w:lineRule="auto"/>
        <w:ind w:left="216" w:right="216"/>
        <w:jc w:val="left"/>
      </w:pPr>
      <w:r>
        <w:rPr>
          <w:rFonts w:ascii="Consolas" w:hAnsi="Consolas"/>
          <w:color w:val="202020"/>
          <w:sz w:val="18"/>
        </w:rPr>
        <w:t xml:space="preserve">    |       +-- Network cables</w:t>
      </w:r>
    </w:p>
    <w:p>
      <w:pPr>
        <w:shd w:val="clear" w:color="auto" w:fill="F4F4F4"/>
        <w:spacing w:before="0" w:after="0" w:line="240" w:lineRule="auto"/>
        <w:ind w:left="216" w:right="216"/>
        <w:jc w:val="left"/>
      </w:pPr>
      <w:r>
        <w:rPr>
          <w:rFonts w:ascii="Consolas" w:hAnsi="Consolas"/>
          <w:color w:val="202020"/>
          <w:sz w:val="18"/>
        </w:rPr>
        <w:t xml:space="preserve">    |       +-- Connectors and accessories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+-- 07. Software and Engineering</w:t>
      </w:r>
    </w:p>
    <w:p>
      <w:pPr>
        <w:shd w:val="clear" w:color="auto" w:fill="F4F4F4"/>
        <w:spacing w:before="0" w:after="0" w:line="240" w:lineRule="auto"/>
        <w:ind w:left="216" w:right="216"/>
        <w:jc w:val="left"/>
      </w:pPr>
      <w:r>
        <w:rPr>
          <w:rFonts w:ascii="Consolas" w:hAnsi="Consolas"/>
          <w:color w:val="202020"/>
          <w:sz w:val="18"/>
        </w:rPr>
        <w:t xml:space="preserve">            +-- Engineering licenses</w:t>
      </w:r>
    </w:p>
    <w:p>
      <w:pPr>
        <w:shd w:val="clear" w:color="auto" w:fill="F4F4F4"/>
        <w:spacing w:before="0" w:after="0" w:line="240" w:lineRule="auto"/>
        <w:ind w:left="216" w:right="216"/>
        <w:jc w:val="left"/>
      </w:pPr>
      <w:r>
        <w:rPr>
          <w:rFonts w:ascii="Consolas" w:hAnsi="Consolas"/>
          <w:color w:val="202020"/>
          <w:sz w:val="18"/>
        </w:rPr>
        <w:t xml:space="preserve">            +-- Runtime licenses</w:t>
      </w:r>
    </w:p>
    <w:p>
      <w:pPr>
        <w:shd w:val="clear" w:color="auto" w:fill="F4F4F4"/>
        <w:spacing w:before="0" w:after="0" w:line="240" w:lineRule="auto"/>
        <w:ind w:left="216" w:right="216"/>
        <w:jc w:val="left"/>
      </w:pPr>
      <w:r>
        <w:rPr>
          <w:rFonts w:ascii="Consolas" w:hAnsi="Consolas"/>
          <w:color w:val="202020"/>
          <w:sz w:val="18"/>
        </w:rPr>
        <w:t xml:space="preserve">            +-- Configuration and backup tools</w:t>
      </w:r>
    </w:p>
    <w:p/>
    <w:p>
      <w:r>
        <w:t>This hierarchy supports subsystem-level costing, engineering ownership, material planning, installation planning, and future maintenance.</w:t>
      </w:r>
    </w:p>
    <w:p>
      <w:pPr>
        <w:pStyle w:val="Heading2"/>
      </w:pPr>
      <w:r>
        <w:t>6. Typical contents of an industrial automation preliminary BOM</w:t>
      </w:r>
    </w:p>
    <w:p>
      <w:pPr>
        <w:pStyle w:val="Heading3"/>
      </w:pPr>
      <w:r>
        <w:t>6.1 PLC and control system</w:t>
      </w:r>
    </w:p>
    <w:p>
      <w:r>
        <w:t>Potential items include:</w:t>
      </w:r>
    </w:p>
    <w:p>
      <w:pPr>
        <w:pStyle w:val="ListBullet"/>
      </w:pPr>
      <w:r>
        <w:t>PLC CPU.</w:t>
      </w:r>
    </w:p>
    <w:p>
      <w:pPr>
        <w:pStyle w:val="ListBullet"/>
      </w:pPr>
      <w:r>
        <w:t>Rack, backplane, or mounting base where required.</w:t>
      </w:r>
    </w:p>
    <w:p>
      <w:pPr>
        <w:pStyle w:val="ListBullet"/>
      </w:pPr>
      <w:r>
        <w:t>Digital input and output modules.</w:t>
      </w:r>
    </w:p>
    <w:p>
      <w:pPr>
        <w:pStyle w:val="ListBullet"/>
      </w:pPr>
      <w:r>
        <w:t>Analog input and output modules.</w:t>
      </w:r>
    </w:p>
    <w:p>
      <w:pPr>
        <w:pStyle w:val="ListBullet"/>
      </w:pPr>
      <w:r>
        <w:t>Specialized counter, encoder, temperature, or motion modules.</w:t>
      </w:r>
    </w:p>
    <w:p>
      <w:pPr>
        <w:pStyle w:val="ListBullet"/>
      </w:pPr>
      <w:r>
        <w:t>Communication processors and network adapters.</w:t>
      </w:r>
    </w:p>
    <w:p>
      <w:pPr>
        <w:pStyle w:val="ListBullet"/>
      </w:pPr>
      <w:r>
        <w:t>Memory cards or other required storage media.</w:t>
      </w:r>
    </w:p>
    <w:p>
      <w:pPr>
        <w:pStyle w:val="ListBullet"/>
      </w:pPr>
      <w:r>
        <w:t>Remote I/O stations and interface modules.</w:t>
      </w:r>
    </w:p>
    <w:p>
      <w:pPr>
        <w:pStyle w:val="ListBullet"/>
      </w:pPr>
      <w:r>
        <w:t>Safety PLC and safety I/O, when required.</w:t>
      </w:r>
    </w:p>
    <w:p>
      <w:pPr>
        <w:pStyle w:val="ListBullet"/>
      </w:pPr>
      <w:r>
        <w:t>Programming or configuration accessories.</w:t>
      </w:r>
    </w:p>
    <w:p>
      <w:pPr>
        <w:pStyle w:val="ListBullet"/>
      </w:pPr>
      <w:r>
        <w:t>Required licenses.</w:t>
      </w:r>
    </w:p>
    <w:p>
      <w:r>
        <w:t>Do not assume every PLC family requires a rack, separate power supply, or communication module. The BOM must match the architecture and exact hardware family.</w:t>
      </w:r>
    </w:p>
    <w:p>
      <w:pPr>
        <w:pStyle w:val="Heading3"/>
      </w:pPr>
      <w:r>
        <w:t>6.2 HMI and supervisory systems</w:t>
      </w:r>
    </w:p>
    <w:p>
      <w:r>
        <w:t>Potential items include:</w:t>
      </w:r>
    </w:p>
    <w:p>
      <w:pPr>
        <w:pStyle w:val="ListBullet"/>
      </w:pPr>
      <w:r>
        <w:t>HMI panel or industrial computer.</w:t>
      </w:r>
    </w:p>
    <w:p>
      <w:pPr>
        <w:pStyle w:val="ListBullet"/>
      </w:pPr>
      <w:r>
        <w:t>Mounting hardware.</w:t>
      </w:r>
    </w:p>
    <w:p>
      <w:pPr>
        <w:pStyle w:val="ListBullet"/>
      </w:pPr>
      <w:r>
        <w:t>Communication accessories.</w:t>
      </w:r>
    </w:p>
    <w:p>
      <w:pPr>
        <w:pStyle w:val="ListBullet"/>
      </w:pPr>
      <w:r>
        <w:t>Runtime and engineering licenses.</w:t>
      </w:r>
    </w:p>
    <w:p>
      <w:pPr>
        <w:pStyle w:val="ListBullet"/>
      </w:pPr>
      <w:r>
        <w:t>SCADA server hardware or virtual-machine resources.</w:t>
      </w:r>
    </w:p>
    <w:p>
      <w:pPr>
        <w:pStyle w:val="ListBullet"/>
      </w:pPr>
      <w:r>
        <w:t>Client licenses, if applicable.</w:t>
      </w:r>
    </w:p>
    <w:p>
      <w:pPr>
        <w:pStyle w:val="ListBullet"/>
      </w:pPr>
      <w:r>
        <w:t>Historian or database licenses.</w:t>
      </w:r>
    </w:p>
    <w:p>
      <w:pPr>
        <w:pStyle w:val="ListBullet"/>
      </w:pPr>
      <w:r>
        <w:t>Data interface or gateway components.</w:t>
      </w:r>
    </w:p>
    <w:p>
      <w:pPr>
        <w:pStyle w:val="ListBullet"/>
      </w:pPr>
      <w:r>
        <w:t>Backup and recovery storage.</w:t>
      </w:r>
    </w:p>
    <w:p>
      <w:r>
        <w:t>For software, record the license type and scope. A license may be perpetual, subscription-based, device-bound, server-bound, or limited by runtime, tags, clients, or features.</w:t>
      </w:r>
    </w:p>
    <w:p>
      <w:pPr>
        <w:pStyle w:val="Heading3"/>
      </w:pPr>
      <w:r>
        <w:t>6.3 Drives, motors, and motion control</w:t>
      </w:r>
    </w:p>
    <w:p>
      <w:r>
        <w:t>Potential items include:</w:t>
      </w:r>
    </w:p>
    <w:p>
      <w:pPr>
        <w:pStyle w:val="ListBullet"/>
      </w:pPr>
      <w:r>
        <w:t>Variable-frequency drives.</w:t>
      </w:r>
    </w:p>
    <w:p>
      <w:pPr>
        <w:pStyle w:val="ListBullet"/>
      </w:pPr>
      <w:r>
        <w:t>Servo drives.</w:t>
      </w:r>
    </w:p>
    <w:p>
      <w:pPr>
        <w:pStyle w:val="ListBullet"/>
      </w:pPr>
      <w:r>
        <w:t>Servo motors.</w:t>
      </w:r>
    </w:p>
    <w:p>
      <w:pPr>
        <w:pStyle w:val="ListBullet"/>
      </w:pPr>
      <w:r>
        <w:t>Standard industrial motors.</w:t>
      </w:r>
    </w:p>
    <w:p>
      <w:pPr>
        <w:pStyle w:val="ListBullet"/>
      </w:pPr>
      <w:r>
        <w:t>Encoders and feedback devices.</w:t>
      </w:r>
    </w:p>
    <w:p>
      <w:pPr>
        <w:pStyle w:val="ListBullet"/>
      </w:pPr>
      <w:r>
        <w:t>Braking resistors or braking units.</w:t>
      </w:r>
    </w:p>
    <w:p>
      <w:pPr>
        <w:pStyle w:val="ListBullet"/>
      </w:pPr>
      <w:r>
        <w:t>Line reactors or filters, where required.</w:t>
      </w:r>
    </w:p>
    <w:p>
      <w:pPr>
        <w:pStyle w:val="ListBullet"/>
      </w:pPr>
      <w:r>
        <w:t>Motor protection devices.</w:t>
      </w:r>
    </w:p>
    <w:p>
      <w:pPr>
        <w:pStyle w:val="ListBullet"/>
      </w:pPr>
      <w:r>
        <w:t>Drive communication modules.</w:t>
      </w:r>
    </w:p>
    <w:p>
      <w:pPr>
        <w:pStyle w:val="ListBullet"/>
      </w:pPr>
      <w:r>
        <w:t>Required power and feedback cables.</w:t>
      </w:r>
    </w:p>
    <w:p>
      <w:pPr>
        <w:pStyle w:val="ListBullet"/>
      </w:pPr>
      <w:r>
        <w:t>Connectors and mounting accessories.</w:t>
      </w:r>
    </w:p>
    <w:p>
      <w:r>
        <w:t>Drive-related accessories should be checked against manufacturer sizing and installation requirements. An accessory should not be added or omitted simply because it was used on another machine.</w:t>
      </w:r>
    </w:p>
    <w:p>
      <w:pPr>
        <w:pStyle w:val="Heading3"/>
      </w:pPr>
      <w:r>
        <w:t>6.4 Sensors and field devices</w:t>
      </w:r>
    </w:p>
    <w:p>
      <w:r>
        <w:t>Potential items include:</w:t>
      </w:r>
    </w:p>
    <w:p>
      <w:pPr>
        <w:pStyle w:val="ListBullet"/>
      </w:pPr>
      <w:r>
        <w:t>Inductive and capacitive proximity sensors.</w:t>
      </w:r>
    </w:p>
    <w:p>
      <w:pPr>
        <w:pStyle w:val="ListBullet"/>
      </w:pPr>
      <w:r>
        <w:t>Photoelectric sensors.</w:t>
      </w:r>
    </w:p>
    <w:p>
      <w:pPr>
        <w:pStyle w:val="ListBullet"/>
      </w:pPr>
      <w:r>
        <w:t>Pressure and temperature transmitters.</w:t>
      </w:r>
    </w:p>
    <w:p>
      <w:pPr>
        <w:pStyle w:val="ListBullet"/>
      </w:pPr>
      <w:r>
        <w:t>Limit switches.</w:t>
      </w:r>
    </w:p>
    <w:p>
      <w:pPr>
        <w:pStyle w:val="ListBullet"/>
      </w:pPr>
      <w:r>
        <w:t>Encoders.</w:t>
      </w:r>
    </w:p>
    <w:p>
      <w:pPr>
        <w:pStyle w:val="ListBullet"/>
      </w:pPr>
      <w:r>
        <w:t>Barcode scanners.</w:t>
      </w:r>
    </w:p>
    <w:p>
      <w:pPr>
        <w:pStyle w:val="ListBullet"/>
      </w:pPr>
      <w:r>
        <w:t>Vision systems.</w:t>
      </w:r>
    </w:p>
    <w:p>
      <w:pPr>
        <w:pStyle w:val="ListBullet"/>
      </w:pPr>
      <w:r>
        <w:t>Flow or level sensors.</w:t>
      </w:r>
    </w:p>
    <w:p>
      <w:pPr>
        <w:pStyle w:val="ListBullet"/>
      </w:pPr>
      <w:r>
        <w:t>Solenoid valves.</w:t>
      </w:r>
    </w:p>
    <w:p>
      <w:pPr>
        <w:pStyle w:val="ListBullet"/>
      </w:pPr>
      <w:r>
        <w:t>Sensor cables and connectors.</w:t>
      </w:r>
    </w:p>
    <w:p>
      <w:pPr>
        <w:pStyle w:val="ListBullet"/>
      </w:pPr>
      <w:r>
        <w:t>Mounting brackets and protective covers.</w:t>
      </w:r>
    </w:p>
    <w:p>
      <w:r>
        <w:t>The preliminary BOM should identify important signal and interface characteristics, including PNP/NPN, digital/analog, supply voltage, output type, and communication method, where known.</w:t>
      </w:r>
    </w:p>
    <w:p>
      <w:pPr>
        <w:pStyle w:val="Heading3"/>
      </w:pPr>
      <w:r>
        <w:t>6.5 Safety equipment</w:t>
      </w:r>
    </w:p>
    <w:p>
      <w:r>
        <w:t>Potential items include:</w:t>
      </w:r>
    </w:p>
    <w:p>
      <w:pPr>
        <w:pStyle w:val="ListBullet"/>
      </w:pPr>
      <w:r>
        <w:t>Safety relays or safety controllers.</w:t>
      </w:r>
    </w:p>
    <w:p>
      <w:pPr>
        <w:pStyle w:val="ListBullet"/>
      </w:pPr>
      <w:r>
        <w:t>Emergency-stop devices.</w:t>
      </w:r>
    </w:p>
    <w:p>
      <w:pPr>
        <w:pStyle w:val="ListBullet"/>
      </w:pPr>
      <w:r>
        <w:t>Guard interlocks.</w:t>
      </w:r>
    </w:p>
    <w:p>
      <w:pPr>
        <w:pStyle w:val="ListBullet"/>
      </w:pPr>
      <w:r>
        <w:t>Light curtains.</w:t>
      </w:r>
    </w:p>
    <w:p>
      <w:pPr>
        <w:pStyle w:val="ListBullet"/>
      </w:pPr>
      <w:r>
        <w:t>Laser scanners.</w:t>
      </w:r>
    </w:p>
    <w:p>
      <w:pPr>
        <w:pStyle w:val="ListBullet"/>
      </w:pPr>
      <w:r>
        <w:t>Safety-rated contactors.</w:t>
      </w:r>
    </w:p>
    <w:p>
      <w:pPr>
        <w:pStyle w:val="ListBullet"/>
      </w:pPr>
      <w:r>
        <w:t>Required safety I/O.</w:t>
      </w:r>
    </w:p>
    <w:p>
      <w:pPr>
        <w:pStyle w:val="ListBullet"/>
      </w:pPr>
      <w:r>
        <w:t>Safety-rated drive options.</w:t>
      </w:r>
    </w:p>
    <w:p>
      <w:pPr>
        <w:pStyle w:val="ListBullet"/>
      </w:pPr>
      <w:r>
        <w:t>Reset and acknowledgment devices.</w:t>
      </w:r>
    </w:p>
    <w:p>
      <w:pPr>
        <w:pStyle w:val="ListBullet"/>
      </w:pPr>
      <w:r>
        <w:t>Associated cables and mounting components.</w:t>
      </w:r>
    </w:p>
    <w:p>
      <w:r>
        <w:t>The safety BOM must be consistent with the risk assessment and safety architecture. Final device selection, quantities, and configurations may require detailed safety engineering and validation.</w:t>
      </w:r>
    </w:p>
    <w:p>
      <w:pPr>
        <w:pStyle w:val="Heading3"/>
      </w:pPr>
      <w:r>
        <w:t>6.6 Electrical panel and power distribution</w:t>
      </w:r>
    </w:p>
    <w:p>
      <w:r>
        <w:t>Potential items include:</w:t>
      </w:r>
    </w:p>
    <w:p>
      <w:pPr>
        <w:pStyle w:val="ListBullet"/>
      </w:pPr>
      <w:r>
        <w:t>Enclosure and mounting plate.</w:t>
      </w:r>
    </w:p>
    <w:p>
      <w:pPr>
        <w:pStyle w:val="ListBullet"/>
      </w:pPr>
      <w:r>
        <w:t>Main isolator.</w:t>
      </w:r>
    </w:p>
    <w:p>
      <w:pPr>
        <w:pStyle w:val="ListBullet"/>
      </w:pPr>
      <w:r>
        <w:t>Circuit breakers and fuses.</w:t>
      </w:r>
    </w:p>
    <w:p>
      <w:pPr>
        <w:pStyle w:val="ListBullet"/>
      </w:pPr>
      <w:r>
        <w:t>Motor-protection devices.</w:t>
      </w:r>
    </w:p>
    <w:p>
      <w:pPr>
        <w:pStyle w:val="ListBullet"/>
      </w:pPr>
      <w:r>
        <w:t>Control transformers, where required.</w:t>
      </w:r>
    </w:p>
    <w:p>
      <w:pPr>
        <w:pStyle w:val="ListBullet"/>
      </w:pPr>
      <w:r>
        <w:t>DC power supplies.</w:t>
      </w:r>
    </w:p>
    <w:p>
      <w:pPr>
        <w:pStyle w:val="ListBullet"/>
      </w:pPr>
      <w:r>
        <w:t>Distribution terminals.</w:t>
      </w:r>
    </w:p>
    <w:p>
      <w:pPr>
        <w:pStyle w:val="ListBullet"/>
      </w:pPr>
      <w:r>
        <w:t>Interface relays.</w:t>
      </w:r>
    </w:p>
    <w:p>
      <w:pPr>
        <w:pStyle w:val="ListBullet"/>
      </w:pPr>
      <w:r>
        <w:t>Contactors.</w:t>
      </w:r>
    </w:p>
    <w:p>
      <w:pPr>
        <w:pStyle w:val="ListBullet"/>
      </w:pPr>
      <w:r>
        <w:t>Surge-protection devices, where required.</w:t>
      </w:r>
    </w:p>
    <w:p>
      <w:pPr>
        <w:pStyle w:val="ListBullet"/>
      </w:pPr>
      <w:r>
        <w:t>Earthing and bonding components.</w:t>
      </w:r>
    </w:p>
    <w:p>
      <w:pPr>
        <w:pStyle w:val="ListBullet"/>
      </w:pPr>
      <w:r>
        <w:t>DIN rails.</w:t>
      </w:r>
    </w:p>
    <w:p>
      <w:pPr>
        <w:pStyle w:val="ListBullet"/>
      </w:pPr>
      <w:r>
        <w:t>Wire ducts.</w:t>
      </w:r>
    </w:p>
    <w:p>
      <w:pPr>
        <w:pStyle w:val="ListBullet"/>
      </w:pPr>
      <w:r>
        <w:t>Ferrules and wire markers.</w:t>
      </w:r>
    </w:p>
    <w:p>
      <w:pPr>
        <w:pStyle w:val="ListBullet"/>
      </w:pPr>
      <w:r>
        <w:t>Cable glands and entry plates.</w:t>
      </w:r>
    </w:p>
    <w:p>
      <w:pPr>
        <w:pStyle w:val="ListBullet"/>
      </w:pPr>
      <w:r>
        <w:t>Cooling or ventilation equipment.</w:t>
      </w:r>
    </w:p>
    <w:p>
      <w:r>
        <w:t>The enclosure size and thermal management estimate must consider actual heat dissipation, environmental conditions, cable-entry requirements, and service access.</w:t>
      </w:r>
    </w:p>
    <w:p>
      <w:pPr>
        <w:pStyle w:val="Heading3"/>
      </w:pPr>
      <w:r>
        <w:t>6.7 Network and communication equipment</w:t>
      </w:r>
    </w:p>
    <w:p>
      <w:r>
        <w:t>Potential items include:</w:t>
      </w:r>
    </w:p>
    <w:p>
      <w:pPr>
        <w:pStyle w:val="ListBullet"/>
      </w:pPr>
      <w:r>
        <w:t>Industrial Ethernet switches.</w:t>
      </w:r>
    </w:p>
    <w:p>
      <w:pPr>
        <w:pStyle w:val="ListBullet"/>
      </w:pPr>
      <w:r>
        <w:t>Network adapters.</w:t>
      </w:r>
    </w:p>
    <w:p>
      <w:pPr>
        <w:pStyle w:val="ListBullet"/>
      </w:pPr>
      <w:r>
        <w:t>Fiber-optic switches or media converters.</w:t>
      </w:r>
    </w:p>
    <w:p>
      <w:pPr>
        <w:pStyle w:val="ListBullet"/>
      </w:pPr>
      <w:r>
        <w:t>Fiber-optic cables and connectors.</w:t>
      </w:r>
    </w:p>
    <w:p>
      <w:pPr>
        <w:pStyle w:val="ListBullet"/>
      </w:pPr>
      <w:r>
        <w:t>Industrial Ethernet cables.</w:t>
      </w:r>
    </w:p>
    <w:p>
      <w:pPr>
        <w:pStyle w:val="ListBullet"/>
      </w:pPr>
      <w:r>
        <w:t>Serial communication converters.</w:t>
      </w:r>
    </w:p>
    <w:p>
      <w:pPr>
        <w:pStyle w:val="ListBullet"/>
      </w:pPr>
      <w:r>
        <w:t>Gateways for required protocol conversion.</w:t>
      </w:r>
    </w:p>
    <w:p>
      <w:pPr>
        <w:pStyle w:val="ListBullet"/>
      </w:pPr>
      <w:r>
        <w:t>Network interface modules.</w:t>
      </w:r>
    </w:p>
    <w:p>
      <w:pPr>
        <w:pStyle w:val="ListBullet"/>
      </w:pPr>
      <w:r>
        <w:t>Time-synchronization equipment, where required.</w:t>
      </w:r>
    </w:p>
    <w:p>
      <w:r>
        <w:t>The number of network ports should be calculated from the actual topology, including controllers, HMIs, drives, robots, remote I/O, uplinks, and any planned expansion.</w:t>
      </w:r>
    </w:p>
    <w:p>
      <w:pPr>
        <w:pStyle w:val="Heading3"/>
      </w:pPr>
      <w:r>
        <w:t>6.8 Mechanical and installation materials</w:t>
      </w:r>
    </w:p>
    <w:p>
      <w:r>
        <w:t>Depending on the project boundary, the preliminary BOM may also include:</w:t>
      </w:r>
    </w:p>
    <w:p>
      <w:pPr>
        <w:pStyle w:val="ListBullet"/>
      </w:pPr>
      <w:r>
        <w:t>Frames and mounting structures.</w:t>
      </w:r>
    </w:p>
    <w:p>
      <w:pPr>
        <w:pStyle w:val="ListBullet"/>
      </w:pPr>
      <w:r>
        <w:t>Brackets and fixtures.</w:t>
      </w:r>
    </w:p>
    <w:p>
      <w:pPr>
        <w:pStyle w:val="ListBullet"/>
      </w:pPr>
      <w:r>
        <w:t>Cable trays and conduits.</w:t>
      </w:r>
    </w:p>
    <w:p>
      <w:pPr>
        <w:pStyle w:val="ListBullet"/>
      </w:pPr>
      <w:r>
        <w:t>Pneumatic tubing and fittings.</w:t>
      </w:r>
    </w:p>
    <w:p>
      <w:pPr>
        <w:pStyle w:val="ListBullet"/>
      </w:pPr>
      <w:r>
        <w:t>Pneumatic cylinders and valves.</w:t>
      </w:r>
    </w:p>
    <w:p>
      <w:pPr>
        <w:pStyle w:val="ListBullet"/>
      </w:pPr>
      <w:r>
        <w:t>Connectors and bulkhead fittings.</w:t>
      </w:r>
    </w:p>
    <w:p>
      <w:pPr>
        <w:pStyle w:val="ListBullet"/>
      </w:pPr>
      <w:r>
        <w:t>Fasteners and mounting hardware.</w:t>
      </w:r>
    </w:p>
    <w:p>
      <w:pPr>
        <w:pStyle w:val="ListBullet"/>
      </w:pPr>
      <w:r>
        <w:t>Guards and safety fencing.</w:t>
      </w:r>
    </w:p>
    <w:p>
      <w:pPr>
        <w:pStyle w:val="ListBullet"/>
      </w:pPr>
      <w:r>
        <w:t>Cable supports and protective sleeves.</w:t>
      </w:r>
    </w:p>
    <w:p>
      <w:pPr>
        <w:pStyle w:val="ListBullet"/>
      </w:pPr>
      <w:r>
        <w:t>Labels and identification plates.</w:t>
      </w:r>
    </w:p>
    <w:p>
      <w:r>
        <w:t>Do not assume mechanical materials are included in an electrical BOM. Assign each category an owner and define the project boundary explicitly.</w:t>
      </w:r>
    </w:p>
    <w:p>
      <w:pPr>
        <w:pStyle w:val="Heading2"/>
      </w:pPr>
      <w:r>
        <w:t>7. BOM data fields</w:t>
      </w:r>
    </w:p>
    <w:p>
      <w:r>
        <w:t>A preliminary BOM should have enough information to identify each item, understand its purpose, estimate its cost, and track its maturity.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BOM item ID</w:t>
            </w:r>
          </w:p>
        </w:tc>
        <w:tc>
          <w:tcPr>
            <w:tcW w:type="dxa" w:w="5400"/>
          </w:tcPr>
          <w:p>
            <w:pPr>
              <w:spacing w:after="0" w:before="0" w:line="240" w:lineRule="auto"/>
              <w:jc w:val="left"/>
            </w:pPr>
            <w:r>
              <w:t>Unique identifier within the BOM</w:t>
            </w:r>
          </w:p>
        </w:tc>
      </w:tr>
      <w:tr>
        <w:tc>
          <w:tcPr>
            <w:tcW w:type="dxa" w:w="5400"/>
          </w:tcPr>
          <w:p>
            <w:pPr>
              <w:spacing w:after="0" w:before="0" w:line="240" w:lineRule="auto"/>
              <w:jc w:val="left"/>
            </w:pPr>
            <w:r>
              <w:t>Parent assembly</w:t>
            </w:r>
          </w:p>
        </w:tc>
        <w:tc>
          <w:tcPr>
            <w:tcW w:type="dxa" w:w="5400"/>
          </w:tcPr>
          <w:p>
            <w:pPr>
              <w:spacing w:after="0" w:before="0" w:line="240" w:lineRule="auto"/>
              <w:jc w:val="left"/>
            </w:pPr>
            <w:r>
              <w:t>Identifies the subsystem or assembly</w:t>
            </w:r>
          </w:p>
        </w:tc>
      </w:tr>
      <w:tr>
        <w:tc>
          <w:tcPr>
            <w:tcW w:type="dxa" w:w="5400"/>
          </w:tcPr>
          <w:p>
            <w:pPr>
              <w:spacing w:after="0" w:before="0" w:line="240" w:lineRule="auto"/>
              <w:jc w:val="left"/>
            </w:pPr>
            <w:r>
              <w:t>Item description</w:t>
            </w:r>
          </w:p>
        </w:tc>
        <w:tc>
          <w:tcPr>
            <w:tcW w:type="dxa" w:w="5400"/>
          </w:tcPr>
          <w:p>
            <w:pPr>
              <w:spacing w:after="0" w:before="0" w:line="240" w:lineRule="auto"/>
              <w:jc w:val="left"/>
            </w:pPr>
            <w:r>
              <w:t>Functional description of the component</w:t>
            </w:r>
          </w:p>
        </w:tc>
      </w:tr>
      <w:tr>
        <w:tc>
          <w:tcPr>
            <w:tcW w:type="dxa" w:w="5400"/>
          </w:tcPr>
          <w:p>
            <w:pPr>
              <w:spacing w:after="0" w:before="0" w:line="240" w:lineRule="auto"/>
              <w:jc w:val="left"/>
            </w:pPr>
            <w:r>
              <w:t>Manufacturer</w:t>
            </w:r>
          </w:p>
        </w:tc>
        <w:tc>
          <w:tcPr>
            <w:tcW w:type="dxa" w:w="5400"/>
          </w:tcPr>
          <w:p>
            <w:pPr>
              <w:spacing w:after="0" w:before="0" w:line="240" w:lineRule="auto"/>
              <w:jc w:val="left"/>
            </w:pPr>
            <w:r>
              <w:t>Preferred or selected manufacturer</w:t>
            </w:r>
          </w:p>
        </w:tc>
      </w:tr>
      <w:tr>
        <w:tc>
          <w:tcPr>
            <w:tcW w:type="dxa" w:w="5400"/>
          </w:tcPr>
          <w:p>
            <w:pPr>
              <w:spacing w:after="0" w:before="0" w:line="240" w:lineRule="auto"/>
              <w:jc w:val="left"/>
            </w:pPr>
            <w:r>
              <w:t>Manufacturer part number</w:t>
            </w:r>
          </w:p>
        </w:tc>
        <w:tc>
          <w:tcPr>
            <w:tcW w:type="dxa" w:w="5400"/>
          </w:tcPr>
          <w:p>
            <w:pPr>
              <w:spacing w:after="0" w:before="0" w:line="240" w:lineRule="auto"/>
              <w:jc w:val="left"/>
            </w:pPr>
            <w:r>
              <w:t>Exact ordering code, if confirmed</w:t>
            </w:r>
          </w:p>
        </w:tc>
      </w:tr>
      <w:tr>
        <w:tc>
          <w:tcPr>
            <w:tcW w:type="dxa" w:w="5400"/>
          </w:tcPr>
          <w:p>
            <w:pPr>
              <w:spacing w:after="0" w:before="0" w:line="240" w:lineRule="auto"/>
              <w:jc w:val="left"/>
            </w:pPr>
            <w:r>
              <w:t>Specification</w:t>
            </w:r>
          </w:p>
        </w:tc>
        <w:tc>
          <w:tcPr>
            <w:tcW w:type="dxa" w:w="5400"/>
          </w:tcPr>
          <w:p>
            <w:pPr>
              <w:spacing w:after="0" w:before="0" w:line="240" w:lineRule="auto"/>
              <w:jc w:val="left"/>
            </w:pPr>
            <w:r>
              <w:t>Required technical characteristics</w:t>
            </w:r>
          </w:p>
        </w:tc>
      </w:tr>
      <w:tr>
        <w:tc>
          <w:tcPr>
            <w:tcW w:type="dxa" w:w="5400"/>
          </w:tcPr>
          <w:p>
            <w:pPr>
              <w:spacing w:after="0" w:before="0" w:line="240" w:lineRule="auto"/>
              <w:jc w:val="left"/>
            </w:pPr>
            <w:r>
              <w:t>Quantity</w:t>
            </w:r>
          </w:p>
        </w:tc>
        <w:tc>
          <w:tcPr>
            <w:tcW w:type="dxa" w:w="5400"/>
          </w:tcPr>
          <w:p>
            <w:pPr>
              <w:spacing w:after="0" w:before="0" w:line="240" w:lineRule="auto"/>
              <w:jc w:val="left"/>
            </w:pPr>
            <w:r>
              <w:t>Estimated or confirmed quantity</w:t>
            </w:r>
          </w:p>
        </w:tc>
      </w:tr>
      <w:tr>
        <w:tc>
          <w:tcPr>
            <w:tcW w:type="dxa" w:w="5400"/>
          </w:tcPr>
          <w:p>
            <w:pPr>
              <w:spacing w:after="0" w:before="0" w:line="240" w:lineRule="auto"/>
              <w:jc w:val="left"/>
            </w:pPr>
            <w:r>
              <w:t>Unit of measure</w:t>
            </w:r>
          </w:p>
        </w:tc>
        <w:tc>
          <w:tcPr>
            <w:tcW w:type="dxa" w:w="5400"/>
          </w:tcPr>
          <w:p>
            <w:pPr>
              <w:spacing w:after="0" w:before="0" w:line="240" w:lineRule="auto"/>
              <w:jc w:val="left"/>
            </w:pPr>
            <w:r>
              <w:t>Each, metre, set, license, and so on</w:t>
            </w:r>
          </w:p>
        </w:tc>
      </w:tr>
      <w:tr>
        <w:tc>
          <w:tcPr>
            <w:tcW w:type="dxa" w:w="5400"/>
          </w:tcPr>
          <w:p>
            <w:pPr>
              <w:spacing w:after="0" w:before="0" w:line="240" w:lineRule="auto"/>
              <w:jc w:val="left"/>
            </w:pPr>
            <w:r>
              <w:t>Make/buy/reuse status</w:t>
            </w:r>
          </w:p>
        </w:tc>
        <w:tc>
          <w:tcPr>
            <w:tcW w:type="dxa" w:w="5400"/>
          </w:tcPr>
          <w:p>
            <w:pPr>
              <w:spacing w:after="0" w:before="0" w:line="240" w:lineRule="auto"/>
              <w:jc w:val="left"/>
            </w:pPr>
            <w:r>
              <w:t>Identifies sourcing or reuse strategy</w:t>
            </w:r>
          </w:p>
        </w:tc>
      </w:tr>
      <w:tr>
        <w:tc>
          <w:tcPr>
            <w:tcW w:type="dxa" w:w="5400"/>
          </w:tcPr>
          <w:p>
            <w:pPr>
              <w:spacing w:after="0" w:before="0" w:line="240" w:lineRule="auto"/>
              <w:jc w:val="left"/>
            </w:pPr>
            <w:r>
              <w:t>BOM maturity</w:t>
            </w:r>
          </w:p>
        </w:tc>
        <w:tc>
          <w:tcPr>
            <w:tcW w:type="dxa" w:w="5400"/>
          </w:tcPr>
          <w:p>
            <w:pPr>
              <w:spacing w:after="0" w:before="0" w:line="240" w:lineRule="auto"/>
              <w:jc w:val="left"/>
            </w:pPr>
            <w:r>
              <w:t>Preliminary, estimated, verified, or approved</w:t>
            </w:r>
          </w:p>
        </w:tc>
      </w:tr>
      <w:tr>
        <w:tc>
          <w:tcPr>
            <w:tcW w:type="dxa" w:w="5400"/>
          </w:tcPr>
          <w:p>
            <w:pPr>
              <w:spacing w:after="0" w:before="0" w:line="240" w:lineRule="auto"/>
              <w:jc w:val="left"/>
            </w:pPr>
            <w:r>
              <w:t>Unit cost</w:t>
            </w:r>
          </w:p>
        </w:tc>
        <w:tc>
          <w:tcPr>
            <w:tcW w:type="dxa" w:w="5400"/>
          </w:tcPr>
          <w:p>
            <w:pPr>
              <w:spacing w:after="0" w:before="0" w:line="240" w:lineRule="auto"/>
              <w:jc w:val="left"/>
            </w:pPr>
            <w:r>
              <w:t>Estimated or quoted price</w:t>
            </w:r>
          </w:p>
        </w:tc>
      </w:tr>
      <w:tr>
        <w:tc>
          <w:tcPr>
            <w:tcW w:type="dxa" w:w="5400"/>
          </w:tcPr>
          <w:p>
            <w:pPr>
              <w:spacing w:after="0" w:before="0" w:line="240" w:lineRule="auto"/>
              <w:jc w:val="left"/>
            </w:pPr>
            <w:r>
              <w:t>Extended cost</w:t>
            </w:r>
          </w:p>
        </w:tc>
        <w:tc>
          <w:tcPr>
            <w:tcW w:type="dxa" w:w="5400"/>
          </w:tcPr>
          <w:p>
            <w:pPr>
              <w:spacing w:after="0" w:before="0" w:line="240" w:lineRule="auto"/>
              <w:jc w:val="left"/>
            </w:pPr>
            <w:r>
              <w:t>Quantity multiplied by unit cost</w:t>
            </w:r>
          </w:p>
        </w:tc>
      </w:tr>
      <w:tr>
        <w:tc>
          <w:tcPr>
            <w:tcW w:type="dxa" w:w="5400"/>
          </w:tcPr>
          <w:p>
            <w:pPr>
              <w:spacing w:after="0" w:before="0" w:line="240" w:lineRule="auto"/>
              <w:jc w:val="left"/>
            </w:pPr>
            <w:r>
              <w:t>Lead time</w:t>
            </w:r>
          </w:p>
        </w:tc>
        <w:tc>
          <w:tcPr>
            <w:tcW w:type="dxa" w:w="5400"/>
          </w:tcPr>
          <w:p>
            <w:pPr>
              <w:spacing w:after="0" w:before="0" w:line="240" w:lineRule="auto"/>
              <w:jc w:val="left"/>
            </w:pPr>
            <w:r>
              <w:t>Expected procurement duration</w:t>
            </w:r>
          </w:p>
        </w:tc>
      </w:tr>
      <w:tr>
        <w:tc>
          <w:tcPr>
            <w:tcW w:type="dxa" w:w="5400"/>
          </w:tcPr>
          <w:p>
            <w:pPr>
              <w:spacing w:after="0" w:before="0" w:line="240" w:lineRule="auto"/>
              <w:jc w:val="left"/>
            </w:pPr>
            <w:r>
              <w:t>Supplier</w:t>
            </w:r>
          </w:p>
        </w:tc>
        <w:tc>
          <w:tcPr>
            <w:tcW w:type="dxa" w:w="5400"/>
          </w:tcPr>
          <w:p>
            <w:pPr>
              <w:spacing w:after="0" w:before="0" w:line="240" w:lineRule="auto"/>
              <w:jc w:val="left"/>
            </w:pPr>
            <w:r>
              <w:t>Known or proposed supplier</w:t>
            </w:r>
          </w:p>
        </w:tc>
      </w:tr>
      <w:tr>
        <w:tc>
          <w:tcPr>
            <w:tcW w:type="dxa" w:w="5400"/>
          </w:tcPr>
          <w:p>
            <w:pPr>
              <w:spacing w:after="0" w:before="0" w:line="240" w:lineRule="auto"/>
              <w:jc w:val="left"/>
            </w:pPr>
            <w:r>
              <w:t>Criticality</w:t>
            </w:r>
          </w:p>
        </w:tc>
        <w:tc>
          <w:tcPr>
            <w:tcW w:type="dxa" w:w="5400"/>
          </w:tcPr>
          <w:p>
            <w:pPr>
              <w:spacing w:after="0" w:before="0" w:line="240" w:lineRule="auto"/>
              <w:jc w:val="left"/>
            </w:pPr>
            <w:r>
              <w:t>Impact if the item is unavailable or fails</w:t>
            </w:r>
          </w:p>
        </w:tc>
      </w:tr>
      <w:tr>
        <w:tc>
          <w:tcPr>
            <w:tcW w:type="dxa" w:w="5400"/>
          </w:tcPr>
          <w:p>
            <w:pPr>
              <w:spacing w:after="0" w:before="0" w:line="240" w:lineRule="auto"/>
              <w:jc w:val="left"/>
            </w:pPr>
            <w:r>
              <w:t>Lifecycle status</w:t>
            </w:r>
          </w:p>
        </w:tc>
        <w:tc>
          <w:tcPr>
            <w:tcW w:type="dxa" w:w="5400"/>
          </w:tcPr>
          <w:p>
            <w:pPr>
              <w:spacing w:after="0" w:before="0" w:line="240" w:lineRule="auto"/>
              <w:jc w:val="left"/>
            </w:pPr>
            <w:r>
              <w:t>Active, legacy, discontinued, or unverified</w:t>
            </w:r>
          </w:p>
        </w:tc>
      </w:tr>
      <w:tr>
        <w:tc>
          <w:tcPr>
            <w:tcW w:type="dxa" w:w="5400"/>
          </w:tcPr>
          <w:p>
            <w:pPr>
              <w:spacing w:after="0" w:before="0" w:line="240" w:lineRule="auto"/>
              <w:jc w:val="left"/>
            </w:pPr>
            <w:r>
              <w:t>Requirement reference</w:t>
            </w:r>
          </w:p>
        </w:tc>
        <w:tc>
          <w:tcPr>
            <w:tcW w:type="dxa" w:w="5400"/>
          </w:tcPr>
          <w:p>
            <w:pPr>
              <w:spacing w:after="0" w:before="0" w:line="240" w:lineRule="auto"/>
              <w:jc w:val="left"/>
            </w:pPr>
            <w:r>
              <w:t>Links the item to a requirement or design decision</w:t>
            </w:r>
          </w:p>
        </w:tc>
      </w:tr>
      <w:tr>
        <w:tc>
          <w:tcPr>
            <w:tcW w:type="dxa" w:w="5400"/>
          </w:tcPr>
          <w:p>
            <w:pPr>
              <w:spacing w:after="0" w:before="0" w:line="240" w:lineRule="auto"/>
              <w:jc w:val="left"/>
            </w:pPr>
            <w:r>
              <w:t>Remarks</w:t>
            </w:r>
          </w:p>
        </w:tc>
        <w:tc>
          <w:tcPr>
            <w:tcW w:type="dxa" w:w="5400"/>
          </w:tcPr>
          <w:p>
            <w:pPr>
              <w:spacing w:after="0" w:before="0" w:line="240" w:lineRule="auto"/>
              <w:jc w:val="left"/>
            </w:pPr>
            <w:r>
              <w:t>Assumptions, dependencies, or open issues</w:t>
            </w:r>
          </w:p>
        </w:tc>
      </w:tr>
    </w:tbl>
    <w:p/>
    <w:p>
      <w:r>
        <w:t>Not every field must be populated at the concept stage. Unknown fields should be marked as unknown or pending verification rather than filled with invented precision.</w:t>
      </w:r>
    </w:p>
    <w:p>
      <w:pPr>
        <w:pStyle w:val="Heading2"/>
      </w:pPr>
      <w:r>
        <w:t>8. Selecting the right level of BOM detail</w:t>
      </w:r>
    </w:p>
    <w:p>
      <w:r>
        <w:t>The preliminary BOM should be detailed enough for meaningful costing without pretending that detailed engineering is complete.</w:t>
      </w:r>
    </w:p>
    <w:p>
      <w:r>
        <w:t>For a selected PLC, the CPU may have a confirmed model family while exact I/O module counts remain provisional.</w:t>
      </w:r>
    </w:p>
    <w:p>
      <w:r>
        <w:t>For a cable, the type may be known while the final route length remains estimated until routing is complete.</w:t>
      </w:r>
    </w:p>
    <w:p>
      <w:r>
        <w:t>For a control panel, the required enclosure class and approximate dimensions may be known while the final thermal calculation and component layout are pending.</w:t>
      </w:r>
    </w:p>
    <w:p>
      <w:r>
        <w:t>A useful maturity classification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Maturity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M0: Conceptual</w:t>
            </w:r>
          </w:p>
        </w:tc>
        <w:tc>
          <w:tcPr>
            <w:tcW w:type="dxa" w:w="3600"/>
          </w:tcPr>
          <w:p>
            <w:pPr>
              <w:spacing w:after="0" w:before="0" w:line="240" w:lineRule="auto"/>
              <w:jc w:val="left"/>
            </w:pPr>
            <w:r>
              <w:t>Function or category identified</w:t>
            </w:r>
          </w:p>
        </w:tc>
        <w:tc>
          <w:tcPr>
            <w:tcW w:type="dxa" w:w="3600"/>
          </w:tcPr>
          <w:p>
            <w:pPr>
              <w:spacing w:after="0" w:before="0" w:line="240" w:lineRule="auto"/>
              <w:jc w:val="left"/>
            </w:pPr>
            <w:r>
              <w:t>PLC required</w:t>
            </w:r>
          </w:p>
        </w:tc>
      </w:tr>
      <w:tr>
        <w:tc>
          <w:tcPr>
            <w:tcW w:type="dxa" w:w="3600"/>
          </w:tcPr>
          <w:p>
            <w:pPr>
              <w:spacing w:after="0" w:before="0" w:line="240" w:lineRule="auto"/>
              <w:jc w:val="left"/>
            </w:pPr>
            <w:r>
              <w:t>M1: Candidate selected</w:t>
            </w:r>
          </w:p>
        </w:tc>
        <w:tc>
          <w:tcPr>
            <w:tcW w:type="dxa" w:w="3600"/>
          </w:tcPr>
          <w:p>
            <w:pPr>
              <w:spacing w:after="0" w:before="0" w:line="240" w:lineRule="auto"/>
              <w:jc w:val="left"/>
            </w:pPr>
            <w:r>
              <w:t>Product family identified</w:t>
            </w:r>
          </w:p>
        </w:tc>
        <w:tc>
          <w:tcPr>
            <w:tcW w:type="dxa" w:w="3600"/>
          </w:tcPr>
          <w:p>
            <w:pPr>
              <w:spacing w:after="0" w:before="0" w:line="240" w:lineRule="auto"/>
              <w:jc w:val="left"/>
            </w:pPr>
            <w:r>
              <w:t>Selected PLC family</w:t>
            </w:r>
          </w:p>
        </w:tc>
      </w:tr>
      <w:tr>
        <w:tc>
          <w:tcPr>
            <w:tcW w:type="dxa" w:w="3600"/>
          </w:tcPr>
          <w:p>
            <w:pPr>
              <w:spacing w:after="0" w:before="0" w:line="240" w:lineRule="auto"/>
              <w:jc w:val="left"/>
            </w:pPr>
            <w:r>
              <w:t>M2: Technically checked</w:t>
            </w:r>
          </w:p>
        </w:tc>
        <w:tc>
          <w:tcPr>
            <w:tcW w:type="dxa" w:w="3600"/>
          </w:tcPr>
          <w:p>
            <w:pPr>
              <w:spacing w:after="0" w:before="0" w:line="240" w:lineRule="auto"/>
              <w:jc w:val="left"/>
            </w:pPr>
            <w:r>
              <w:t>Model and key specifications verified</w:t>
            </w:r>
          </w:p>
        </w:tc>
        <w:tc>
          <w:tcPr>
            <w:tcW w:type="dxa" w:w="3600"/>
          </w:tcPr>
          <w:p>
            <w:pPr>
              <w:spacing w:after="0" w:before="0" w:line="240" w:lineRule="auto"/>
              <w:jc w:val="left"/>
            </w:pPr>
            <w:r>
              <w:t>CPU model confirmed</w:t>
            </w:r>
          </w:p>
        </w:tc>
      </w:tr>
      <w:tr>
        <w:tc>
          <w:tcPr>
            <w:tcW w:type="dxa" w:w="3600"/>
          </w:tcPr>
          <w:p>
            <w:pPr>
              <w:spacing w:after="0" w:before="0" w:line="240" w:lineRule="auto"/>
              <w:jc w:val="left"/>
            </w:pPr>
            <w:r>
              <w:t>M3: Engineering approved</w:t>
            </w:r>
          </w:p>
        </w:tc>
        <w:tc>
          <w:tcPr>
            <w:tcW w:type="dxa" w:w="3600"/>
          </w:tcPr>
          <w:p>
            <w:pPr>
              <w:spacing w:after="0" w:before="0" w:line="240" w:lineRule="auto"/>
              <w:jc w:val="left"/>
            </w:pPr>
            <w:r>
              <w:t>Part and quantity approved for design</w:t>
            </w:r>
          </w:p>
        </w:tc>
        <w:tc>
          <w:tcPr>
            <w:tcW w:type="dxa" w:w="3600"/>
          </w:tcPr>
          <w:p>
            <w:pPr>
              <w:spacing w:after="0" w:before="0" w:line="240" w:lineRule="auto"/>
              <w:jc w:val="left"/>
            </w:pPr>
            <w:r>
              <w:t>Exact module and quantity</w:t>
            </w:r>
          </w:p>
        </w:tc>
      </w:tr>
      <w:tr>
        <w:tc>
          <w:tcPr>
            <w:tcW w:type="dxa" w:w="3600"/>
          </w:tcPr>
          <w:p>
            <w:pPr>
              <w:spacing w:after="0" w:before="0" w:line="240" w:lineRule="auto"/>
              <w:jc w:val="left"/>
            </w:pPr>
            <w:r>
              <w:t>M4: Procurement released</w:t>
            </w:r>
          </w:p>
        </w:tc>
        <w:tc>
          <w:tcPr>
            <w:tcW w:type="dxa" w:w="3600"/>
          </w:tcPr>
          <w:p>
            <w:pPr>
              <w:spacing w:after="0" w:before="0" w:line="240" w:lineRule="auto"/>
              <w:jc w:val="left"/>
            </w:pPr>
            <w:r>
              <w:t>Ordering information verified and authorized</w:t>
            </w:r>
          </w:p>
        </w:tc>
        <w:tc>
          <w:tcPr>
            <w:tcW w:type="dxa" w:w="3600"/>
          </w:tcPr>
          <w:p>
            <w:pPr>
              <w:spacing w:after="0" w:before="0" w:line="240" w:lineRule="auto"/>
              <w:jc w:val="left"/>
            </w:pPr>
            <w:r>
              <w:t>Approved part ready for purchase</w:t>
            </w:r>
          </w:p>
        </w:tc>
      </w:tr>
      <w:tr>
        <w:tc>
          <w:tcPr>
            <w:tcW w:type="dxa" w:w="3600"/>
          </w:tcPr>
          <w:p>
            <w:pPr>
              <w:spacing w:after="0" w:before="0" w:line="240" w:lineRule="auto"/>
              <w:jc w:val="left"/>
            </w:pPr>
            <w:r>
              <w:t>M5: As-built confirmed</w:t>
            </w:r>
          </w:p>
        </w:tc>
        <w:tc>
          <w:tcPr>
            <w:tcW w:type="dxa" w:w="3600"/>
          </w:tcPr>
          <w:p>
            <w:pPr>
              <w:spacing w:after="0" w:before="0" w:line="240" w:lineRule="auto"/>
              <w:jc w:val="left"/>
            </w:pPr>
            <w:r>
              <w:t>Actual installed configuration recorded</w:t>
            </w:r>
          </w:p>
        </w:tc>
        <w:tc>
          <w:tcPr>
            <w:tcW w:type="dxa" w:w="3600"/>
          </w:tcPr>
          <w:p>
            <w:pPr>
              <w:spacing w:after="0" w:before="0" w:line="240" w:lineRule="auto"/>
              <w:jc w:val="left"/>
            </w:pPr>
            <w:r>
              <w:t>Installed model and revision</w:t>
            </w:r>
          </w:p>
        </w:tc>
      </w:tr>
    </w:tbl>
    <w:p/>
    <w:p>
      <w:r>
        <w:t>These labels are a suggested project convention, not a universal standard. A company may use different approval states.</w:t>
      </w:r>
    </w:p>
    <w:p>
      <w:pPr>
        <w:pStyle w:val="Heading2"/>
      </w:pPr>
      <w:r>
        <w:t>9. Calculating quantities</w:t>
      </w:r>
    </w:p>
    <w:p>
      <w:r>
        <w:t>Quantity estimates should be supported by a count, calculation, drawing, topology, or explicit allowance.</w:t>
      </w:r>
    </w:p>
    <w:p>
      <w:pPr>
        <w:pStyle w:val="Heading3"/>
      </w:pPr>
      <w:r>
        <w:t>9.1 Digital I/O modules</w:t>
      </w:r>
    </w:p>
    <w:p>
      <w:r>
        <w:t>Suppose the estimated requirement is 70 digital inputs and 46 digital outputs.</w:t>
      </w:r>
    </w:p>
    <w:p>
      <w:r>
        <w:t>The selected input module has 16 channels, and the output module has 16 channels.</w:t>
      </w:r>
    </w:p>
    <w:p>
      <w:r>
        <w:t>Input modules required:</w:t>
      </w:r>
    </w:p>
    <w:p>
      <w:pPr>
        <w:spacing w:before="120" w:after="160"/>
        <w:jc w:val="center"/>
      </w:pPr>
      <m:oMathPara>
        <m:oMath>
          <m:sSub>
            <m:e>
              <m:r>
                <m:t>N</m:t>
              </m:r>
            </m:e>
            <m:sub>
              <m:r>
                <m:t>DI</m:t>
              </m:r>
            </m:sub>
          </m:sSub>
          <m:r>
            <m:t>=</m:t>
          </m:r>
          <m:d>
            <m:dPr>
              <m:begChr m:val="⌈"/>
              <m:sepChr m:val=""/>
              <m:endChr m:val="⌉"/>
            </m:dPr>
            <m:e>
              <m:f>
                <m:fPr>
                  <m:type m:val="bar"/>
                </m:fPr>
                <m:num>
                  <m:r>
                    <m:t>70</m:t>
                  </m:r>
                </m:num>
                <m:den>
                  <m:r>
                    <m:t>16</m:t>
                  </m:r>
                </m:den>
              </m:f>
            </m:e>
          </m:d>
          <m:r>
            <m:t>=5</m:t>
          </m:r>
        </m:oMath>
      </m:oMathPara>
    </w:p>
    <w:p>
      <w:r>
        <w:t>Output modules required:</w:t>
      </w:r>
    </w:p>
    <w:p>
      <w:pPr>
        <w:spacing w:before="120" w:after="160"/>
        <w:jc w:val="center"/>
      </w:pPr>
      <m:oMathPara>
        <m:oMath>
          <m:sSub>
            <m:e>
              <m:r>
                <m:t>N</m:t>
              </m:r>
            </m:e>
            <m:sub>
              <m:r>
                <m:t>DO</m:t>
              </m:r>
            </m:sub>
          </m:sSub>
          <m:r>
            <m:t>=</m:t>
          </m:r>
          <m:d>
            <m:dPr>
              <m:begChr m:val="⌈"/>
              <m:sepChr m:val=""/>
              <m:endChr m:val="⌉"/>
            </m:dPr>
            <m:e>
              <m:f>
                <m:fPr>
                  <m:type m:val="bar"/>
                </m:fPr>
                <m:num>
                  <m:r>
                    <m:t>46</m:t>
                  </m:r>
                </m:num>
                <m:den>
                  <m:r>
                    <m:t>16</m:t>
                  </m:r>
                </m:den>
              </m:f>
            </m:e>
          </m:d>
          <m:r>
            <m:t>=3</m:t>
          </m:r>
        </m:oMath>
      </m:oMathPara>
    </w:p>
    <w:p>
      <w:r>
        <w:t>The resulting nominal capacity is 80 input channels and 48 output channels.</w:t>
      </w:r>
    </w:p>
    <w:p>
      <w:r>
        <w:t>The calculation does not establish whether the remaining capacity is sufficient for future expansion. It also does not confirm electrical compatibility, safety requirements, channel grouping, output load limits, or available rack capacity.</w:t>
      </w:r>
    </w:p>
    <w:p>
      <w:pPr>
        <w:pStyle w:val="Heading3"/>
      </w:pPr>
      <w:r>
        <w:t>9.2 Network switch ports</w:t>
      </w:r>
    </w:p>
    <w:p>
      <w:r>
        <w:t>Suppose the architecture includes:</w:t>
      </w:r>
    </w:p>
    <w:p>
      <w:pPr>
        <w:pStyle w:val="ListBullet"/>
      </w:pPr>
      <w:r>
        <w:t>One PLC.</w:t>
      </w:r>
    </w:p>
    <w:p>
      <w:pPr>
        <w:pStyle w:val="ListBullet"/>
      </w:pPr>
      <w:r>
        <w:t>One HMI.</w:t>
      </w:r>
    </w:p>
    <w:p>
      <w:pPr>
        <w:pStyle w:val="ListBullet"/>
      </w:pPr>
      <w:r>
        <w:t>Two drives.</w:t>
      </w:r>
    </w:p>
    <w:p>
      <w:pPr>
        <w:pStyle w:val="ListBullet"/>
      </w:pPr>
      <w:r>
        <w:t>One robot controller.</w:t>
      </w:r>
    </w:p>
    <w:p>
      <w:pPr>
        <w:pStyle w:val="ListBullet"/>
      </w:pPr>
      <w:r>
        <w:t>One remote I/O adapter.</w:t>
      </w:r>
    </w:p>
    <w:p>
      <w:pPr>
        <w:pStyle w:val="ListBullet"/>
      </w:pPr>
      <w:r>
        <w:t>One uplink to the plant network.</w:t>
      </w:r>
    </w:p>
    <w:p>
      <w:r>
        <w:t>The preliminary port count is:</w:t>
      </w:r>
    </w:p>
    <w:p>
      <w:pPr>
        <w:spacing w:before="120" w:after="160"/>
        <w:jc w:val="center"/>
      </w:pPr>
      <m:oMathPara>
        <m:oMath>
          <m:sSub>
            <m:e>
              <m:r>
                <m:t>N</m:t>
              </m:r>
            </m:e>
            <m:sub>
              <m:r>
                <m:rPr>
                  <m:nor/>
                </m:rPr>
                <m:t>ports</m:t>
              </m:r>
            </m:sub>
          </m:sSub>
          <m:r>
            <m:t>=1+1+2+1+1+1=7</m:t>
          </m:r>
        </m:oMath>
      </m:oMathPara>
    </w:p>
    <w:p>
      <w:r>
        <w:t>The selected switch must support at least the required port count, subject to topology, media type, redundancy, managed-switch functions, and expansion requirements.</w:t>
      </w:r>
    </w:p>
    <w:p>
      <w:r>
        <w:t>A practical design may need additional ports for diagnostics, future devices, or redundant links.</w:t>
      </w:r>
    </w:p>
    <w:p>
      <w:pPr>
        <w:pStyle w:val="Heading3"/>
      </w:pPr>
      <w:r>
        <w:t>9.3 Cable quantities</w:t>
      </w:r>
    </w:p>
    <w:p>
      <w:r>
        <w:t>Cable lengths should be based on available routing information.</w:t>
      </w:r>
    </w:p>
    <w:p>
      <w:r>
        <w:t>At the preliminary stage, use estimated route lengths and identify the estimation basis. During detailed engineering, update lengths from drawings or measured routes, accounting for routing, vertical drops, service loops, and installation requirements.</w:t>
      </w:r>
    </w:p>
    <w:p>
      <w:r>
        <w:t>Avoid applying one arbitrary percentage to every cable type. A short sensor lead, a long motor cable, and a fiber-optic backbone have different constraints.</w:t>
      </w:r>
    </w:p>
    <w:p>
      <w:pPr>
        <w:pStyle w:val="Heading3"/>
      </w:pPr>
      <w:r>
        <w:t>9.4 Terminal blocks</w:t>
      </w:r>
    </w:p>
    <w:p>
      <w:r>
        <w:t>Estimate terminal requirements from the actual wiring plan.</w:t>
      </w:r>
    </w:p>
    <w:p>
      <w:r>
        <w:t>Consider:</w:t>
      </w:r>
    </w:p>
    <w:p>
      <w:pPr>
        <w:pStyle w:val="ListBullet"/>
      </w:pPr>
      <w:r>
        <w:t>Incoming field conductors.</w:t>
      </w:r>
    </w:p>
    <w:p>
      <w:pPr>
        <w:pStyle w:val="ListBullet"/>
      </w:pPr>
      <w:r>
        <w:t>PLC I/O connections.</w:t>
      </w:r>
    </w:p>
    <w:p>
      <w:pPr>
        <w:pStyle w:val="ListBullet"/>
      </w:pPr>
      <w:r>
        <w:t>Power distribution.</w:t>
      </w:r>
    </w:p>
    <w:p>
      <w:pPr>
        <w:pStyle w:val="ListBullet"/>
      </w:pPr>
      <w:r>
        <w:t>Protective earth.</w:t>
      </w:r>
    </w:p>
    <w:p>
      <w:pPr>
        <w:pStyle w:val="ListBullet"/>
      </w:pPr>
      <w:r>
        <w:t>Shield termination.</w:t>
      </w:r>
    </w:p>
    <w:p>
      <w:pPr>
        <w:pStyle w:val="ListBullet"/>
      </w:pPr>
      <w:r>
        <w:t>Disconnect and test terminals.</w:t>
      </w:r>
    </w:p>
    <w:p>
      <w:pPr>
        <w:pStyle w:val="ListBullet"/>
      </w:pPr>
      <w:r>
        <w:t>Potential distribution.</w:t>
      </w:r>
    </w:p>
    <w:p>
      <w:pPr>
        <w:pStyle w:val="ListBullet"/>
      </w:pPr>
      <w:r>
        <w:t>Spare terminals.</w:t>
      </w:r>
    </w:p>
    <w:p>
      <w:pPr>
        <w:pStyle w:val="ListBullet"/>
      </w:pPr>
      <w:r>
        <w:t>Interface terminals for external systems.</w:t>
      </w:r>
    </w:p>
    <w:p>
      <w:r>
        <w:t>One field signal does not always equal one terminal block. A circuit may require multiple terminals, common distribution, protective-earth terminals, or dedicated disconnect terminals.</w:t>
      </w:r>
    </w:p>
    <w:p>
      <w:pPr>
        <w:pStyle w:val="Heading2"/>
      </w:pPr>
      <w:r>
        <w:t>10. Make, buy, reuse, and modify decisions</w:t>
      </w:r>
    </w:p>
    <w:p>
      <w:r>
        <w:t>Each BOM item should have a sourcing or disposition decision.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Status</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Buy</w:t>
            </w:r>
          </w:p>
        </w:tc>
        <w:tc>
          <w:tcPr>
            <w:tcW w:type="dxa" w:w="3600"/>
          </w:tcPr>
          <w:p>
            <w:pPr>
              <w:spacing w:after="0" w:before="0" w:line="240" w:lineRule="auto"/>
              <w:jc w:val="left"/>
            </w:pPr>
            <w:r>
              <w:t>Purchase a new component</w:t>
            </w:r>
          </w:p>
        </w:tc>
        <w:tc>
          <w:tcPr>
            <w:tcW w:type="dxa" w:w="3600"/>
          </w:tcPr>
          <w:p>
            <w:pPr>
              <w:spacing w:after="0" w:before="0" w:line="240" w:lineRule="auto"/>
              <w:jc w:val="left"/>
            </w:pPr>
            <w:r>
              <w:t>New industrial switch</w:t>
            </w:r>
          </w:p>
        </w:tc>
      </w:tr>
      <w:tr>
        <w:tc>
          <w:tcPr>
            <w:tcW w:type="dxa" w:w="3600"/>
          </w:tcPr>
          <w:p>
            <w:pPr>
              <w:spacing w:after="0" w:before="0" w:line="240" w:lineRule="auto"/>
              <w:jc w:val="left"/>
            </w:pPr>
            <w:r>
              <w:t>Reuse</w:t>
            </w:r>
          </w:p>
        </w:tc>
        <w:tc>
          <w:tcPr>
            <w:tcW w:type="dxa" w:w="3600"/>
          </w:tcPr>
          <w:p>
            <w:pPr>
              <w:spacing w:after="0" w:before="0" w:line="240" w:lineRule="auto"/>
              <w:jc w:val="left"/>
            </w:pPr>
            <w:r>
              <w:t>Retain an existing component</w:t>
            </w:r>
          </w:p>
        </w:tc>
        <w:tc>
          <w:tcPr>
            <w:tcW w:type="dxa" w:w="3600"/>
          </w:tcPr>
          <w:p>
            <w:pPr>
              <w:spacing w:after="0" w:before="0" w:line="240" w:lineRule="auto"/>
              <w:jc w:val="left"/>
            </w:pPr>
            <w:r>
              <w:t>Existing PLC verified as compatible</w:t>
            </w:r>
          </w:p>
        </w:tc>
      </w:tr>
      <w:tr>
        <w:tc>
          <w:tcPr>
            <w:tcW w:type="dxa" w:w="3600"/>
          </w:tcPr>
          <w:p>
            <w:pPr>
              <w:spacing w:after="0" w:before="0" w:line="240" w:lineRule="auto"/>
              <w:jc w:val="left"/>
            </w:pPr>
            <w:r>
              <w:t>Modify</w:t>
            </w:r>
          </w:p>
        </w:tc>
        <w:tc>
          <w:tcPr>
            <w:tcW w:type="dxa" w:w="3600"/>
          </w:tcPr>
          <w:p>
            <w:pPr>
              <w:spacing w:after="0" w:before="0" w:line="240" w:lineRule="auto"/>
              <w:jc w:val="left"/>
            </w:pPr>
            <w:r>
              <w:t>Adapt an existing assembly</w:t>
            </w:r>
          </w:p>
        </w:tc>
        <w:tc>
          <w:tcPr>
            <w:tcW w:type="dxa" w:w="3600"/>
          </w:tcPr>
          <w:p>
            <w:pPr>
              <w:spacing w:after="0" w:before="0" w:line="240" w:lineRule="auto"/>
              <w:jc w:val="left"/>
            </w:pPr>
            <w:r>
              <w:t>Existing panel updated with new terminals</w:t>
            </w:r>
          </w:p>
        </w:tc>
      </w:tr>
      <w:tr>
        <w:tc>
          <w:tcPr>
            <w:tcW w:type="dxa" w:w="3600"/>
          </w:tcPr>
          <w:p>
            <w:pPr>
              <w:spacing w:after="0" w:before="0" w:line="240" w:lineRule="auto"/>
              <w:jc w:val="left"/>
            </w:pPr>
            <w:r>
              <w:t>Fabricate</w:t>
            </w:r>
          </w:p>
        </w:tc>
        <w:tc>
          <w:tcPr>
            <w:tcW w:type="dxa" w:w="3600"/>
          </w:tcPr>
          <w:p>
            <w:pPr>
              <w:spacing w:after="0" w:before="0" w:line="240" w:lineRule="auto"/>
              <w:jc w:val="left"/>
            </w:pPr>
            <w:r>
              <w:t>Manufacture a custom component</w:t>
            </w:r>
          </w:p>
        </w:tc>
        <w:tc>
          <w:tcPr>
            <w:tcW w:type="dxa" w:w="3600"/>
          </w:tcPr>
          <w:p>
            <w:pPr>
              <w:spacing w:after="0" w:before="0" w:line="240" w:lineRule="auto"/>
              <w:jc w:val="left"/>
            </w:pPr>
            <w:r>
              <w:t>Sensor mounting bracket</w:t>
            </w:r>
          </w:p>
        </w:tc>
      </w:tr>
      <w:tr>
        <w:tc>
          <w:tcPr>
            <w:tcW w:type="dxa" w:w="3600"/>
          </w:tcPr>
          <w:p>
            <w:pPr>
              <w:spacing w:after="0" w:before="0" w:line="240" w:lineRule="auto"/>
              <w:jc w:val="left"/>
            </w:pPr>
            <w:r>
              <w:t>Customer-supplied</w:t>
            </w:r>
          </w:p>
        </w:tc>
        <w:tc>
          <w:tcPr>
            <w:tcW w:type="dxa" w:w="3600"/>
          </w:tcPr>
          <w:p>
            <w:pPr>
              <w:spacing w:after="0" w:before="0" w:line="240" w:lineRule="auto"/>
              <w:jc w:val="left"/>
            </w:pPr>
            <w:r>
              <w:t>Provided by the customer</w:t>
            </w:r>
          </w:p>
        </w:tc>
        <w:tc>
          <w:tcPr>
            <w:tcW w:type="dxa" w:w="3600"/>
          </w:tcPr>
          <w:p>
            <w:pPr>
              <w:spacing w:after="0" w:before="0" w:line="240" w:lineRule="auto"/>
              <w:jc w:val="left"/>
            </w:pPr>
            <w:r>
              <w:t>Customer-owned robot controller</w:t>
            </w:r>
          </w:p>
        </w:tc>
      </w:tr>
      <w:tr>
        <w:tc>
          <w:tcPr>
            <w:tcW w:type="dxa" w:w="3600"/>
          </w:tcPr>
          <w:p>
            <w:pPr>
              <w:spacing w:after="0" w:before="0" w:line="240" w:lineRule="auto"/>
              <w:jc w:val="left"/>
            </w:pPr>
            <w:r>
              <w:t>Vendor-supplied</w:t>
            </w:r>
          </w:p>
        </w:tc>
        <w:tc>
          <w:tcPr>
            <w:tcW w:type="dxa" w:w="3600"/>
          </w:tcPr>
          <w:p>
            <w:pPr>
              <w:spacing w:after="0" w:before="0" w:line="240" w:lineRule="auto"/>
              <w:jc w:val="left"/>
            </w:pPr>
            <w:r>
              <w:t>Included in a supplier's scope</w:t>
            </w:r>
          </w:p>
        </w:tc>
        <w:tc>
          <w:tcPr>
            <w:tcW w:type="dxa" w:w="3600"/>
          </w:tcPr>
          <w:p>
            <w:pPr>
              <w:spacing w:after="0" w:before="0" w:line="240" w:lineRule="auto"/>
              <w:jc w:val="left"/>
            </w:pPr>
            <w:r>
              <w:t>Robot controller accessory in a package</w:t>
            </w:r>
          </w:p>
        </w:tc>
      </w:tr>
      <w:tr>
        <w:tc>
          <w:tcPr>
            <w:tcW w:type="dxa" w:w="3600"/>
          </w:tcPr>
          <w:p>
            <w:pPr>
              <w:spacing w:after="0" w:before="0" w:line="240" w:lineRule="auto"/>
              <w:jc w:val="left"/>
            </w:pPr>
            <w:r>
              <w:t>Optional</w:t>
            </w:r>
          </w:p>
        </w:tc>
        <w:tc>
          <w:tcPr>
            <w:tcW w:type="dxa" w:w="3600"/>
          </w:tcPr>
          <w:p>
            <w:pPr>
              <w:spacing w:after="0" w:before="0" w:line="240" w:lineRule="auto"/>
              <w:jc w:val="left"/>
            </w:pPr>
            <w:r>
              <w:t>Needed only if a condition applies</w:t>
            </w:r>
          </w:p>
        </w:tc>
        <w:tc>
          <w:tcPr>
            <w:tcW w:type="dxa" w:w="3600"/>
          </w:tcPr>
          <w:p>
            <w:pPr>
              <w:spacing w:after="0" w:before="0" w:line="240" w:lineRule="auto"/>
              <w:jc w:val="left"/>
            </w:pPr>
            <w:r>
              <w:t>Additional network module if port capacity is insufficient</w:t>
            </w:r>
          </w:p>
        </w:tc>
      </w:tr>
    </w:tbl>
    <w:p/>
    <w:p>
      <w:r>
        <w:t>Reuse must be supported by an engineering assessment. Check condition, remaining service life, compatibility, firmware, supportability, and any safety or performance implications.</w:t>
      </w:r>
    </w:p>
    <w:p>
      <w:r>
        <w:t>A component already installed on site is not automatically free. It may require inspection, testing, reconfiguration, refurbishment, or downtime to remove and reinstall.</w:t>
      </w:r>
    </w:p>
    <w:p>
      <w:pPr>
        <w:pStyle w:val="Heading2"/>
      </w:pPr>
      <w:r>
        <w:t>11. Avoiding duplicate items and omissions</w:t>
      </w:r>
    </w:p>
    <w:p>
      <w:r>
        <w:t>Duplicate and missing components are common preliminary BOM problems.</w:t>
      </w:r>
    </w:p>
    <w:p>
      <w:r>
        <w:t>Examples of duplicates:</w:t>
      </w:r>
    </w:p>
    <w:p>
      <w:pPr>
        <w:pStyle w:val="ListBullet"/>
      </w:pPr>
      <w:r>
        <w:t>A communication module counted separately when already included in a supplied assembly.</w:t>
      </w:r>
    </w:p>
    <w:p>
      <w:pPr>
        <w:pStyle w:val="ListBullet"/>
      </w:pPr>
      <w:r>
        <w:t>A cable included in a robot package and also listed as an independent purchase.</w:t>
      </w:r>
    </w:p>
    <w:p>
      <w:pPr>
        <w:pStyle w:val="ListBullet"/>
      </w:pPr>
      <w:r>
        <w:t>The same switch included in both the machine BOM and the plant network BOM.</w:t>
      </w:r>
    </w:p>
    <w:p>
      <w:pPr>
        <w:pStyle w:val="ListBullet"/>
      </w:pPr>
      <w:r>
        <w:t>Engineering services listed twice under different descriptions.</w:t>
      </w:r>
    </w:p>
    <w:p>
      <w:r>
        <w:t>Examples of omissions:</w:t>
      </w:r>
    </w:p>
    <w:p>
      <w:pPr>
        <w:pStyle w:val="ListBullet"/>
      </w:pPr>
      <w:r>
        <w:t>Required connectors.</w:t>
      </w:r>
    </w:p>
    <w:p>
      <w:pPr>
        <w:pStyle w:val="ListBullet"/>
      </w:pPr>
      <w:r>
        <w:t>PLC memory cards.</w:t>
      </w:r>
    </w:p>
    <w:p>
      <w:pPr>
        <w:pStyle w:val="ListBullet"/>
      </w:pPr>
      <w:r>
        <w:t>Drive braking accessories.</w:t>
      </w:r>
    </w:p>
    <w:p>
      <w:pPr>
        <w:pStyle w:val="ListBullet"/>
      </w:pPr>
      <w:r>
        <w:t>Mounting kits.</w:t>
      </w:r>
    </w:p>
    <w:p>
      <w:pPr>
        <w:pStyle w:val="ListBullet"/>
      </w:pPr>
      <w:r>
        <w:t>Device description files or software licenses where separately licensed.</w:t>
      </w:r>
    </w:p>
    <w:p>
      <w:pPr>
        <w:pStyle w:val="ListBullet"/>
      </w:pPr>
      <w:r>
        <w:t>Network uplink components.</w:t>
      </w:r>
    </w:p>
    <w:p>
      <w:pPr>
        <w:pStyle w:val="ListBullet"/>
      </w:pPr>
      <w:r>
        <w:t>Cable glands and labels.</w:t>
      </w:r>
    </w:p>
    <w:p>
      <w:pPr>
        <w:pStyle w:val="ListBullet"/>
      </w:pPr>
      <w:r>
        <w:t>Required safety interfaces.</w:t>
      </w:r>
    </w:p>
    <w:p>
      <w:pPr>
        <w:pStyle w:val="ListBullet"/>
      </w:pPr>
      <w:r>
        <w:t>Backup media or approved backup storage.</w:t>
      </w:r>
    </w:p>
    <w:p>
      <w:pPr>
        <w:pStyle w:val="ListBullet"/>
      </w:pPr>
      <w:r>
        <w:t>Installation and commissioning materials.</w:t>
      </w:r>
    </w:p>
    <w:p>
      <w:r>
        <w:t>To prevent these problems:</w:t>
      </w:r>
    </w:p>
    <w:p>
      <w:pPr>
        <w:tabs>
          <w:tab w:pos="403" w:val="left"/>
        </w:tabs>
        <w:spacing w:after="40" w:line="276" w:lineRule="auto"/>
        <w:ind w:left="403" w:hanging="403"/>
        <w:jc w:val="left"/>
      </w:pPr>
      <w:r>
        <w:rPr>
          <w:color w:val="1A2E4A"/>
        </w:rPr>
        <w:t>1.</w:t>
        <w:tab/>
      </w:r>
      <w:r>
        <w:t>Define the scope boundary for each subsystem.</w:t>
      </w:r>
    </w:p>
    <w:p>
      <w:pPr>
        <w:tabs>
          <w:tab w:pos="403" w:val="left"/>
        </w:tabs>
        <w:spacing w:after="40" w:line="276" w:lineRule="auto"/>
        <w:ind w:left="403" w:hanging="403"/>
        <w:jc w:val="left"/>
      </w:pPr>
      <w:r>
        <w:rPr>
          <w:color w:val="1A2E4A"/>
        </w:rPr>
        <w:t>2.</w:t>
        <w:tab/>
      </w:r>
      <w:r>
        <w:t>Identify package-included items.</w:t>
      </w:r>
    </w:p>
    <w:p>
      <w:pPr>
        <w:tabs>
          <w:tab w:pos="403" w:val="left"/>
        </w:tabs>
        <w:spacing w:after="40" w:line="276" w:lineRule="auto"/>
        <w:ind w:left="403" w:hanging="403"/>
        <w:jc w:val="left"/>
      </w:pPr>
      <w:r>
        <w:rPr>
          <w:color w:val="1A2E4A"/>
        </w:rPr>
        <w:t>3.</w:t>
        <w:tab/>
      </w:r>
      <w:r>
        <w:t>Assign ownership for shared components.</w:t>
      </w:r>
    </w:p>
    <w:p>
      <w:pPr>
        <w:tabs>
          <w:tab w:pos="403" w:val="left"/>
        </w:tabs>
        <w:spacing w:after="40" w:line="276" w:lineRule="auto"/>
        <w:ind w:left="403" w:hanging="403"/>
        <w:jc w:val="left"/>
      </w:pPr>
      <w:r>
        <w:rPr>
          <w:color w:val="1A2E4A"/>
        </w:rPr>
        <w:t>4.</w:t>
        <w:tab/>
      </w:r>
      <w:r>
        <w:t>Use unique BOM item IDs.</w:t>
      </w:r>
    </w:p>
    <w:p>
      <w:pPr>
        <w:tabs>
          <w:tab w:pos="403" w:val="left"/>
        </w:tabs>
        <w:spacing w:after="40" w:line="276" w:lineRule="auto"/>
        <w:ind w:left="403" w:hanging="403"/>
        <w:jc w:val="left"/>
      </w:pPr>
      <w:r>
        <w:rPr>
          <w:color w:val="1A2E4A"/>
        </w:rPr>
        <w:t>5.</w:t>
        <w:tab/>
      </w:r>
      <w:r>
        <w:t>Review the architecture against the BOM.</w:t>
      </w:r>
    </w:p>
    <w:p>
      <w:pPr>
        <w:tabs>
          <w:tab w:pos="403" w:val="left"/>
        </w:tabs>
        <w:spacing w:after="40" w:line="276" w:lineRule="auto"/>
        <w:ind w:left="403" w:hanging="403"/>
        <w:jc w:val="left"/>
      </w:pPr>
      <w:r>
        <w:rPr>
          <w:color w:val="1A2E4A"/>
        </w:rPr>
        <w:t>6.</w:t>
        <w:tab/>
      </w:r>
      <w:r>
        <w:t>Cross-check the I/O list, network topology, and preliminary electrical design.</w:t>
      </w:r>
    </w:p>
    <w:p>
      <w:pPr>
        <w:tabs>
          <w:tab w:pos="403" w:val="left"/>
        </w:tabs>
        <w:spacing w:after="40" w:line="276" w:lineRule="auto"/>
        <w:ind w:left="403" w:hanging="403"/>
        <w:jc w:val="left"/>
      </w:pPr>
      <w:r>
        <w:rPr>
          <w:color w:val="1A2E4A"/>
        </w:rPr>
        <w:t>7.</w:t>
        <w:tab/>
      </w:r>
      <w:r>
        <w:t>Maintain a list of unresolved items and assumptions.</w:t>
      </w:r>
    </w:p>
    <w:p>
      <w:pPr>
        <w:pStyle w:val="Heading2"/>
      </w:pPr>
      <w:r>
        <w:t>12. Estimating quantities from an I/O list</w:t>
      </w:r>
    </w:p>
    <w:p>
      <w:r>
        <w:t>An I/O list is one of the strongest sources for a preliminary electrical BOM.</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category</w:t>
            </w:r>
          </w:p>
        </w:tc>
        <w:tc>
          <w:tcPr>
            <w:tcW w:type="dxa" w:w="3600"/>
            <w:shd w:val="clear" w:color="auto" w:fill="EEF2F7"/>
          </w:tcPr>
          <w:p>
            <w:pPr>
              <w:spacing w:after="0" w:before="0" w:line="240" w:lineRule="auto"/>
              <w:jc w:val="left"/>
            </w:pPr>
            <w:r>
              <w:rPr>
                <w:b/>
                <w:color w:val="1A2E4A"/>
              </w:rPr>
              <w:t>Estimated points</w:t>
            </w:r>
          </w:p>
        </w:tc>
        <w:tc>
          <w:tcPr>
            <w:tcW w:type="dxa" w:w="3600"/>
            <w:shd w:val="clear" w:color="auto" w:fill="EEF2F7"/>
          </w:tcPr>
          <w:p>
            <w:pPr>
              <w:spacing w:after="0" w:before="0" w:line="240" w:lineRule="auto"/>
              <w:jc w:val="left"/>
            </w:pPr>
            <w:r>
              <w:rPr>
                <w:b/>
                <w:color w:val="1A2E4A"/>
              </w:rPr>
              <w:t>Preliminary BOM implication</w:t>
            </w:r>
          </w:p>
        </w:tc>
      </w:tr>
      <w:tr>
        <w:tc>
          <w:tcPr>
            <w:tcW w:type="dxa" w:w="3600"/>
          </w:tcPr>
          <w:p>
            <w:pPr>
              <w:spacing w:after="0" w:before="0" w:line="240" w:lineRule="auto"/>
              <w:jc w:val="left"/>
            </w:pPr>
            <w:r>
              <w:t>Digital inputs</w:t>
            </w:r>
          </w:p>
        </w:tc>
        <w:tc>
          <w:tcPr>
            <w:tcW w:type="dxa" w:w="3600"/>
          </w:tcPr>
          <w:p>
            <w:pPr>
              <w:spacing w:after="0" w:before="0" w:line="240" w:lineRule="auto"/>
              <w:jc w:val="left"/>
            </w:pPr>
            <w:r>
              <w:t>70</w:t>
            </w:r>
          </w:p>
        </w:tc>
        <w:tc>
          <w:tcPr>
            <w:tcW w:type="dxa" w:w="3600"/>
          </w:tcPr>
          <w:p>
            <w:pPr>
              <w:spacing w:after="0" w:before="0" w:line="240" w:lineRule="auto"/>
              <w:jc w:val="left"/>
            </w:pPr>
            <w:r>
              <w:t>Input modules and field terminals</w:t>
            </w:r>
          </w:p>
        </w:tc>
      </w:tr>
      <w:tr>
        <w:tc>
          <w:tcPr>
            <w:tcW w:type="dxa" w:w="3600"/>
          </w:tcPr>
          <w:p>
            <w:pPr>
              <w:spacing w:after="0" w:before="0" w:line="240" w:lineRule="auto"/>
              <w:jc w:val="left"/>
            </w:pPr>
            <w:r>
              <w:t>Digital outputs</w:t>
            </w:r>
          </w:p>
        </w:tc>
        <w:tc>
          <w:tcPr>
            <w:tcW w:type="dxa" w:w="3600"/>
          </w:tcPr>
          <w:p>
            <w:pPr>
              <w:spacing w:after="0" w:before="0" w:line="240" w:lineRule="auto"/>
              <w:jc w:val="left"/>
            </w:pPr>
            <w:r>
              <w:t>46</w:t>
            </w:r>
          </w:p>
        </w:tc>
        <w:tc>
          <w:tcPr>
            <w:tcW w:type="dxa" w:w="3600"/>
          </w:tcPr>
          <w:p>
            <w:pPr>
              <w:spacing w:after="0" w:before="0" w:line="240" w:lineRule="auto"/>
              <w:jc w:val="left"/>
            </w:pPr>
            <w:r>
              <w:t>Output modules and output protection as required</w:t>
            </w:r>
          </w:p>
        </w:tc>
      </w:tr>
      <w:tr>
        <w:tc>
          <w:tcPr>
            <w:tcW w:type="dxa" w:w="3600"/>
          </w:tcPr>
          <w:p>
            <w:pPr>
              <w:spacing w:after="0" w:before="0" w:line="240" w:lineRule="auto"/>
              <w:jc w:val="left"/>
            </w:pPr>
            <w:r>
              <w:t>Analog inputs</w:t>
            </w:r>
          </w:p>
        </w:tc>
        <w:tc>
          <w:tcPr>
            <w:tcW w:type="dxa" w:w="3600"/>
          </w:tcPr>
          <w:p>
            <w:pPr>
              <w:spacing w:after="0" w:before="0" w:line="240" w:lineRule="auto"/>
              <w:jc w:val="left"/>
            </w:pPr>
            <w:r>
              <w:t>12</w:t>
            </w:r>
          </w:p>
        </w:tc>
        <w:tc>
          <w:tcPr>
            <w:tcW w:type="dxa" w:w="3600"/>
          </w:tcPr>
          <w:p>
            <w:pPr>
              <w:spacing w:after="0" w:before="0" w:line="240" w:lineRule="auto"/>
              <w:jc w:val="left"/>
            </w:pPr>
            <w:r>
              <w:t>Analog input modules</w:t>
            </w:r>
          </w:p>
        </w:tc>
      </w:tr>
      <w:tr>
        <w:tc>
          <w:tcPr>
            <w:tcW w:type="dxa" w:w="3600"/>
          </w:tcPr>
          <w:p>
            <w:pPr>
              <w:spacing w:after="0" w:before="0" w:line="240" w:lineRule="auto"/>
              <w:jc w:val="left"/>
            </w:pPr>
            <w:r>
              <w:t>Analog outputs</w:t>
            </w:r>
          </w:p>
        </w:tc>
        <w:tc>
          <w:tcPr>
            <w:tcW w:type="dxa" w:w="3600"/>
          </w:tcPr>
          <w:p>
            <w:pPr>
              <w:spacing w:after="0" w:before="0" w:line="240" w:lineRule="auto"/>
              <w:jc w:val="left"/>
            </w:pPr>
            <w:r>
              <w:t>4</w:t>
            </w:r>
          </w:p>
        </w:tc>
        <w:tc>
          <w:tcPr>
            <w:tcW w:type="dxa" w:w="3600"/>
          </w:tcPr>
          <w:p>
            <w:pPr>
              <w:spacing w:after="0" w:before="0" w:line="240" w:lineRule="auto"/>
              <w:jc w:val="left"/>
            </w:pPr>
            <w:r>
              <w:t>Analog output modules</w:t>
            </w:r>
          </w:p>
        </w:tc>
      </w:tr>
      <w:tr>
        <w:tc>
          <w:tcPr>
            <w:tcW w:type="dxa" w:w="3600"/>
          </w:tcPr>
          <w:p>
            <w:pPr>
              <w:spacing w:after="0" w:before="0" w:line="240" w:lineRule="auto"/>
              <w:jc w:val="left"/>
            </w:pPr>
            <w:r>
              <w:t>Encoder inputs</w:t>
            </w:r>
          </w:p>
        </w:tc>
        <w:tc>
          <w:tcPr>
            <w:tcW w:type="dxa" w:w="3600"/>
          </w:tcPr>
          <w:p>
            <w:pPr>
              <w:spacing w:after="0" w:before="0" w:line="240" w:lineRule="auto"/>
              <w:jc w:val="left"/>
            </w:pPr>
            <w:r>
              <w:t>2</w:t>
            </w:r>
          </w:p>
        </w:tc>
        <w:tc>
          <w:tcPr>
            <w:tcW w:type="dxa" w:w="3600"/>
          </w:tcPr>
          <w:p>
            <w:pPr>
              <w:spacing w:after="0" w:before="0" w:line="240" w:lineRule="auto"/>
              <w:jc w:val="left"/>
            </w:pPr>
            <w:r>
              <w:t>Compatible high-speed or encoder interfaces</w:t>
            </w:r>
          </w:p>
        </w:tc>
      </w:tr>
      <w:tr>
        <w:tc>
          <w:tcPr>
            <w:tcW w:type="dxa" w:w="3600"/>
          </w:tcPr>
          <w:p>
            <w:pPr>
              <w:spacing w:after="0" w:before="0" w:line="240" w:lineRule="auto"/>
              <w:jc w:val="left"/>
            </w:pPr>
            <w:r>
              <w:t>Safety inputs</w:t>
            </w:r>
          </w:p>
        </w:tc>
        <w:tc>
          <w:tcPr>
            <w:tcW w:type="dxa" w:w="3600"/>
          </w:tcPr>
          <w:p>
            <w:pPr>
              <w:spacing w:after="0" w:before="0" w:line="240" w:lineRule="auto"/>
              <w:jc w:val="left"/>
            </w:pPr>
            <w:r>
              <w:t>16</w:t>
            </w:r>
          </w:p>
        </w:tc>
        <w:tc>
          <w:tcPr>
            <w:tcW w:type="dxa" w:w="3600"/>
          </w:tcPr>
          <w:p>
            <w:pPr>
              <w:spacing w:after="0" w:before="0" w:line="240" w:lineRule="auto"/>
              <w:jc w:val="left"/>
            </w:pPr>
            <w:r>
              <w:t>Safety I/O or safety devices based on architecture</w:t>
            </w:r>
          </w:p>
        </w:tc>
      </w:tr>
    </w:tbl>
    <w:p/>
    <w:p>
      <w:r>
        <w:t>The quantities above are illustrative. Final module counts depend on channel density, signal types, isolation requirements, voltage levels, commoning, safety architecture, and spare-capacity strategy.</w:t>
      </w:r>
    </w:p>
    <w:p>
      <w:r>
        <w:t>The I/O list should identify the signal source, destination, type, electrical characteristics, normal state, and associated machine function where known.</w:t>
      </w:r>
    </w:p>
    <w:p>
      <w:pPr>
        <w:pStyle w:val="Heading2"/>
      </w:pPr>
      <w:r>
        <w:t>13. BOM and electrical design documentation</w:t>
      </w:r>
    </w:p>
    <w:p>
      <w:r>
        <w:t>The BOM should be cross-checked against engineering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Engineering document</w:t>
            </w:r>
          </w:p>
        </w:tc>
        <w:tc>
          <w:tcPr>
            <w:tcW w:type="dxa" w:w="5400"/>
            <w:shd w:val="clear" w:color="auto" w:fill="EEF2F7"/>
          </w:tcPr>
          <w:p>
            <w:pPr>
              <w:spacing w:after="0" w:before="0" w:line="240" w:lineRule="auto"/>
              <w:jc w:val="left"/>
            </w:pPr>
            <w:r>
              <w:rPr>
                <w:b/>
                <w:color w:val="1A2E4A"/>
              </w:rPr>
              <w:t>BOM cross-check</w:t>
            </w:r>
          </w:p>
        </w:tc>
      </w:tr>
      <w:tr>
        <w:tc>
          <w:tcPr>
            <w:tcW w:type="dxa" w:w="5400"/>
          </w:tcPr>
          <w:p>
            <w:pPr>
              <w:spacing w:after="0" w:before="0" w:line="240" w:lineRule="auto"/>
              <w:jc w:val="left"/>
            </w:pPr>
            <w:r>
              <w:t>System architecture</w:t>
            </w:r>
          </w:p>
        </w:tc>
        <w:tc>
          <w:tcPr>
            <w:tcW w:type="dxa" w:w="5400"/>
          </w:tcPr>
          <w:p>
            <w:pPr>
              <w:spacing w:after="0" w:before="0" w:line="240" w:lineRule="auto"/>
              <w:jc w:val="left"/>
            </w:pPr>
            <w:r>
              <w:t>All major system blocks represented</w:t>
            </w:r>
          </w:p>
        </w:tc>
      </w:tr>
      <w:tr>
        <w:tc>
          <w:tcPr>
            <w:tcW w:type="dxa" w:w="5400"/>
          </w:tcPr>
          <w:p>
            <w:pPr>
              <w:spacing w:after="0" w:before="0" w:line="240" w:lineRule="auto"/>
              <w:jc w:val="left"/>
            </w:pPr>
            <w:r>
              <w:t>I/O list</w:t>
            </w:r>
          </w:p>
        </w:tc>
        <w:tc>
          <w:tcPr>
            <w:tcW w:type="dxa" w:w="5400"/>
          </w:tcPr>
          <w:p>
            <w:pPr>
              <w:spacing w:after="0" w:before="0" w:line="240" w:lineRule="auto"/>
              <w:jc w:val="left"/>
            </w:pPr>
            <w:r>
              <w:t>Required modules and field devices included</w:t>
            </w:r>
          </w:p>
        </w:tc>
      </w:tr>
      <w:tr>
        <w:tc>
          <w:tcPr>
            <w:tcW w:type="dxa" w:w="5400"/>
          </w:tcPr>
          <w:p>
            <w:pPr>
              <w:spacing w:after="0" w:before="0" w:line="240" w:lineRule="auto"/>
              <w:jc w:val="left"/>
            </w:pPr>
            <w:r>
              <w:t>Electrical schematics</w:t>
            </w:r>
          </w:p>
        </w:tc>
        <w:tc>
          <w:tcPr>
            <w:tcW w:type="dxa" w:w="5400"/>
          </w:tcPr>
          <w:p>
            <w:pPr>
              <w:spacing w:after="0" w:before="0" w:line="240" w:lineRule="auto"/>
              <w:jc w:val="left"/>
            </w:pPr>
            <w:r>
              <w:t>Protection, terminals, relays, and wiring accessories included</w:t>
            </w:r>
          </w:p>
        </w:tc>
      </w:tr>
      <w:tr>
        <w:tc>
          <w:tcPr>
            <w:tcW w:type="dxa" w:w="5400"/>
          </w:tcPr>
          <w:p>
            <w:pPr>
              <w:spacing w:after="0" w:before="0" w:line="240" w:lineRule="auto"/>
              <w:jc w:val="left"/>
            </w:pPr>
            <w:r>
              <w:t>Panel layout</w:t>
            </w:r>
          </w:p>
        </w:tc>
        <w:tc>
          <w:tcPr>
            <w:tcW w:type="dxa" w:w="5400"/>
          </w:tcPr>
          <w:p>
            <w:pPr>
              <w:spacing w:after="0" w:before="0" w:line="240" w:lineRule="auto"/>
              <w:jc w:val="left"/>
            </w:pPr>
            <w:r>
              <w:t>Enclosure and mounting requirements covered</w:t>
            </w:r>
          </w:p>
        </w:tc>
      </w:tr>
      <w:tr>
        <w:tc>
          <w:tcPr>
            <w:tcW w:type="dxa" w:w="5400"/>
          </w:tcPr>
          <w:p>
            <w:pPr>
              <w:spacing w:after="0" w:before="0" w:line="240" w:lineRule="auto"/>
              <w:jc w:val="left"/>
            </w:pPr>
            <w:r>
              <w:t>Network topology</w:t>
            </w:r>
          </w:p>
        </w:tc>
        <w:tc>
          <w:tcPr>
            <w:tcW w:type="dxa" w:w="5400"/>
          </w:tcPr>
          <w:p>
            <w:pPr>
              <w:spacing w:after="0" w:before="0" w:line="240" w:lineRule="auto"/>
              <w:jc w:val="left"/>
            </w:pPr>
            <w:r>
              <w:t>Switches, adapters, cables, and ports included</w:t>
            </w:r>
          </w:p>
        </w:tc>
      </w:tr>
      <w:tr>
        <w:tc>
          <w:tcPr>
            <w:tcW w:type="dxa" w:w="5400"/>
          </w:tcPr>
          <w:p>
            <w:pPr>
              <w:spacing w:after="0" w:before="0" w:line="240" w:lineRule="auto"/>
              <w:jc w:val="left"/>
            </w:pPr>
            <w:r>
              <w:t>Safety design</w:t>
            </w:r>
          </w:p>
        </w:tc>
        <w:tc>
          <w:tcPr>
            <w:tcW w:type="dxa" w:w="5400"/>
          </w:tcPr>
          <w:p>
            <w:pPr>
              <w:spacing w:after="0" w:before="0" w:line="240" w:lineRule="auto"/>
              <w:jc w:val="left"/>
            </w:pPr>
            <w:r>
              <w:t>Required safety devices and interfaces included</w:t>
            </w:r>
          </w:p>
        </w:tc>
      </w:tr>
      <w:tr>
        <w:tc>
          <w:tcPr>
            <w:tcW w:type="dxa" w:w="5400"/>
          </w:tcPr>
          <w:p>
            <w:pPr>
              <w:spacing w:after="0" w:before="0" w:line="240" w:lineRule="auto"/>
              <w:jc w:val="left"/>
            </w:pPr>
            <w:r>
              <w:t>Pneumatic drawings</w:t>
            </w:r>
          </w:p>
        </w:tc>
        <w:tc>
          <w:tcPr>
            <w:tcW w:type="dxa" w:w="5400"/>
          </w:tcPr>
          <w:p>
            <w:pPr>
              <w:spacing w:after="0" w:before="0" w:line="240" w:lineRule="auto"/>
              <w:jc w:val="left"/>
            </w:pPr>
            <w:r>
              <w:t>Valves, cylinders, fittings, and tubing covered</w:t>
            </w:r>
          </w:p>
        </w:tc>
      </w:tr>
      <w:tr>
        <w:tc>
          <w:tcPr>
            <w:tcW w:type="dxa" w:w="5400"/>
          </w:tcPr>
          <w:p>
            <w:pPr>
              <w:spacing w:after="0" w:before="0" w:line="240" w:lineRule="auto"/>
              <w:jc w:val="left"/>
            </w:pPr>
            <w:r>
              <w:t>Mechanical drawings</w:t>
            </w:r>
          </w:p>
        </w:tc>
        <w:tc>
          <w:tcPr>
            <w:tcW w:type="dxa" w:w="5400"/>
          </w:tcPr>
          <w:p>
            <w:pPr>
              <w:spacing w:after="0" w:before="0" w:line="240" w:lineRule="auto"/>
              <w:jc w:val="left"/>
            </w:pPr>
            <w:r>
              <w:t>Fabricated parts and mounting hardware covered</w:t>
            </w:r>
          </w:p>
        </w:tc>
      </w:tr>
      <w:tr>
        <w:tc>
          <w:tcPr>
            <w:tcW w:type="dxa" w:w="5400"/>
          </w:tcPr>
          <w:p>
            <w:pPr>
              <w:spacing w:after="0" w:before="0" w:line="240" w:lineRule="auto"/>
              <w:jc w:val="left"/>
            </w:pPr>
            <w:r>
              <w:t>Software specification</w:t>
            </w:r>
          </w:p>
        </w:tc>
        <w:tc>
          <w:tcPr>
            <w:tcW w:type="dxa" w:w="5400"/>
          </w:tcPr>
          <w:p>
            <w:pPr>
              <w:spacing w:after="0" w:before="0" w:line="240" w:lineRule="auto"/>
              <w:jc w:val="left"/>
            </w:pPr>
            <w:r>
              <w:t>Required engineering and runtime licenses identified</w:t>
            </w:r>
          </w:p>
        </w:tc>
      </w:tr>
      <w:tr>
        <w:tc>
          <w:tcPr>
            <w:tcW w:type="dxa" w:w="5400"/>
          </w:tcPr>
          <w:p>
            <w:pPr>
              <w:spacing w:after="0" w:before="0" w:line="240" w:lineRule="auto"/>
              <w:jc w:val="left"/>
            </w:pPr>
            <w:r>
              <w:t>Installation plan</w:t>
            </w:r>
          </w:p>
        </w:tc>
        <w:tc>
          <w:tcPr>
            <w:tcW w:type="dxa" w:w="5400"/>
          </w:tcPr>
          <w:p>
            <w:pPr>
              <w:spacing w:after="0" w:before="0" w:line="240" w:lineRule="auto"/>
              <w:jc w:val="left"/>
            </w:pPr>
            <w:r>
              <w:t>Cables, glands, labels, and installation materials considered</w:t>
            </w:r>
          </w:p>
        </w:tc>
      </w:tr>
    </w:tbl>
    <w:p/>
    <w:p>
      <w:r>
        <w:t>A discrepancy between the BOM and drawings should be resolved through engineering review, not handled by silently changing one document.</w:t>
      </w:r>
    </w:p>
    <w:p>
      <w:pPr>
        <w:pStyle w:val="Heading2"/>
      </w:pPr>
      <w:r>
        <w:t>14. Preliminary BOM for a retrofit project</w:t>
      </w:r>
    </w:p>
    <w:p>
      <w:r>
        <w:t>A retrofit introduces additional considerations because the existing machine may contain legacy hardware, undocumented wiring, or obsolete components.</w:t>
      </w:r>
    </w:p>
    <w:p>
      <w:r>
        <w:t>The preliminary BOM should separate:</w:t>
      </w:r>
    </w:p>
    <w:p>
      <w:pPr>
        <w:pStyle w:val="ListBullet"/>
      </w:pPr>
      <w:r>
        <w:t>Existing items proposed for retention.</w:t>
      </w:r>
    </w:p>
    <w:p>
      <w:pPr>
        <w:pStyle w:val="ListBullet"/>
      </w:pPr>
      <w:r>
        <w:t>Existing items requiring inspection.</w:t>
      </w:r>
    </w:p>
    <w:p>
      <w:pPr>
        <w:pStyle w:val="ListBullet"/>
      </w:pPr>
      <w:r>
        <w:t>Items to be replaced.</w:t>
      </w:r>
    </w:p>
    <w:p>
      <w:pPr>
        <w:pStyle w:val="ListBullet"/>
      </w:pPr>
      <w:r>
        <w:t>New items required for the retrofit.</w:t>
      </w:r>
    </w:p>
    <w:p>
      <w:pPr>
        <w:pStyle w:val="ListBullet"/>
      </w:pPr>
      <w:r>
        <w:t>Temporary equipment required during migration.</w:t>
      </w:r>
    </w:p>
    <w:p>
      <w:pPr>
        <w:pStyle w:val="ListBullet"/>
      </w:pPr>
      <w:r>
        <w:t>Components needed for compatibility or protocol conversion.</w:t>
      </w:r>
    </w:p>
    <w:p>
      <w:pPr>
        <w:pStyle w:val="ListBullet"/>
      </w:pPr>
      <w:r>
        <w:t>Critical spare parts recommended for the new design.</w:t>
      </w:r>
    </w:p>
    <w:p>
      <w:pPr>
        <w:pStyle w:val="ListBullet"/>
      </w:pPr>
      <w:r>
        <w:t>Items requiring supplier confirmation.</w:t>
      </w:r>
    </w:p>
    <w:p>
      <w:r>
        <w:t>Example: replacing an obsolete PLC while retaining the existing drives.</w:t>
      </w:r>
    </w:p>
    <w:p>
      <w:r>
        <w:t>The BOM may include a new PLC, new I/O modules, communication accessories, wiring adapters, updated engineering licenses, and a temporary test setup. However, drive reuse should only be accepted after confirming the communication method, control-word mapping, status feedback, timing, electrical compatibility, and lifecycle risk.</w:t>
      </w:r>
    </w:p>
    <w:p>
      <w:r>
        <w:t>The retrofit estimate must also account for software conversion, revalidation, downtime, and commissioning effort, even though those are not physical BOM components.</w:t>
      </w:r>
    </w:p>
    <w:p>
      <w:pPr>
        <w:pStyle w:val="Heading2"/>
      </w:pPr>
      <w:r>
        <w:t>15. Lifecycle and obsolescence checks</w:t>
      </w:r>
    </w:p>
    <w:p>
      <w:r>
        <w:t>Each significant component should be checked for lifecycle status.</w:t>
      </w:r>
    </w:p>
    <w:p>
      <w:r>
        <w:t>Suggested classifications:</w:t>
      </w:r>
    </w:p>
    <w:p>
      <w:pPr>
        <w:pStyle w:val="ListBullet"/>
      </w:pPr>
      <w:r>
        <w:t>Active: Currently supported and available.</w:t>
      </w:r>
    </w:p>
    <w:p>
      <w:pPr>
        <w:pStyle w:val="ListBullet"/>
      </w:pPr>
      <w:r>
        <w:t>Legacy: Existing product with limited or changing support.</w:t>
      </w:r>
    </w:p>
    <w:p>
      <w:pPr>
        <w:pStyle w:val="ListBullet"/>
      </w:pPr>
      <w:r>
        <w:t>Discontinued: No longer manufactured or supplied as a normal product.</w:t>
      </w:r>
    </w:p>
    <w:p>
      <w:pPr>
        <w:pStyle w:val="ListBullet"/>
      </w:pPr>
      <w:r>
        <w:t>Unknown: Lifecycle status has not been verified.</w:t>
      </w:r>
    </w:p>
    <w:p>
      <w:r>
        <w:t>For critical items, record the preferred successor and migration considerations.</w:t>
      </w:r>
    </w:p>
    <w:p>
      <w:r>
        <w:t>A preliminary BOM should not knowingly base a new long-life machine on discontinued components without documenting the reason, availability, risks, and approved mitigation.</w:t>
      </w:r>
    </w:p>
    <w:p>
      <w:r>
        <w:t>For spare parts, consider not only whether the exact item can be purchased but also whether a successor requires wiring, software, firmware, or mechanical changes.</w:t>
      </w:r>
    </w:p>
    <w:p>
      <w:pPr>
        <w:pStyle w:val="Heading2"/>
      </w:pPr>
      <w:r>
        <w:t>16. Lead time and procurement risk</w:t>
      </w:r>
    </w:p>
    <w:p>
      <w:r>
        <w:t>Long-lead items can determine the project schedule even when their cost is relatively small.</w:t>
      </w:r>
    </w:p>
    <w:p>
      <w:r>
        <w:t>Potentially critical items include:</w:t>
      </w:r>
    </w:p>
    <w:p>
      <w:pPr>
        <w:pStyle w:val="ListBullet"/>
      </w:pPr>
      <w:r>
        <w:t>Specialized CNC components.</w:t>
      </w:r>
    </w:p>
    <w:p>
      <w:pPr>
        <w:pStyle w:val="ListBullet"/>
      </w:pPr>
      <w:r>
        <w:t>Robot controllers and custom tooling.</w:t>
      </w:r>
    </w:p>
    <w:p>
      <w:pPr>
        <w:pStyle w:val="ListBullet"/>
      </w:pPr>
      <w:r>
        <w:t>Safety scanners.</w:t>
      </w:r>
    </w:p>
    <w:p>
      <w:pPr>
        <w:pStyle w:val="ListBullet"/>
      </w:pPr>
      <w:r>
        <w:t>Servo motors and drives.</w:t>
      </w:r>
    </w:p>
    <w:p>
      <w:pPr>
        <w:pStyle w:val="ListBullet"/>
      </w:pPr>
      <w:r>
        <w:t>Special industrial computers.</w:t>
      </w:r>
    </w:p>
    <w:p>
      <w:pPr>
        <w:pStyle w:val="ListBullet"/>
      </w:pPr>
      <w:r>
        <w:t>Custom enclosures.</w:t>
      </w:r>
    </w:p>
    <w:p>
      <w:pPr>
        <w:pStyle w:val="ListBullet"/>
      </w:pPr>
      <w:r>
        <w:t>Engineered cables and connectors.</w:t>
      </w:r>
    </w:p>
    <w:p>
      <w:pPr>
        <w:pStyle w:val="ListBullet"/>
      </w:pPr>
      <w:r>
        <w:t>Imported or application-specific sensors.</w:t>
      </w:r>
    </w:p>
    <w:p>
      <w:r>
        <w:t>The preliminary BOM should flag critical items for early supplier confirmation.</w:t>
      </w:r>
    </w:p>
    <w:p>
      <w:r>
        <w:t>Lead time is not always the time between order and delivery. Depending on the supplier, it may exclude design approval, drawing approval, factory acceptance, shipping, customs, or site readiness.</w:t>
      </w:r>
    </w:p>
    <w:p>
      <w:r>
        <w:t>Record the source and date of the estimate and update it before procurement.</w:t>
      </w:r>
    </w:p>
    <w:p>
      <w:pPr>
        <w:pStyle w:val="Heading2"/>
      </w:pPr>
      <w:r>
        <w:t>17. Preliminary BOM cost calculation</w:t>
      </w:r>
    </w:p>
    <w:p>
      <w:r>
        <w:t>Although detailed costing is the next topic, the preliminary BOM should contain enough information to support an initial estimate.</w:t>
      </w:r>
    </w:p>
    <w:p>
      <w:r>
        <w:t>For each line item:</w:t>
      </w:r>
    </w:p>
    <w:p>
      <w:pPr>
        <w:spacing w:before="120" w:after="160"/>
        <w:jc w:val="center"/>
      </w:pPr>
      <m:oMathPara>
        <m:oMath>
          <m:sSub>
            <m:e>
              <m:r>
                <m:t>C</m:t>
              </m:r>
            </m:e>
            <m:sub>
              <m:r>
                <m:rPr>
                  <m:nor/>
                </m:rPr>
                <m:t>line</m:t>
              </m:r>
            </m:sub>
          </m:sSub>
          <m:r>
            <m:t>=Q×</m:t>
          </m:r>
          <m:sSub>
            <m:e>
              <m:r>
                <m:t>C</m:t>
              </m:r>
            </m:e>
            <m:sub>
              <m:r>
                <m:rPr>
                  <m:nor/>
                </m:rPr>
                <m:t>unit</m:t>
              </m:r>
            </m:sub>
          </m:sSub>
        </m:oMath>
      </m:oMathPara>
    </w:p>
    <w:p>
      <w:r>
        <w:t xml:space="preserve">Where </w:t>
      </w:r>
      <m:oMath>
        <m:r>
          <m:t>Q</m:t>
        </m:r>
      </m:oMath>
      <w:r>
        <w:t xml:space="preserve"> is the estimated quantity and </w:t>
      </w:r>
      <m:oMath>
        <m:sSub>
          <m:e>
            <m:r>
              <m:t>C</m:t>
            </m:r>
          </m:e>
          <m:sub>
            <m:r>
              <m:rPr>
                <m:nor/>
              </m:rPr>
              <m:t>unit</m:t>
            </m:r>
          </m:sub>
        </m:sSub>
      </m:oMath>
      <w:r>
        <w:t xml:space="preserve"> is the estimated unit cost.</w:t>
      </w:r>
    </w:p>
    <w:p>
      <w:r>
        <w:t>For example, if six industrial sensors are estimated at ₹4,500 each:</w:t>
      </w:r>
    </w:p>
    <w:p>
      <w:pPr>
        <w:spacing w:before="120" w:after="160"/>
        <w:jc w:val="center"/>
      </w:pPr>
      <m:oMathPara>
        <m:oMath>
          <m:sSub>
            <m:e>
              <m:r>
                <m:t>C</m:t>
              </m:r>
            </m:e>
            <m:sub>
              <m:r>
                <m:rPr>
                  <m:nor/>
                </m:rPr>
                <m:t>line</m:t>
              </m:r>
            </m:sub>
          </m:sSub>
          <m:r>
            <m:t>=6×4500=</m:t>
          </m:r>
          <m:r>
            <m:rPr>
              <m:nor/>
            </m:rPr>
            <m:t>₹</m:t>
          </m:r>
          <m:r>
            <m:t>27</m:t>
          </m:r>
          <m:r>
            <m:t>,</m:t>
          </m:r>
          <m:r>
            <m:t>000</m:t>
          </m:r>
        </m:oMath>
      </m:oMathPara>
    </w:p>
    <w:p>
      <w:r>
        <w:t>The total material estimate is the sum of the line-item costs:</w:t>
      </w:r>
    </w:p>
    <w:p>
      <w:pPr>
        <w:spacing w:before="120" w:after="160"/>
        <w:jc w:val="center"/>
      </w:pPr>
      <m:oMathPara>
        <m:oMath>
          <m:sSub>
            <m:e>
              <m:r>
                <m:t>C</m:t>
              </m:r>
            </m:e>
            <m:sub>
              <m:r>
                <m:rPr>
                  <m:nor/>
                </m:rPr>
                <m:t>material</m:t>
              </m:r>
            </m:sub>
          </m:sSub>
          <m:r>
            <m:t>=</m:t>
          </m:r>
          <m:nary>
            <m:naryPr>
              <m:chr m:val="∑"/>
              <m:limLoc m:val="subSup"/>
              <m:grow m:val="1"/>
              <m:subHide m:val="off"/>
              <m:supHide m:val="off"/>
            </m:naryPr>
            <m:sub>
              <m:r>
                <m:t>i=1</m:t>
              </m:r>
            </m:sub>
            <m:sup>
              <m:r>
                <m:t>n</m:t>
              </m:r>
            </m:sup>
            <m:e>
              <m:sSub>
                <m:e>
                  <m:r>
                    <m:t>Q</m:t>
                  </m:r>
                </m:e>
                <m:sub>
                  <m:r>
                    <m:t>i</m:t>
                  </m:r>
                </m:sub>
              </m:sSub>
            </m:e>
          </m:nary>
          <m:sSub>
            <m:e>
              <m:r>
                <m:t>C</m:t>
              </m:r>
            </m:e>
            <m:sub>
              <m:r>
                <m:t>i</m:t>
              </m:r>
            </m:sub>
          </m:sSub>
        </m:oMath>
      </m:oMathPara>
    </w:p>
    <w:p>
      <w:r>
        <w:t>This is not necessarily the total project cost. Engineering, software licenses, panel fabrication, installation, commissioning, travel, taxes, freight, contingency, and other project expenses may need separate treatment.</w:t>
      </w:r>
    </w:p>
    <w:p>
      <w:pPr>
        <w:pStyle w:val="Heading3"/>
      </w:pPr>
      <w:r>
        <w:t>Example preliminary BOM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Item ID</w:t>
            </w:r>
          </w:p>
        </w:tc>
        <w:tc>
          <w:tcPr>
            <w:tcW w:type="dxa" w:w="1800"/>
            <w:shd w:val="clear" w:color="auto" w:fill="EEF2F7"/>
          </w:tcPr>
          <w:p>
            <w:pPr>
              <w:spacing w:after="0" w:before="0" w:line="240" w:lineRule="auto"/>
              <w:jc w:val="left"/>
            </w:pPr>
            <w:r>
              <w:rPr>
                <w:b/>
                <w:color w:val="1A2E4A"/>
              </w:rPr>
              <w:t>Description</w:t>
            </w:r>
          </w:p>
        </w:tc>
        <w:tc>
          <w:tcPr>
            <w:tcW w:type="dxa" w:w="1800"/>
            <w:shd w:val="clear" w:color="auto" w:fill="EEF2F7"/>
          </w:tcPr>
          <w:p>
            <w:pPr>
              <w:spacing w:after="0" w:before="0" w:line="240" w:lineRule="auto"/>
              <w:jc w:val="left"/>
            </w:pPr>
            <w:r>
              <w:rPr>
                <w:b/>
                <w:color w:val="1A2E4A"/>
              </w:rPr>
              <w:t>Quantity</w:t>
            </w:r>
          </w:p>
        </w:tc>
        <w:tc>
          <w:tcPr>
            <w:tcW w:type="dxa" w:w="1800"/>
            <w:shd w:val="clear" w:color="auto" w:fill="EEF2F7"/>
          </w:tcPr>
          <w:p>
            <w:pPr>
              <w:spacing w:after="0" w:before="0" w:line="240" w:lineRule="auto"/>
              <w:jc w:val="left"/>
            </w:pPr>
            <w:r>
              <w:rPr>
                <w:b/>
                <w:color w:val="1A2E4A"/>
              </w:rPr>
              <w:t>Unit</w:t>
            </w:r>
          </w:p>
        </w:tc>
        <w:tc>
          <w:tcPr>
            <w:tcW w:type="dxa" w:w="1800"/>
            <w:shd w:val="clear" w:color="auto" w:fill="EEF2F7"/>
          </w:tcPr>
          <w:p>
            <w:pPr>
              <w:spacing w:after="0" w:before="0" w:line="240" w:lineRule="auto"/>
              <w:jc w:val="left"/>
            </w:pPr>
            <w:r>
              <w:rPr>
                <w:b/>
                <w:color w:val="1A2E4A"/>
              </w:rPr>
              <w:t>Unit cost estimate</w:t>
            </w:r>
          </w:p>
        </w:tc>
        <w:tc>
          <w:tcPr>
            <w:tcW w:type="dxa" w:w="1800"/>
            <w:shd w:val="clear" w:color="auto" w:fill="EEF2F7"/>
          </w:tcPr>
          <w:p>
            <w:pPr>
              <w:spacing w:after="0" w:before="0" w:line="240" w:lineRule="auto"/>
              <w:jc w:val="left"/>
            </w:pPr>
            <w:r>
              <w:rPr>
                <w:b/>
                <w:color w:val="1A2E4A"/>
              </w:rPr>
              <w:t>Extended cost</w:t>
            </w:r>
          </w:p>
        </w:tc>
      </w:tr>
      <w:tr>
        <w:tc>
          <w:tcPr>
            <w:tcW w:type="dxa" w:w="1800"/>
          </w:tcPr>
          <w:p>
            <w:pPr>
              <w:spacing w:after="0" w:before="0" w:line="240" w:lineRule="auto"/>
              <w:jc w:val="left"/>
            </w:pPr>
            <w:r>
              <w:t>PLC-001</w:t>
            </w:r>
          </w:p>
        </w:tc>
        <w:tc>
          <w:tcPr>
            <w:tcW w:type="dxa" w:w="1800"/>
          </w:tcPr>
          <w:p>
            <w:pPr>
              <w:spacing w:after="0" w:before="0" w:line="240" w:lineRule="auto"/>
              <w:jc w:val="left"/>
            </w:pPr>
            <w:r>
              <w:t>PLC CPU</w:t>
            </w:r>
          </w:p>
        </w:tc>
        <w:tc>
          <w:tcPr>
            <w:tcW w:type="dxa" w:w="1800"/>
          </w:tcPr>
          <w:p>
            <w:pPr>
              <w:spacing w:after="0" w:before="0" w:line="240" w:lineRule="auto"/>
              <w:jc w:val="left"/>
            </w:pPr>
            <w:r>
              <w:t>1</w:t>
            </w:r>
          </w:p>
        </w:tc>
        <w:tc>
          <w:tcPr>
            <w:tcW w:type="dxa" w:w="1800"/>
          </w:tcPr>
          <w:p>
            <w:pPr>
              <w:spacing w:after="0" w:before="0" w:line="240" w:lineRule="auto"/>
              <w:jc w:val="left"/>
            </w:pPr>
            <w:r>
              <w:t>Each</w:t>
            </w:r>
          </w:p>
        </w:tc>
        <w:tc>
          <w:tcPr>
            <w:tcW w:type="dxa" w:w="1800"/>
          </w:tcPr>
          <w:p>
            <w:pPr>
              <w:spacing w:after="0" w:before="0" w:line="240" w:lineRule="auto"/>
              <w:jc w:val="left"/>
            </w:pPr>
            <w:r>
              <w:t>₹65,000</w:t>
            </w:r>
          </w:p>
        </w:tc>
        <w:tc>
          <w:tcPr>
            <w:tcW w:type="dxa" w:w="1800"/>
          </w:tcPr>
          <w:p>
            <w:pPr>
              <w:spacing w:after="0" w:before="0" w:line="240" w:lineRule="auto"/>
              <w:jc w:val="left"/>
            </w:pPr>
            <w:r>
              <w:t>₹65,000</w:t>
            </w:r>
          </w:p>
        </w:tc>
      </w:tr>
      <w:tr>
        <w:tc>
          <w:tcPr>
            <w:tcW w:type="dxa" w:w="1800"/>
          </w:tcPr>
          <w:p>
            <w:pPr>
              <w:spacing w:after="0" w:before="0" w:line="240" w:lineRule="auto"/>
              <w:jc w:val="left"/>
            </w:pPr>
            <w:r>
              <w:t>PLC-002</w:t>
            </w:r>
          </w:p>
        </w:tc>
        <w:tc>
          <w:tcPr>
            <w:tcW w:type="dxa" w:w="1800"/>
          </w:tcPr>
          <w:p>
            <w:pPr>
              <w:spacing w:after="0" w:before="0" w:line="240" w:lineRule="auto"/>
              <w:jc w:val="left"/>
            </w:pPr>
            <w:r>
              <w:t>Digital input module</w:t>
            </w:r>
          </w:p>
        </w:tc>
        <w:tc>
          <w:tcPr>
            <w:tcW w:type="dxa" w:w="1800"/>
          </w:tcPr>
          <w:p>
            <w:pPr>
              <w:spacing w:after="0" w:before="0" w:line="240" w:lineRule="auto"/>
              <w:jc w:val="left"/>
            </w:pPr>
            <w:r>
              <w:t>5</w:t>
            </w:r>
          </w:p>
        </w:tc>
        <w:tc>
          <w:tcPr>
            <w:tcW w:type="dxa" w:w="1800"/>
          </w:tcPr>
          <w:p>
            <w:pPr>
              <w:spacing w:after="0" w:before="0" w:line="240" w:lineRule="auto"/>
              <w:jc w:val="left"/>
            </w:pPr>
            <w:r>
              <w:t>Each</w:t>
            </w:r>
          </w:p>
        </w:tc>
        <w:tc>
          <w:tcPr>
            <w:tcW w:type="dxa" w:w="1800"/>
          </w:tcPr>
          <w:p>
            <w:pPr>
              <w:spacing w:after="0" w:before="0" w:line="240" w:lineRule="auto"/>
              <w:jc w:val="left"/>
            </w:pPr>
            <w:r>
              <w:t>₹12,000</w:t>
            </w:r>
          </w:p>
        </w:tc>
        <w:tc>
          <w:tcPr>
            <w:tcW w:type="dxa" w:w="1800"/>
          </w:tcPr>
          <w:p>
            <w:pPr>
              <w:spacing w:after="0" w:before="0" w:line="240" w:lineRule="auto"/>
              <w:jc w:val="left"/>
            </w:pPr>
            <w:r>
              <w:t>₹60,000</w:t>
            </w:r>
          </w:p>
        </w:tc>
      </w:tr>
      <w:tr>
        <w:tc>
          <w:tcPr>
            <w:tcW w:type="dxa" w:w="1800"/>
          </w:tcPr>
          <w:p>
            <w:pPr>
              <w:spacing w:after="0" w:before="0" w:line="240" w:lineRule="auto"/>
              <w:jc w:val="left"/>
            </w:pPr>
            <w:r>
              <w:t>PLC-003</w:t>
            </w:r>
          </w:p>
        </w:tc>
        <w:tc>
          <w:tcPr>
            <w:tcW w:type="dxa" w:w="1800"/>
          </w:tcPr>
          <w:p>
            <w:pPr>
              <w:spacing w:after="0" w:before="0" w:line="240" w:lineRule="auto"/>
              <w:jc w:val="left"/>
            </w:pPr>
            <w:r>
              <w:t>Digital output module</w:t>
            </w:r>
          </w:p>
        </w:tc>
        <w:tc>
          <w:tcPr>
            <w:tcW w:type="dxa" w:w="1800"/>
          </w:tcPr>
          <w:p>
            <w:pPr>
              <w:spacing w:after="0" w:before="0" w:line="240" w:lineRule="auto"/>
              <w:jc w:val="left"/>
            </w:pPr>
            <w:r>
              <w:t>3</w:t>
            </w:r>
          </w:p>
        </w:tc>
        <w:tc>
          <w:tcPr>
            <w:tcW w:type="dxa" w:w="1800"/>
          </w:tcPr>
          <w:p>
            <w:pPr>
              <w:spacing w:after="0" w:before="0" w:line="240" w:lineRule="auto"/>
              <w:jc w:val="left"/>
            </w:pPr>
            <w:r>
              <w:t>Each</w:t>
            </w:r>
          </w:p>
        </w:tc>
        <w:tc>
          <w:tcPr>
            <w:tcW w:type="dxa" w:w="1800"/>
          </w:tcPr>
          <w:p>
            <w:pPr>
              <w:spacing w:after="0" w:before="0" w:line="240" w:lineRule="auto"/>
              <w:jc w:val="left"/>
            </w:pPr>
            <w:r>
              <w:t>₹13,000</w:t>
            </w:r>
          </w:p>
        </w:tc>
        <w:tc>
          <w:tcPr>
            <w:tcW w:type="dxa" w:w="1800"/>
          </w:tcPr>
          <w:p>
            <w:pPr>
              <w:spacing w:after="0" w:before="0" w:line="240" w:lineRule="auto"/>
              <w:jc w:val="left"/>
            </w:pPr>
            <w:r>
              <w:t>₹39,000</w:t>
            </w:r>
          </w:p>
        </w:tc>
      </w:tr>
      <w:tr>
        <w:tc>
          <w:tcPr>
            <w:tcW w:type="dxa" w:w="1800"/>
          </w:tcPr>
          <w:p>
            <w:pPr>
              <w:spacing w:after="0" w:before="0" w:line="240" w:lineRule="auto"/>
              <w:jc w:val="left"/>
            </w:pPr>
            <w:r>
              <w:t>HMI-001</w:t>
            </w:r>
          </w:p>
        </w:tc>
        <w:tc>
          <w:tcPr>
            <w:tcW w:type="dxa" w:w="1800"/>
          </w:tcPr>
          <w:p>
            <w:pPr>
              <w:spacing w:after="0" w:before="0" w:line="240" w:lineRule="auto"/>
              <w:jc w:val="left"/>
            </w:pPr>
            <w:r>
              <w:t>HMI panel</w:t>
            </w:r>
          </w:p>
        </w:tc>
        <w:tc>
          <w:tcPr>
            <w:tcW w:type="dxa" w:w="1800"/>
          </w:tcPr>
          <w:p>
            <w:pPr>
              <w:spacing w:after="0" w:before="0" w:line="240" w:lineRule="auto"/>
              <w:jc w:val="left"/>
            </w:pPr>
            <w:r>
              <w:t>1</w:t>
            </w:r>
          </w:p>
        </w:tc>
        <w:tc>
          <w:tcPr>
            <w:tcW w:type="dxa" w:w="1800"/>
          </w:tcPr>
          <w:p>
            <w:pPr>
              <w:spacing w:after="0" w:before="0" w:line="240" w:lineRule="auto"/>
              <w:jc w:val="left"/>
            </w:pPr>
            <w:r>
              <w:t>Each</w:t>
            </w:r>
          </w:p>
        </w:tc>
        <w:tc>
          <w:tcPr>
            <w:tcW w:type="dxa" w:w="1800"/>
          </w:tcPr>
          <w:p>
            <w:pPr>
              <w:spacing w:after="0" w:before="0" w:line="240" w:lineRule="auto"/>
              <w:jc w:val="left"/>
            </w:pPr>
            <w:r>
              <w:t>₹48,000</w:t>
            </w:r>
          </w:p>
        </w:tc>
        <w:tc>
          <w:tcPr>
            <w:tcW w:type="dxa" w:w="1800"/>
          </w:tcPr>
          <w:p>
            <w:pPr>
              <w:spacing w:after="0" w:before="0" w:line="240" w:lineRule="auto"/>
              <w:jc w:val="left"/>
            </w:pPr>
            <w:r>
              <w:t>₹48,000</w:t>
            </w:r>
          </w:p>
        </w:tc>
      </w:tr>
      <w:tr>
        <w:tc>
          <w:tcPr>
            <w:tcW w:type="dxa" w:w="1800"/>
          </w:tcPr>
          <w:p>
            <w:pPr>
              <w:spacing w:after="0" w:before="0" w:line="240" w:lineRule="auto"/>
              <w:jc w:val="left"/>
            </w:pPr>
            <w:r>
              <w:t>NET-001</w:t>
            </w:r>
          </w:p>
        </w:tc>
        <w:tc>
          <w:tcPr>
            <w:tcW w:type="dxa" w:w="1800"/>
          </w:tcPr>
          <w:p>
            <w:pPr>
              <w:spacing w:after="0" w:before="0" w:line="240" w:lineRule="auto"/>
              <w:jc w:val="left"/>
            </w:pPr>
            <w:r>
              <w:t>Industrial Ethernet switch</w:t>
            </w:r>
          </w:p>
        </w:tc>
        <w:tc>
          <w:tcPr>
            <w:tcW w:type="dxa" w:w="1800"/>
          </w:tcPr>
          <w:p>
            <w:pPr>
              <w:spacing w:after="0" w:before="0" w:line="240" w:lineRule="auto"/>
              <w:jc w:val="left"/>
            </w:pPr>
            <w:r>
              <w:t>1</w:t>
            </w:r>
          </w:p>
        </w:tc>
        <w:tc>
          <w:tcPr>
            <w:tcW w:type="dxa" w:w="1800"/>
          </w:tcPr>
          <w:p>
            <w:pPr>
              <w:spacing w:after="0" w:before="0" w:line="240" w:lineRule="auto"/>
              <w:jc w:val="left"/>
            </w:pPr>
            <w:r>
              <w:t>Each</w:t>
            </w:r>
          </w:p>
        </w:tc>
        <w:tc>
          <w:tcPr>
            <w:tcW w:type="dxa" w:w="1800"/>
          </w:tcPr>
          <w:p>
            <w:pPr>
              <w:spacing w:after="0" w:before="0" w:line="240" w:lineRule="auto"/>
              <w:jc w:val="left"/>
            </w:pPr>
            <w:r>
              <w:t>₹18,000</w:t>
            </w:r>
          </w:p>
        </w:tc>
        <w:tc>
          <w:tcPr>
            <w:tcW w:type="dxa" w:w="1800"/>
          </w:tcPr>
          <w:p>
            <w:pPr>
              <w:spacing w:after="0" w:before="0" w:line="240" w:lineRule="auto"/>
              <w:jc w:val="left"/>
            </w:pPr>
            <w:r>
              <w:t>₹18,000</w:t>
            </w:r>
          </w:p>
        </w:tc>
      </w:tr>
      <w:tr>
        <w:tc>
          <w:tcPr>
            <w:tcW w:type="dxa" w:w="1800"/>
          </w:tcPr>
          <w:p>
            <w:pPr>
              <w:spacing w:after="0" w:before="0" w:line="240" w:lineRule="auto"/>
              <w:jc w:val="left"/>
            </w:pPr>
            <w:r>
              <w:t>SEN-001</w:t>
            </w:r>
          </w:p>
        </w:tc>
        <w:tc>
          <w:tcPr>
            <w:tcW w:type="dxa" w:w="1800"/>
          </w:tcPr>
          <w:p>
            <w:pPr>
              <w:spacing w:after="0" w:before="0" w:line="240" w:lineRule="auto"/>
              <w:jc w:val="left"/>
            </w:pPr>
            <w:r>
              <w:t>Inductive proximity sensor</w:t>
            </w:r>
          </w:p>
        </w:tc>
        <w:tc>
          <w:tcPr>
            <w:tcW w:type="dxa" w:w="1800"/>
          </w:tcPr>
          <w:p>
            <w:pPr>
              <w:spacing w:after="0" w:before="0" w:line="240" w:lineRule="auto"/>
              <w:jc w:val="left"/>
            </w:pPr>
            <w:r>
              <w:t>6</w:t>
            </w:r>
          </w:p>
        </w:tc>
        <w:tc>
          <w:tcPr>
            <w:tcW w:type="dxa" w:w="1800"/>
          </w:tcPr>
          <w:p>
            <w:pPr>
              <w:spacing w:after="0" w:before="0" w:line="240" w:lineRule="auto"/>
              <w:jc w:val="left"/>
            </w:pPr>
            <w:r>
              <w:t>Each</w:t>
            </w:r>
          </w:p>
        </w:tc>
        <w:tc>
          <w:tcPr>
            <w:tcW w:type="dxa" w:w="1800"/>
          </w:tcPr>
          <w:p>
            <w:pPr>
              <w:spacing w:after="0" w:before="0" w:line="240" w:lineRule="auto"/>
              <w:jc w:val="left"/>
            </w:pPr>
            <w:r>
              <w:t>₹4,500</w:t>
            </w:r>
          </w:p>
        </w:tc>
        <w:tc>
          <w:tcPr>
            <w:tcW w:type="dxa" w:w="1800"/>
          </w:tcPr>
          <w:p>
            <w:pPr>
              <w:spacing w:after="0" w:before="0" w:line="240" w:lineRule="auto"/>
              <w:jc w:val="left"/>
            </w:pPr>
            <w:r>
              <w:t>₹27,000</w:t>
            </w:r>
          </w:p>
        </w:tc>
      </w:tr>
      <w:tr>
        <w:tc>
          <w:tcPr>
            <w:tcW w:type="dxa" w:w="1800"/>
          </w:tcPr>
          <w:p>
            <w:pPr>
              <w:spacing w:after="0" w:before="0" w:line="240" w:lineRule="auto"/>
              <w:jc w:val="left"/>
            </w:pPr>
            <w:r>
              <w:t>PWR-001</w:t>
            </w:r>
          </w:p>
        </w:tc>
        <w:tc>
          <w:tcPr>
            <w:tcW w:type="dxa" w:w="1800"/>
          </w:tcPr>
          <w:p>
            <w:pPr>
              <w:spacing w:after="0" w:before="0" w:line="240" w:lineRule="auto"/>
              <w:jc w:val="left"/>
            </w:pPr>
            <w:r>
              <w:t>24 V DC power supply</w:t>
            </w:r>
          </w:p>
        </w:tc>
        <w:tc>
          <w:tcPr>
            <w:tcW w:type="dxa" w:w="1800"/>
          </w:tcPr>
          <w:p>
            <w:pPr>
              <w:spacing w:after="0" w:before="0" w:line="240" w:lineRule="auto"/>
              <w:jc w:val="left"/>
            </w:pPr>
            <w:r>
              <w:t>2</w:t>
            </w:r>
          </w:p>
        </w:tc>
        <w:tc>
          <w:tcPr>
            <w:tcW w:type="dxa" w:w="1800"/>
          </w:tcPr>
          <w:p>
            <w:pPr>
              <w:spacing w:after="0" w:before="0" w:line="240" w:lineRule="auto"/>
              <w:jc w:val="left"/>
            </w:pPr>
            <w:r>
              <w:t>Each</w:t>
            </w:r>
          </w:p>
        </w:tc>
        <w:tc>
          <w:tcPr>
            <w:tcW w:type="dxa" w:w="1800"/>
          </w:tcPr>
          <w:p>
            <w:pPr>
              <w:spacing w:after="0" w:before="0" w:line="240" w:lineRule="auto"/>
              <w:jc w:val="left"/>
            </w:pPr>
            <w:r>
              <w:t>₹9,000</w:t>
            </w:r>
          </w:p>
        </w:tc>
        <w:tc>
          <w:tcPr>
            <w:tcW w:type="dxa" w:w="1800"/>
          </w:tcPr>
          <w:p>
            <w:pPr>
              <w:spacing w:after="0" w:before="0" w:line="240" w:lineRule="auto"/>
              <w:jc w:val="left"/>
            </w:pPr>
            <w:r>
              <w:t>₹18,000</w:t>
            </w:r>
          </w:p>
        </w:tc>
      </w:tr>
      <w:tr>
        <w:tc>
          <w:tcPr>
            <w:tcW w:type="dxa" w:w="1800"/>
          </w:tcPr>
          <w:p>
            <w:pPr>
              <w:spacing w:after="0" w:before="0" w:line="240" w:lineRule="auto"/>
              <w:jc w:val="left"/>
            </w:pPr>
            <w:r>
              <w:t>CAB-001</w:t>
            </w:r>
          </w:p>
        </w:tc>
        <w:tc>
          <w:tcPr>
            <w:tcW w:type="dxa" w:w="1800"/>
          </w:tcPr>
          <w:p>
            <w:pPr>
              <w:spacing w:after="0" w:before="0" w:line="240" w:lineRule="auto"/>
              <w:jc w:val="left"/>
            </w:pPr>
            <w:r>
              <w:t>Industrial Ethernet cable</w:t>
            </w:r>
          </w:p>
        </w:tc>
        <w:tc>
          <w:tcPr>
            <w:tcW w:type="dxa" w:w="1800"/>
          </w:tcPr>
          <w:p>
            <w:pPr>
              <w:spacing w:after="0" w:before="0" w:line="240" w:lineRule="auto"/>
              <w:jc w:val="left"/>
            </w:pPr>
            <w:r>
              <w:t>50</w:t>
            </w:r>
          </w:p>
        </w:tc>
        <w:tc>
          <w:tcPr>
            <w:tcW w:type="dxa" w:w="1800"/>
          </w:tcPr>
          <w:p>
            <w:pPr>
              <w:spacing w:after="0" w:before="0" w:line="240" w:lineRule="auto"/>
              <w:jc w:val="left"/>
            </w:pPr>
            <w:r>
              <w:t>Metre</w:t>
            </w:r>
          </w:p>
        </w:tc>
        <w:tc>
          <w:tcPr>
            <w:tcW w:type="dxa" w:w="1800"/>
          </w:tcPr>
          <w:p>
            <w:pPr>
              <w:spacing w:after="0" w:before="0" w:line="240" w:lineRule="auto"/>
              <w:jc w:val="left"/>
            </w:pPr>
            <w:r>
              <w:t>₹120</w:t>
            </w:r>
          </w:p>
        </w:tc>
        <w:tc>
          <w:tcPr>
            <w:tcW w:type="dxa" w:w="1800"/>
          </w:tcPr>
          <w:p>
            <w:pPr>
              <w:spacing w:after="0" w:before="0" w:line="240" w:lineRule="auto"/>
              <w:jc w:val="left"/>
            </w:pPr>
            <w:r>
              <w:t>₹6,000</w:t>
            </w:r>
          </w:p>
        </w:tc>
      </w:tr>
      <w:tr>
        <w:tc>
          <w:tcPr>
            <w:tcW w:type="dxa" w:w="1800"/>
          </w:tcPr>
          <w:p>
            <w:pPr>
              <w:spacing w:after="0" w:before="0" w:line="240" w:lineRule="auto"/>
              <w:jc w:val="left"/>
            </w:pPr>
            <w:r>
              <w:t>TERM-001</w:t>
            </w:r>
          </w:p>
        </w:tc>
        <w:tc>
          <w:tcPr>
            <w:tcW w:type="dxa" w:w="1800"/>
          </w:tcPr>
          <w:p>
            <w:pPr>
              <w:spacing w:after="0" w:before="0" w:line="240" w:lineRule="auto"/>
              <w:jc w:val="left"/>
            </w:pPr>
            <w:r>
              <w:t>Terminal blocks</w:t>
            </w:r>
          </w:p>
        </w:tc>
        <w:tc>
          <w:tcPr>
            <w:tcW w:type="dxa" w:w="1800"/>
          </w:tcPr>
          <w:p>
            <w:pPr>
              <w:spacing w:after="0" w:before="0" w:line="240" w:lineRule="auto"/>
              <w:jc w:val="left"/>
            </w:pPr>
            <w:r>
              <w:t>80</w:t>
            </w:r>
          </w:p>
        </w:tc>
        <w:tc>
          <w:tcPr>
            <w:tcW w:type="dxa" w:w="1800"/>
          </w:tcPr>
          <w:p>
            <w:pPr>
              <w:spacing w:after="0" w:before="0" w:line="240" w:lineRule="auto"/>
              <w:jc w:val="left"/>
            </w:pPr>
            <w:r>
              <w:t>Each</w:t>
            </w:r>
          </w:p>
        </w:tc>
        <w:tc>
          <w:tcPr>
            <w:tcW w:type="dxa" w:w="1800"/>
          </w:tcPr>
          <w:p>
            <w:pPr>
              <w:spacing w:after="0" w:before="0" w:line="240" w:lineRule="auto"/>
              <w:jc w:val="left"/>
            </w:pPr>
            <w:r>
              <w:t>₹45</w:t>
            </w:r>
          </w:p>
        </w:tc>
        <w:tc>
          <w:tcPr>
            <w:tcW w:type="dxa" w:w="1800"/>
          </w:tcPr>
          <w:p>
            <w:pPr>
              <w:spacing w:after="0" w:before="0" w:line="240" w:lineRule="auto"/>
              <w:jc w:val="left"/>
            </w:pPr>
            <w:r>
              <w:t>₹3,600</w:t>
            </w:r>
          </w:p>
        </w:tc>
      </w:tr>
      <w:tr>
        <w:tc>
          <w:tcPr>
            <w:tcW w:type="dxa" w:w="1800"/>
          </w:tcPr>
          <w:p>
            <w:pPr>
              <w:spacing w:after="0" w:before="0" w:line="240" w:lineRule="auto"/>
              <w:jc w:val="left"/>
            </w:pPr>
          </w:p>
        </w:tc>
        <w:tc>
          <w:tcPr>
            <w:tcW w:type="dxa" w:w="1800"/>
          </w:tcPr>
          <w:p>
            <w:pPr>
              <w:spacing w:after="0" w:before="0" w:line="240" w:lineRule="auto"/>
              <w:jc w:val="left"/>
            </w:pPr>
            <w:r>
              <w:t>Illustrative material subtotal</w:t>
            </w:r>
          </w:p>
        </w:tc>
        <w:tc>
          <w:tcPr>
            <w:tcW w:type="dxa" w:w="1800"/>
          </w:tcPr>
          <w:p>
            <w:pPr>
              <w:spacing w:after="0" w:before="0" w:line="240" w:lineRule="auto"/>
              <w:jc w:val="left"/>
            </w:pPr>
          </w:p>
        </w:tc>
        <w:tc>
          <w:tcPr>
            <w:tcW w:type="dxa" w:w="1800"/>
          </w:tcPr>
          <w:p>
            <w:pPr>
              <w:spacing w:after="0" w:before="0" w:line="240" w:lineRule="auto"/>
              <w:jc w:val="left"/>
            </w:pPr>
          </w:p>
        </w:tc>
        <w:tc>
          <w:tcPr>
            <w:tcW w:type="dxa" w:w="1800"/>
          </w:tcPr>
          <w:p>
            <w:pPr>
              <w:spacing w:after="0" w:before="0" w:line="240" w:lineRule="auto"/>
              <w:jc w:val="left"/>
            </w:pPr>
          </w:p>
        </w:tc>
        <w:tc>
          <w:tcPr>
            <w:tcW w:type="dxa" w:w="1800"/>
          </w:tcPr>
          <w:p>
            <w:pPr>
              <w:spacing w:after="0" w:before="0" w:line="240" w:lineRule="auto"/>
              <w:jc w:val="left"/>
            </w:pPr>
            <w:r>
              <w:t>₹284,600</w:t>
            </w:r>
          </w:p>
        </w:tc>
      </w:tr>
    </w:tbl>
    <w:p/>
    <w:p>
      <w:r>
        <w:t>These prices are fictional planning examples, not current quotations. The BOM is intentionally incomplete as a real procurement package; actual design would require additional items and verified part numbers.</w:t>
      </w:r>
    </w:p>
    <w:p>
      <w:pPr>
        <w:pStyle w:val="Heading2"/>
      </w:pPr>
      <w:r>
        <w:t>18. Contingency and uncertainty</w:t>
      </w:r>
    </w:p>
    <w:p>
      <w:r>
        <w:t>A preliminary BOM often contains uncertain quantities and prices. These uncertainties should be visible.</w:t>
      </w:r>
    </w:p>
    <w:p>
      <w:r>
        <w:t>Examples include:</w:t>
      </w:r>
    </w:p>
    <w:p>
      <w:pPr>
        <w:pStyle w:val="ListBullet"/>
      </w:pPr>
      <w:r>
        <w:t>Estimated cable lengths before routing is complete.</w:t>
      </w:r>
    </w:p>
    <w:p>
      <w:pPr>
        <w:pStyle w:val="ListBullet"/>
      </w:pPr>
      <w:r>
        <w:t>Approximate terminal counts before schematics are finalized.</w:t>
      </w:r>
    </w:p>
    <w:p>
      <w:pPr>
        <w:pStyle w:val="ListBullet"/>
      </w:pPr>
      <w:r>
        <w:t>Provisional enclosure size before heat-load calculations.</w:t>
      </w:r>
    </w:p>
    <w:p>
      <w:pPr>
        <w:pStyle w:val="ListBullet"/>
      </w:pPr>
      <w:r>
        <w:t>Unconfirmed communication modules.</w:t>
      </w:r>
    </w:p>
    <w:p>
      <w:pPr>
        <w:pStyle w:val="ListBullet"/>
      </w:pPr>
      <w:r>
        <w:t>Unknown accessory requirements.</w:t>
      </w:r>
    </w:p>
    <w:p>
      <w:pPr>
        <w:pStyle w:val="ListBullet"/>
      </w:pPr>
      <w:r>
        <w:t>Supplier quotations not yet received.</w:t>
      </w:r>
    </w:p>
    <w:p>
      <w:r>
        <w:t>Maintain an assumptions and exclusions register rather than hiding uncertainty inside every unit price.</w:t>
      </w:r>
    </w:p>
    <w:p>
      <w:r>
        <w:t>A contingency allowance may be applied according to project estimating rules, but it should not be used to conceal known missing components. Known requirements belong in the BOM; contingency addresses defined residual uncertainty.</w:t>
      </w:r>
    </w:p>
    <w:p>
      <w:pPr>
        <w:pStyle w:val="Heading2"/>
      </w:pPr>
      <w:r>
        <w:t>19. Change control and BOM revision management</w:t>
      </w:r>
    </w:p>
    <w:p>
      <w:r>
        <w:t>A BOM changes as the design matures. Changes should be controlled so that procurement, electrical design, programming, and installation use consistent information.</w:t>
      </w:r>
    </w:p>
    <w:p>
      <w:r>
        <w:t>Typical reasons for a change include:</w:t>
      </w:r>
    </w:p>
    <w:p>
      <w:pPr>
        <w:pStyle w:val="ListBullet"/>
      </w:pPr>
      <w:r>
        <w:t>Updated I/O count.</w:t>
      </w:r>
    </w:p>
    <w:p>
      <w:pPr>
        <w:pStyle w:val="ListBullet"/>
      </w:pPr>
      <w:r>
        <w:t>New customer requirement.</w:t>
      </w:r>
    </w:p>
    <w:p>
      <w:pPr>
        <w:pStyle w:val="ListBullet"/>
      </w:pPr>
      <w:r>
        <w:t>Product obsolescence.</w:t>
      </w:r>
    </w:p>
    <w:p>
      <w:pPr>
        <w:pStyle w:val="ListBullet"/>
      </w:pPr>
      <w:r>
        <w:t>Vendor substitution.</w:t>
      </w:r>
    </w:p>
    <w:p>
      <w:pPr>
        <w:pStyle w:val="ListBullet"/>
      </w:pPr>
      <w:r>
        <w:t>Network topology change.</w:t>
      </w:r>
    </w:p>
    <w:p>
      <w:pPr>
        <w:pStyle w:val="ListBullet"/>
      </w:pPr>
      <w:r>
        <w:t>Safety assessment finding.</w:t>
      </w:r>
    </w:p>
    <w:p>
      <w:pPr>
        <w:pStyle w:val="ListBullet"/>
      </w:pPr>
      <w:r>
        <w:t>Panel-space limitation.</w:t>
      </w:r>
    </w:p>
    <w:p>
      <w:pPr>
        <w:pStyle w:val="ListBullet"/>
      </w:pPr>
      <w:r>
        <w:t>Supplier delivery problem.</w:t>
      </w:r>
    </w:p>
    <w:p>
      <w:pPr>
        <w:pStyle w:val="ListBullet"/>
      </w:pPr>
      <w:r>
        <w:t>Failed proof-of-concept test.</w:t>
      </w:r>
    </w:p>
    <w:p>
      <w:pPr>
        <w:pStyle w:val="ListBullet"/>
      </w:pPr>
      <w:r>
        <w:t>Commissioning discovery.</w:t>
      </w:r>
    </w:p>
    <w:p>
      <w:r>
        <w:t>For every material change, record the reason, affected items, quantity difference, cost impact, schedule impact, technical implications, approval, and revision.</w:t>
      </w:r>
    </w:p>
    <w:p>
      <w:r>
        <w:t>Example revision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Revision</w:t>
            </w:r>
          </w:p>
        </w:tc>
        <w:tc>
          <w:tcPr>
            <w:tcW w:type="dxa" w:w="2700"/>
            <w:shd w:val="clear" w:color="auto" w:fill="EEF2F7"/>
          </w:tcPr>
          <w:p>
            <w:pPr>
              <w:spacing w:after="0" w:before="0" w:line="240" w:lineRule="auto"/>
              <w:jc w:val="left"/>
            </w:pPr>
            <w:r>
              <w:rPr>
                <w:b/>
                <w:color w:val="1A2E4A"/>
              </w:rPr>
              <w:t>Change</w:t>
            </w:r>
          </w:p>
        </w:tc>
        <w:tc>
          <w:tcPr>
            <w:tcW w:type="dxa" w:w="2700"/>
            <w:shd w:val="clear" w:color="auto" w:fill="EEF2F7"/>
          </w:tcPr>
          <w:p>
            <w:pPr>
              <w:spacing w:after="0" w:before="0" w:line="240" w:lineRule="auto"/>
              <w:jc w:val="left"/>
            </w:pPr>
            <w:r>
              <w:rPr>
                <w:b/>
                <w:color w:val="1A2E4A"/>
              </w:rPr>
              <w:t>Reason</w:t>
            </w:r>
          </w:p>
        </w:tc>
        <w:tc>
          <w:tcPr>
            <w:tcW w:type="dxa" w:w="2700"/>
            <w:shd w:val="clear" w:color="auto" w:fill="EEF2F7"/>
          </w:tcPr>
          <w:p>
            <w:pPr>
              <w:spacing w:after="0" w:before="0" w:line="240" w:lineRule="auto"/>
              <w:jc w:val="left"/>
            </w:pPr>
            <w:r>
              <w:rPr>
                <w:b/>
                <w:color w:val="1A2E4A"/>
              </w:rPr>
              <w:t>Required action</w:t>
            </w:r>
          </w:p>
        </w:tc>
      </w:tr>
      <w:tr>
        <w:tc>
          <w:tcPr>
            <w:tcW w:type="dxa" w:w="2700"/>
          </w:tcPr>
          <w:p>
            <w:pPr>
              <w:spacing w:after="0" w:before="0" w:line="240" w:lineRule="auto"/>
              <w:jc w:val="left"/>
            </w:pPr>
            <w:r>
              <w:t>A</w:t>
            </w:r>
          </w:p>
        </w:tc>
        <w:tc>
          <w:tcPr>
            <w:tcW w:type="dxa" w:w="2700"/>
          </w:tcPr>
          <w:p>
            <w:pPr>
              <w:spacing w:after="0" w:before="0" w:line="240" w:lineRule="auto"/>
              <w:jc w:val="left"/>
            </w:pPr>
            <w:r>
              <w:t>Initial preliminary BOM</w:t>
            </w:r>
          </w:p>
        </w:tc>
        <w:tc>
          <w:tcPr>
            <w:tcW w:type="dxa" w:w="2700"/>
          </w:tcPr>
          <w:p>
            <w:pPr>
              <w:spacing w:after="0" w:before="0" w:line="240" w:lineRule="auto"/>
              <w:jc w:val="left"/>
            </w:pPr>
            <w:r>
              <w:t>Concept approval</w:t>
            </w:r>
          </w:p>
        </w:tc>
        <w:tc>
          <w:tcPr>
            <w:tcW w:type="dxa" w:w="2700"/>
          </w:tcPr>
          <w:p>
            <w:pPr>
              <w:spacing w:after="0" w:before="0" w:line="240" w:lineRule="auto"/>
              <w:jc w:val="left"/>
            </w:pPr>
            <w:r>
              <w:t>Estimate quantities and cost</w:t>
            </w:r>
          </w:p>
        </w:tc>
      </w:tr>
      <w:tr>
        <w:tc>
          <w:tcPr>
            <w:tcW w:type="dxa" w:w="2700"/>
          </w:tcPr>
          <w:p>
            <w:pPr>
              <w:spacing w:after="0" w:before="0" w:line="240" w:lineRule="auto"/>
              <w:jc w:val="left"/>
            </w:pPr>
            <w:r>
              <w:t>B</w:t>
            </w:r>
          </w:p>
        </w:tc>
        <w:tc>
          <w:tcPr>
            <w:tcW w:type="dxa" w:w="2700"/>
          </w:tcPr>
          <w:p>
            <w:pPr>
              <w:spacing w:after="0" w:before="0" w:line="240" w:lineRule="auto"/>
              <w:jc w:val="left"/>
            </w:pPr>
            <w:r>
              <w:t>Add remote I/O station</w:t>
            </w:r>
          </w:p>
        </w:tc>
        <w:tc>
          <w:tcPr>
            <w:tcW w:type="dxa" w:w="2700"/>
          </w:tcPr>
          <w:p>
            <w:pPr>
              <w:spacing w:after="0" w:before="0" w:line="240" w:lineRule="auto"/>
              <w:jc w:val="left"/>
            </w:pPr>
            <w:r>
              <w:t>Revised architecture</w:t>
            </w:r>
          </w:p>
        </w:tc>
        <w:tc>
          <w:tcPr>
            <w:tcW w:type="dxa" w:w="2700"/>
          </w:tcPr>
          <w:p>
            <w:pPr>
              <w:spacing w:after="0" w:before="0" w:line="240" w:lineRule="auto"/>
              <w:jc w:val="left"/>
            </w:pPr>
            <w:r>
              <w:t>Recalculate network and panel requirements</w:t>
            </w:r>
          </w:p>
        </w:tc>
      </w:tr>
      <w:tr>
        <w:tc>
          <w:tcPr>
            <w:tcW w:type="dxa" w:w="2700"/>
          </w:tcPr>
          <w:p>
            <w:pPr>
              <w:spacing w:after="0" w:before="0" w:line="240" w:lineRule="auto"/>
              <w:jc w:val="left"/>
            </w:pPr>
            <w:r>
              <w:t>C</w:t>
            </w:r>
          </w:p>
        </w:tc>
        <w:tc>
          <w:tcPr>
            <w:tcW w:type="dxa" w:w="2700"/>
          </w:tcPr>
          <w:p>
            <w:pPr>
              <w:spacing w:after="0" w:before="0" w:line="240" w:lineRule="auto"/>
              <w:jc w:val="left"/>
            </w:pPr>
            <w:r>
              <w:t>Replace unavailable switch model</w:t>
            </w:r>
          </w:p>
        </w:tc>
        <w:tc>
          <w:tcPr>
            <w:tcW w:type="dxa" w:w="2700"/>
          </w:tcPr>
          <w:p>
            <w:pPr>
              <w:spacing w:after="0" w:before="0" w:line="240" w:lineRule="auto"/>
              <w:jc w:val="left"/>
            </w:pPr>
            <w:r>
              <w:t>Supplier availability</w:t>
            </w:r>
          </w:p>
        </w:tc>
        <w:tc>
          <w:tcPr>
            <w:tcW w:type="dxa" w:w="2700"/>
          </w:tcPr>
          <w:p>
            <w:pPr>
              <w:spacing w:after="0" w:before="0" w:line="240" w:lineRule="auto"/>
              <w:jc w:val="left"/>
            </w:pPr>
            <w:r>
              <w:t>Verify compatibility and update costing</w:t>
            </w:r>
          </w:p>
        </w:tc>
      </w:tr>
    </w:tbl>
    <w:p/>
    <w:p>
      <w:r>
        <w:t>A substitution should not be approved on price or availability alone. It must also satisfy electrical, functional, communication, environmental, safety, and lifecycle requirements.</w:t>
      </w:r>
    </w:p>
    <w:p>
      <w:pPr>
        <w:pStyle w:val="Heading2"/>
      </w:pPr>
      <w:r>
        <w:t>20. Using Excel or SAP to manage the BOM</w:t>
      </w:r>
    </w:p>
    <w:p>
      <w:pPr>
        <w:pStyle w:val="Heading3"/>
      </w:pPr>
      <w:r>
        <w:t>20.1 Excel</w:t>
      </w:r>
    </w:p>
    <w:p>
      <w:r>
        <w:t>Excel is useful during concept development because quantities, part numbers, estimates, and assumptions change frequently.</w:t>
      </w:r>
    </w:p>
    <w:p>
      <w:r>
        <w:t>Useful controls include:</w:t>
      </w:r>
    </w:p>
    <w:p>
      <w:pPr>
        <w:pStyle w:val="ListBullet"/>
      </w:pPr>
      <w:r>
        <w:t>Unique item IDs.</w:t>
      </w:r>
    </w:p>
    <w:p>
      <w:pPr>
        <w:pStyle w:val="ListBullet"/>
      </w:pPr>
      <w:r>
        <w:t>Drop-down lists for status and category.</w:t>
      </w:r>
    </w:p>
    <w:p>
      <w:pPr>
        <w:pStyle w:val="ListBullet"/>
      </w:pPr>
      <w:r>
        <w:t>Data validation for quantity and unit.</w:t>
      </w:r>
    </w:p>
    <w:p>
      <w:pPr>
        <w:pStyle w:val="ListBullet"/>
      </w:pPr>
      <w:r>
        <w:t>Automatic line-cost calculations.</w:t>
      </w:r>
    </w:p>
    <w:p>
      <w:pPr>
        <w:pStyle w:val="ListBullet"/>
      </w:pPr>
      <w:r>
        <w:t>Duplicate part-number checks.</w:t>
      </w:r>
    </w:p>
    <w:p>
      <w:pPr>
        <w:pStyle w:val="ListBullet"/>
      </w:pPr>
      <w:r>
        <w:t>Filters by subsystem and procurement status.</w:t>
      </w:r>
    </w:p>
    <w:p>
      <w:pPr>
        <w:pStyle w:val="ListBullet"/>
      </w:pPr>
      <w:r>
        <w:t>Conditional formatting for missing data.</w:t>
      </w:r>
    </w:p>
    <w:p>
      <w:pPr>
        <w:pStyle w:val="ListBullet"/>
      </w:pPr>
      <w:r>
        <w:t>Revision and approval columns.</w:t>
      </w:r>
    </w:p>
    <w:p>
      <w:pPr>
        <w:pStyle w:val="ListBullet"/>
      </w:pPr>
      <w:r>
        <w:t>Separate assumptions and exclusions sheets.</w:t>
      </w:r>
    </w:p>
    <w:p>
      <w:r>
        <w:t>For an Excel table, the extended-cost formula can be:</w:t>
      </w:r>
    </w:p>
    <w:p>
      <w:pPr>
        <w:shd w:val="clear" w:color="auto" w:fill="F4F4F4"/>
        <w:spacing w:before="0" w:after="0" w:line="240" w:lineRule="auto"/>
        <w:ind w:left="216" w:right="216"/>
        <w:jc w:val="left"/>
      </w:pPr>
      <w:r>
        <w:rPr>
          <w:rFonts w:ascii="Consolas" w:hAnsi="Consolas"/>
          <w:color w:val="202020"/>
          <w:sz w:val="18"/>
        </w:rPr>
        <w:t>=[@Quantity]*[@[Unit Cost]]</w:t>
      </w:r>
    </w:p>
    <w:p/>
    <w:p>
      <w:r>
        <w:t>A subtotal for all extended costs can be calculated with:</w:t>
      </w:r>
    </w:p>
    <w:p>
      <w:pPr>
        <w:shd w:val="clear" w:color="auto" w:fill="F4F4F4"/>
        <w:spacing w:before="0" w:after="0" w:line="240" w:lineRule="auto"/>
        <w:ind w:left="216" w:right="216"/>
        <w:jc w:val="left"/>
      </w:pPr>
      <w:r>
        <w:rPr>
          <w:rFonts w:ascii="Consolas" w:hAnsi="Consolas"/>
          <w:color w:val="202020"/>
          <w:sz w:val="18"/>
        </w:rPr>
        <w:t>=SUM(BOM[Extended Cost])</w:t>
      </w:r>
    </w:p>
    <w:p/>
    <w:p>
      <w:r>
        <w:t xml:space="preserve">These formulas assume an Excel Table named </w:t>
      </w:r>
      <w:r>
        <w:rPr>
          <w:rFonts w:ascii="Consolas" w:hAnsi="Consolas"/>
          <w:color w:val="333333"/>
          <w:sz w:val="19"/>
          <w:shd w:val="clear" w:color="auto" w:fill="EFEFEF"/>
        </w:rPr>
        <w:t>BOM</w:t>
      </w:r>
      <w:r>
        <w:t xml:space="preserve"> with the specified column names.</w:t>
      </w:r>
    </w:p>
    <w:p>
      <w:pPr>
        <w:pStyle w:val="Heading3"/>
      </w:pPr>
      <w:r>
        <w:t>20.2 SAP</w:t>
      </w:r>
    </w:p>
    <w:p>
      <w:r>
        <w:t>SAP may be used for material masters, purchasing, stock availability, reservations, BOM management, and procurement processes, depending on the organization's configuration.</w:t>
      </w:r>
    </w:p>
    <w:p>
      <w:r>
        <w:t>Before converting a preliminary item into a formal material request, verify:</w:t>
      </w:r>
    </w:p>
    <w:p>
      <w:pPr>
        <w:pStyle w:val="ListBullet"/>
      </w:pPr>
      <w:r>
        <w:t>Correct material number.</w:t>
      </w:r>
    </w:p>
    <w:p>
      <w:pPr>
        <w:pStyle w:val="ListBullet"/>
      </w:pPr>
      <w:r>
        <w:t>Correct plant and storage location, where applicable.</w:t>
      </w:r>
    </w:p>
    <w:p>
      <w:pPr>
        <w:pStyle w:val="ListBullet"/>
      </w:pPr>
      <w:r>
        <w:t>Material description and unit of measure.</w:t>
      </w:r>
    </w:p>
    <w:p>
      <w:pPr>
        <w:pStyle w:val="ListBullet"/>
      </w:pPr>
      <w:r>
        <w:t>Stock availability and reservations.</w:t>
      </w:r>
    </w:p>
    <w:p>
      <w:pPr>
        <w:pStyle w:val="ListBullet"/>
      </w:pPr>
      <w:r>
        <w:t>Approved vendor or purchasing source.</w:t>
      </w:r>
    </w:p>
    <w:p>
      <w:pPr>
        <w:pStyle w:val="ListBullet"/>
      </w:pPr>
      <w:r>
        <w:t>Required quantity and delivery date.</w:t>
      </w:r>
    </w:p>
    <w:p>
      <w:pPr>
        <w:pStyle w:val="ListBullet"/>
      </w:pPr>
      <w:r>
        <w:t>Whether the item is already included in an existing material or assembly.</w:t>
      </w:r>
    </w:p>
    <w:p>
      <w:pPr>
        <w:pStyle w:val="ListBullet"/>
      </w:pPr>
      <w:r>
        <w:t>Whether the preliminary BOM has reached the required approval stage.</w:t>
      </w:r>
    </w:p>
    <w:p>
      <w:r>
        <w:t>A preliminary estimate should not be treated as a released production BOM or purchase request unless the company's process explicitly permits it.</w:t>
      </w:r>
    </w:p>
    <w:p>
      <w:pPr>
        <w:pStyle w:val="Heading2"/>
      </w:pPr>
      <w:r>
        <w:t>21. Practical BOM review process</w:t>
      </w:r>
    </w:p>
    <w:p>
      <w:r>
        <w:t>A useful review combines electrical, controls, mechanical, safety, maintenance, procurement, and project perspectives.</w:t>
      </w:r>
    </w:p>
    <w:p>
      <w:pPr>
        <w:tabs>
          <w:tab w:pos="403" w:val="left"/>
        </w:tabs>
        <w:spacing w:after="40" w:line="276" w:lineRule="auto"/>
        <w:ind w:left="403" w:hanging="403"/>
        <w:jc w:val="left"/>
      </w:pPr>
      <w:r>
        <w:rPr>
          <w:color w:val="1A2E4A"/>
        </w:rPr>
        <w:t>1.</w:t>
        <w:tab/>
      </w:r>
      <w:r>
        <w:t>Compare every major BOM item against the architecture.</w:t>
      </w:r>
    </w:p>
    <w:p>
      <w:pPr>
        <w:tabs>
          <w:tab w:pos="403" w:val="left"/>
        </w:tabs>
        <w:spacing w:after="40" w:line="276" w:lineRule="auto"/>
        <w:ind w:left="403" w:hanging="403"/>
        <w:jc w:val="left"/>
      </w:pPr>
      <w:r>
        <w:rPr>
          <w:color w:val="1A2E4A"/>
        </w:rPr>
        <w:t>2.</w:t>
        <w:tab/>
      </w:r>
      <w:r>
        <w:t>Check the I/O list against controller and module quantities.</w:t>
      </w:r>
    </w:p>
    <w:p>
      <w:pPr>
        <w:tabs>
          <w:tab w:pos="403" w:val="left"/>
        </w:tabs>
        <w:spacing w:after="40" w:line="276" w:lineRule="auto"/>
        <w:ind w:left="403" w:hanging="403"/>
        <w:jc w:val="left"/>
      </w:pPr>
      <w:r>
        <w:rPr>
          <w:color w:val="1A2E4A"/>
        </w:rPr>
        <w:t>3.</w:t>
        <w:tab/>
      </w:r>
      <w:r>
        <w:t>Check the network topology against switch ports and interfaces.</w:t>
      </w:r>
    </w:p>
    <w:p>
      <w:pPr>
        <w:tabs>
          <w:tab w:pos="403" w:val="left"/>
        </w:tabs>
        <w:spacing w:after="40" w:line="276" w:lineRule="auto"/>
        <w:ind w:left="403" w:hanging="403"/>
        <w:jc w:val="left"/>
      </w:pPr>
      <w:r>
        <w:rPr>
          <w:color w:val="1A2E4A"/>
        </w:rPr>
        <w:t>4.</w:t>
        <w:tab/>
      </w:r>
      <w:r>
        <w:t>Check panel and protection requirements against electrical design assumptions.</w:t>
      </w:r>
    </w:p>
    <w:p>
      <w:pPr>
        <w:tabs>
          <w:tab w:pos="403" w:val="left"/>
        </w:tabs>
        <w:spacing w:after="40" w:line="276" w:lineRule="auto"/>
        <w:ind w:left="403" w:hanging="403"/>
        <w:jc w:val="left"/>
      </w:pPr>
      <w:r>
        <w:rPr>
          <w:color w:val="1A2E4A"/>
        </w:rPr>
        <w:t>5.</w:t>
        <w:tab/>
      </w:r>
      <w:r>
        <w:t>Check the safety design against safety-related equipment and interfaces.</w:t>
      </w:r>
    </w:p>
    <w:p>
      <w:pPr>
        <w:tabs>
          <w:tab w:pos="403" w:val="left"/>
        </w:tabs>
        <w:spacing w:after="40" w:line="276" w:lineRule="auto"/>
        <w:ind w:left="403" w:hanging="403"/>
        <w:jc w:val="left"/>
      </w:pPr>
      <w:r>
        <w:rPr>
          <w:color w:val="1A2E4A"/>
        </w:rPr>
        <w:t>6.</w:t>
        <w:tab/>
      </w:r>
      <w:r>
        <w:t>Identify vendor-package inclusions and exclusions.</w:t>
      </w:r>
    </w:p>
    <w:p>
      <w:pPr>
        <w:tabs>
          <w:tab w:pos="403" w:val="left"/>
        </w:tabs>
        <w:spacing w:after="40" w:line="276" w:lineRule="auto"/>
        <w:ind w:left="403" w:hanging="403"/>
        <w:jc w:val="left"/>
      </w:pPr>
      <w:r>
        <w:rPr>
          <w:color w:val="1A2E4A"/>
        </w:rPr>
        <w:t>7.</w:t>
        <w:tab/>
      </w:r>
      <w:r>
        <w:t>Confirm reuse and customer-supplied equipment.</w:t>
      </w:r>
    </w:p>
    <w:p>
      <w:pPr>
        <w:tabs>
          <w:tab w:pos="403" w:val="left"/>
        </w:tabs>
        <w:spacing w:after="40" w:line="276" w:lineRule="auto"/>
        <w:ind w:left="403" w:hanging="403"/>
        <w:jc w:val="left"/>
      </w:pPr>
      <w:r>
        <w:rPr>
          <w:color w:val="1A2E4A"/>
        </w:rPr>
        <w:t>8.</w:t>
        <w:tab/>
      </w:r>
      <w:r>
        <w:t>Flag obsolete, long-lead, and high-criticality items.</w:t>
      </w:r>
    </w:p>
    <w:p>
      <w:pPr>
        <w:tabs>
          <w:tab w:pos="403" w:val="left"/>
        </w:tabs>
        <w:spacing w:after="40" w:line="276" w:lineRule="auto"/>
        <w:ind w:left="403" w:hanging="403"/>
        <w:jc w:val="left"/>
      </w:pPr>
      <w:r>
        <w:rPr>
          <w:color w:val="1A2E4A"/>
        </w:rPr>
        <w:t>9.</w:t>
        <w:tab/>
      </w:r>
      <w:r>
        <w:t>Review estimated quantities and unit costs.</w:t>
      </w:r>
    </w:p>
    <w:p>
      <w:pPr>
        <w:tabs>
          <w:tab w:pos="403" w:val="left"/>
        </w:tabs>
        <w:spacing w:after="40" w:line="276" w:lineRule="auto"/>
        <w:ind w:left="403" w:hanging="403"/>
        <w:jc w:val="left"/>
      </w:pPr>
      <w:r>
        <w:rPr>
          <w:color w:val="1A2E4A"/>
        </w:rPr>
        <w:t>10.</w:t>
        <w:tab/>
      </w:r>
      <w:r>
        <w:t>Record open technical questions and assumptions.</w:t>
      </w:r>
    </w:p>
    <w:p>
      <w:pPr>
        <w:tabs>
          <w:tab w:pos="403" w:val="left"/>
        </w:tabs>
        <w:spacing w:after="40" w:line="276" w:lineRule="auto"/>
        <w:ind w:left="403" w:hanging="403"/>
        <w:jc w:val="left"/>
      </w:pPr>
      <w:r>
        <w:rPr>
          <w:color w:val="1A2E4A"/>
        </w:rPr>
        <w:t>11.</w:t>
        <w:tab/>
      </w:r>
      <w:r>
        <w:t>Approve the preliminary BOM revision for costing.</w:t>
      </w:r>
    </w:p>
    <w:p>
      <w:pPr>
        <w:tabs>
          <w:tab w:pos="403" w:val="left"/>
        </w:tabs>
        <w:spacing w:after="40" w:line="276" w:lineRule="auto"/>
        <w:ind w:left="403" w:hanging="403"/>
        <w:jc w:val="left"/>
      </w:pPr>
      <w:r>
        <w:rPr>
          <w:color w:val="1A2E4A"/>
        </w:rPr>
        <w:t>12.</w:t>
        <w:tab/>
      </w:r>
      <w:r>
        <w:t>Update the BOM when detailed engineering produces verified quantities and part numbers.</w:t>
      </w:r>
    </w:p>
    <w:p>
      <w:pPr>
        <w:pStyle w:val="Heading2"/>
      </w:pPr>
      <w:r>
        <w:t>22. Common preliminary BOM mistakes</w:t>
      </w:r>
    </w:p>
    <w:p>
      <w:pPr>
        <w:pStyle w:val="ListBullet"/>
      </w:pPr>
      <w:r>
        <w:t>Treating a preliminary BOM as a final purchasing BOM.</w:t>
      </w:r>
    </w:p>
    <w:p>
      <w:pPr>
        <w:pStyle w:val="ListBullet"/>
      </w:pPr>
      <w:r>
        <w:t>Listing a generic description without identifying the required technical characteristics.</w:t>
      </w:r>
    </w:p>
    <w:p>
      <w:pPr>
        <w:pStyle w:val="ListBullet"/>
      </w:pPr>
      <w:r>
        <w:t>Using exact part numbers before compatibility is confirmed.</w:t>
      </w:r>
    </w:p>
    <w:p>
      <w:pPr>
        <w:pStyle w:val="ListBullet"/>
      </w:pPr>
      <w:r>
        <w:t>Forgetting connectors, mounting accessories, licenses, or communication modules.</w:t>
      </w:r>
    </w:p>
    <w:p>
      <w:pPr>
        <w:pStyle w:val="ListBullet"/>
      </w:pPr>
      <w:r>
        <w:t>Counting a vendor-supplied accessory twice.</w:t>
      </w:r>
    </w:p>
    <w:p>
      <w:pPr>
        <w:pStyle w:val="ListBullet"/>
      </w:pPr>
      <w:r>
        <w:t>Omitting shared equipment because ownership is unclear.</w:t>
      </w:r>
    </w:p>
    <w:p>
      <w:pPr>
        <w:pStyle w:val="ListBullet"/>
      </w:pPr>
      <w:r>
        <w:t>Failing to separate reused items from new purchases.</w:t>
      </w:r>
    </w:p>
    <w:p>
      <w:pPr>
        <w:pStyle w:val="ListBullet"/>
      </w:pPr>
      <w:r>
        <w:t>Ignoring spare capacity and expansion requirements.</w:t>
      </w:r>
    </w:p>
    <w:p>
      <w:pPr>
        <w:pStyle w:val="ListBullet"/>
      </w:pPr>
      <w:r>
        <w:t>Estimating cable lengths without recording assumptions.</w:t>
      </w:r>
    </w:p>
    <w:p>
      <w:pPr>
        <w:pStyle w:val="ListBullet"/>
      </w:pPr>
      <w:r>
        <w:t>Ignoring safety devices and associated interfaces.</w:t>
      </w:r>
    </w:p>
    <w:p>
      <w:pPr>
        <w:pStyle w:val="ListBullet"/>
      </w:pPr>
      <w:r>
        <w:t>Using outdated or unsupported product models without risk assessment.</w:t>
      </w:r>
    </w:p>
    <w:p>
      <w:pPr>
        <w:pStyle w:val="ListBullet"/>
      </w:pPr>
      <w:r>
        <w:t>Mixing engineering services into physical-material quantities without clear categorization.</w:t>
      </w:r>
    </w:p>
    <w:p>
      <w:pPr>
        <w:pStyle w:val="ListBullet"/>
      </w:pPr>
      <w:r>
        <w:t>Failing to record currency, price date, or quotation status.</w:t>
      </w:r>
    </w:p>
    <w:p>
      <w:pPr>
        <w:pStyle w:val="ListBullet"/>
      </w:pPr>
      <w:r>
        <w:t>Making substitutions without checking compatibility.</w:t>
      </w:r>
    </w:p>
    <w:p>
      <w:pPr>
        <w:pStyle w:val="ListBullet"/>
      </w:pPr>
      <w:r>
        <w:t>Not maintaining revision history.</w:t>
      </w:r>
    </w:p>
    <w:p>
      <w:pPr>
        <w:pStyle w:val="ListBullet"/>
      </w:pPr>
      <w:r>
        <w:t>Failing to reconcile the BOM with drawings and the I/O list.</w:t>
      </w:r>
    </w:p>
    <w:p>
      <w:pPr>
        <w:pStyle w:val="Heading2"/>
      </w:pPr>
      <w:r>
        <w:t>23. Interview questions and answers</w:t>
      </w:r>
    </w:p>
    <w:p>
      <w:r>
        <w:t>Q1. What is a preliminary BOM?</w:t>
      </w:r>
    </w:p>
    <w:p>
      <w:r>
        <w:t>It is an early-stage list of the major materials, equipment, software, accessories, and services expected for a project, with estimated quantities and provisional specifications.</w:t>
      </w:r>
    </w:p>
    <w:p>
      <w:r>
        <w:t>Q2. Why is a preliminary BOM prepared after technology selection?</w:t>
      </w:r>
    </w:p>
    <w:p>
      <w:r>
        <w:t>Technology selection identifies the suitable product families and interfaces. The preliminary BOM converts those decisions into an initial component and quantity list for costing and planning.</w:t>
      </w:r>
    </w:p>
    <w:p>
      <w:r>
        <w:t>Q3. What is the difference between a preliminary BOM and a final BOM?</w:t>
      </w:r>
    </w:p>
    <w:p>
      <w:r>
        <w:t>The preliminary BOM contains estimated or provisional information. A final engineering or procurement BOM contains verified part numbers, quantities, specifications, and required approvals for its intended use.</w:t>
      </w:r>
    </w:p>
    <w:p>
      <w:r>
        <w:t>Q4. How do you estimate PLC I/O module quantities?</w:t>
      </w:r>
    </w:p>
    <w:p>
      <w:r>
        <w:t>Count the required signals by type, divide by usable channels per module, round up, and verify electrical characteristics, channel grouping, safety requirements, rack capacity, and spare capacity.</w:t>
      </w:r>
    </w:p>
    <w:p>
      <w:r>
        <w:t>Q5. Why should the BOM include software licenses?</w:t>
      </w:r>
    </w:p>
    <w:p>
      <w:r>
        <w:t>Some hardware cannot be engineered, configured, or operated as intended without separately licensed software, drivers, runtime features, or connectivity options.</w:t>
      </w:r>
    </w:p>
    <w:p>
      <w:r>
        <w:t>Q6. How do you prevent duplicate BOM items?</w:t>
      </w:r>
    </w:p>
    <w:p>
      <w:r>
        <w:t>Use unique item IDs, consistent descriptions, supplier-package checks, defined subsystem boundaries, and cross-reviews against architecture and drawings.</w:t>
      </w:r>
    </w:p>
    <w:p>
      <w:r>
        <w:t>Q7. What is a long-lead item?</w:t>
      </w:r>
    </w:p>
    <w:p>
      <w:r>
        <w:t>An item whose procurement or manufacturing time may threaten the project schedule and therefore needs early identification and supplier confirmation.</w:t>
      </w:r>
    </w:p>
    <w:p>
      <w:r>
        <w:t>Q8. How should reused components be handled?</w:t>
      </w:r>
    </w:p>
    <w:p>
      <w:r>
        <w:t>Identify them separately and verify their condition, compatibility, remaining lifecycle, supportability, and suitability before treating them as available for the new design.</w:t>
      </w:r>
    </w:p>
    <w:p>
      <w:r>
        <w:t>Q9. How does the preliminary BOM support costing?</w:t>
      </w:r>
    </w:p>
    <w:p>
      <w:r>
        <w:t>It provides estimated quantities, technical descriptions, and provisional unit costs. The cost estimate can then include materials and separately identified engineering, software, fabrication, installation, and other project expenses.</w:t>
      </w:r>
    </w:p>
    <w:p>
      <w:r>
        <w:t>Q10. What should happen when a component becomes unavailable?</w:t>
      </w:r>
    </w:p>
    <w:p>
      <w:r>
        <w:t>Assess alternatives, verify compatibility and lifecycle implications, update the BOM revision, recalculate cost and schedule effects, and obtain the required technical approval.</w:t>
      </w:r>
    </w:p>
    <w:p>
      <w:r>
        <w:t>Q11. Why should BOM items be traceable to engineering documents?</w:t>
      </w:r>
    </w:p>
    <w:p>
      <w:r>
        <w:t>Traceability helps detect omissions, justify component selection, manage design changes, and ensure the purchased materials match the intended system.</w:t>
      </w:r>
    </w:p>
    <w:p>
      <w:r>
        <w:t>Q12. What is an as-built BOM?</w:t>
      </w:r>
    </w:p>
    <w:p>
      <w:r>
        <w:t>It records the actual installed configuration, including the final part numbers, quantities, revisions, and approved substitutions.</w:t>
      </w:r>
    </w:p>
    <w:p>
      <w:pPr>
        <w:pStyle w:val="Heading2"/>
      </w:pPr>
      <w:r>
        <w:t>24. Final preliminary BOM checklist</w:t>
      </w:r>
    </w:p>
    <w:p>
      <w:pPr>
        <w:pStyle w:val="ListBullet"/>
      </w:pPr>
      <w:r>
        <w:t>Major equipment identified from the approved concept and architecture.</w:t>
      </w:r>
    </w:p>
    <w:p>
      <w:pPr>
        <w:pStyle w:val="ListBullet"/>
      </w:pPr>
      <w:r>
        <w:t>Technology selection reflected in the BOM.</w:t>
      </w:r>
    </w:p>
    <w:p>
      <w:pPr>
        <w:pStyle w:val="ListBullet"/>
      </w:pPr>
      <w:r>
        <w:t>Components grouped by subsystem or assembly.</w:t>
      </w:r>
    </w:p>
    <w:p>
      <w:pPr>
        <w:pStyle w:val="ListBullet"/>
      </w:pPr>
      <w:r>
        <w:t>I/O counts and module quantities estimated.</w:t>
      </w:r>
    </w:p>
    <w:p>
      <w:pPr>
        <w:pStyle w:val="ListBullet"/>
      </w:pPr>
      <w:r>
        <w:t>Network equipment and interfaces included.</w:t>
      </w:r>
    </w:p>
    <w:p>
      <w:pPr>
        <w:pStyle w:val="ListBullet"/>
      </w:pPr>
      <w:r>
        <w:t>Safety-related devices considered.</w:t>
      </w:r>
    </w:p>
    <w:p>
      <w:pPr>
        <w:pStyle w:val="ListBullet"/>
      </w:pPr>
      <w:r>
        <w:t>Panel, power, protection, and installation accessories considered.</w:t>
      </w:r>
    </w:p>
    <w:p>
      <w:pPr>
        <w:pStyle w:val="ListBullet"/>
      </w:pPr>
      <w:r>
        <w:t>Software, runtime, engineering, and connectivity licenses identified.</w:t>
      </w:r>
    </w:p>
    <w:p>
      <w:pPr>
        <w:pStyle w:val="ListBullet"/>
      </w:pPr>
      <w:r>
        <w:t>Reused, purchased, fabricated, and customer-supplied items distinguished.</w:t>
      </w:r>
    </w:p>
    <w:p>
      <w:pPr>
        <w:pStyle w:val="ListBullet"/>
      </w:pPr>
      <w:r>
        <w:t>Manufacturer and part numbers verified where available.</w:t>
      </w:r>
    </w:p>
    <w:p>
      <w:pPr>
        <w:pStyle w:val="ListBullet"/>
      </w:pPr>
      <w:r>
        <w:t>Provisional quantities and assumptions documented.</w:t>
      </w:r>
    </w:p>
    <w:p>
      <w:pPr>
        <w:pStyle w:val="ListBullet"/>
      </w:pPr>
      <w:r>
        <w:t>Lead-time and obsolescence risks identified.</w:t>
      </w:r>
    </w:p>
    <w:p>
      <w:pPr>
        <w:pStyle w:val="ListBullet"/>
      </w:pPr>
      <w:r>
        <w:t>Duplicate items and package inclusions reviewed.</w:t>
      </w:r>
    </w:p>
    <w:p>
      <w:pPr>
        <w:pStyle w:val="ListBullet"/>
      </w:pPr>
      <w:r>
        <w:t>Unit costs and extended costs calculated consistently.</w:t>
      </w:r>
    </w:p>
    <w:p>
      <w:pPr>
        <w:pStyle w:val="ListBullet"/>
      </w:pPr>
      <w:r>
        <w:t>BOM reconciled against architecture, I/O list, and preliminary drawings.</w:t>
      </w:r>
    </w:p>
    <w:p>
      <w:pPr>
        <w:pStyle w:val="ListBullet"/>
      </w:pPr>
      <w:r>
        <w:t>Revision and approval status recorded.</w:t>
      </w:r>
    </w:p>
    <w:p>
      <w:pPr>
        <w:pStyle w:val="ListBullet"/>
      </w:pPr>
      <w:r>
        <w:t>Preliminary BOM released as an input to costing.</w:t>
      </w:r>
    </w:p>
    <w:p>
      <w:pPr>
        <w:pStyle w:val="Heading2"/>
      </w:pPr>
      <w:r>
        <w:t>NEXT TOPIC</w:t>
      </w:r>
    </w:p>
    <w:p>
      <w:r>
        <w:rPr>
          <w:rFonts w:ascii="Consolas" w:hAnsi="Consolas"/>
          <w:color w:val="333333"/>
          <w:sz w:val="19"/>
          <w:shd w:val="clear" w:color="auto" w:fill="EFEFEF"/>
        </w:rPr>
        <w:t>02_PLAN_WISE_2026\02_INDUSTRY3_0\07_Lifecycle\01_Concept\09_Costing - Costing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02_PLAN_WISE_2026\02_INDUSTRY3_0\07_Lifecycle\01_Concept\08_Preliminary_BOM - Preliminary BOM</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