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02_PLAN_WISE_2026\02_INDUSTRY3_0\07_Lifecycle\01_Concept\09_Costing - Costing</w:t>
      </w:r>
    </w:p>
    <w:p>
      <w:pPr>
        <w:pStyle w:val="Heading2"/>
      </w:pPr>
      <w:r>
        <w:t>1. Purpose of costing in industrial automation</w:t>
      </w:r>
    </w:p>
    <w:p>
      <w:r>
        <w:t>Costing is the systematic estimation, calculation, allocation, and analysis of the costs required to design, develop, manufacture, integrate, install, commission, and support an industrial automation system.</w:t>
      </w:r>
    </w:p>
    <w:p>
      <w:r>
        <w:t>In the automation lifecycle, costing converts the preliminary BOM and engineering concept into a financial estimate that can be used for budgeting, feasibility assessment, quotation preparation, project approval, and cost control.</w:t>
      </w:r>
    </w:p>
    <w:p>
      <w:r>
        <w:t>Costing answers several practical questions:</w:t>
      </w:r>
    </w:p>
    <w:p>
      <w:pPr>
        <w:pStyle w:val="ListBullet"/>
      </w:pPr>
      <w:r>
        <w:t>How much will the proposed automation system cost?</w:t>
      </w:r>
    </w:p>
    <w:p>
      <w:pPr>
        <w:pStyle w:val="ListBullet"/>
      </w:pPr>
      <w:r>
        <w:t>What portion of the cost comes from equipment, engineering, fabrication, software, and installation?</w:t>
      </w:r>
    </w:p>
    <w:p>
      <w:pPr>
        <w:pStyle w:val="ListBullet"/>
      </w:pPr>
      <w:r>
        <w:t>Which cost items are confirmed, estimated, or uncertain?</w:t>
      </w:r>
    </w:p>
    <w:p>
      <w:pPr>
        <w:pStyle w:val="ListBullet"/>
      </w:pPr>
      <w:r>
        <w:t>What happens to the total if the design changes?</w:t>
      </w:r>
    </w:p>
    <w:p>
      <w:pPr>
        <w:pStyle w:val="ListBullet"/>
      </w:pPr>
      <w:r>
        <w:t>Is the proposed solution within the customer's budget?</w:t>
      </w:r>
    </w:p>
    <w:p>
      <w:pPr>
        <w:pStyle w:val="ListBullet"/>
      </w:pPr>
      <w:r>
        <w:t>What financial risks could cause the project to exceed its approved cost?</w:t>
      </w:r>
    </w:p>
    <w:p>
      <w:pPr>
        <w:pStyle w:val="ListBullet"/>
      </w:pPr>
      <w:r>
        <w:t>What will the system cost to operate and maintain over its useful life?</w:t>
      </w:r>
    </w:p>
    <w:p>
      <w:r>
        <w:t>Costing is not simply adding the prices of PLCs, sensors, drives, and panels. A machine may have relatively inexpensive hardware but require substantial engineering, legacy-system integration, software licensing, commissioning time, and production downtime.</w:t>
      </w:r>
    </w:p>
    <w:p>
      <w:r>
        <w:t>The objective is to develop a traceable, realistic cost estimate based on the scope, technical assumptions, quantities, rates, risks, and commercial conditions.</w:t>
      </w:r>
    </w:p>
    <w:p>
      <w:pPr>
        <w:pStyle w:val="Heading2"/>
      </w:pPr>
      <w:r>
        <w:t>2. Position in the project lifecycle</w:t>
      </w:r>
    </w:p>
    <w:p>
      <w:pPr>
        <w:shd w:val="clear" w:color="auto" w:fill="F4F4F4"/>
        <w:spacing w:before="0" w:after="0" w:line="240" w:lineRule="auto"/>
        <w:ind w:left="216" w:right="216"/>
        <w:jc w:val="left"/>
      </w:pPr>
      <w:r>
        <w:rPr>
          <w:rFonts w:ascii="Consolas" w:hAnsi="Consolas"/>
          <w:color w:val="202020"/>
          <w:sz w:val="18"/>
        </w:rPr>
        <w:t>Customer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study and site survey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Existing-system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development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Automation architecture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Technology selection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Preliminary BOM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Feasibility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Concept approval or revision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Detailed engineering and implementation</w:t>
      </w:r>
    </w:p>
    <w:p/>
    <w:p>
      <w:r>
        <w:t>Costing and feasibility are closely related but have different purposes.</w:t>
      </w:r>
    </w:p>
    <w:p>
      <w:pPr>
        <w:pStyle w:val="ListBullet"/>
      </w:pPr>
      <w:r>
        <w:t>Costing estimates the financial resources required.</w:t>
      </w:r>
    </w:p>
    <w:p>
      <w:pPr>
        <w:pStyle w:val="ListBullet"/>
      </w:pPr>
      <w:r>
        <w:t>Feasibility evaluates whether the proposed solution is achievable and worthwhile under the project's technical, financial, operational, and other constraints.</w:t>
      </w:r>
    </w:p>
    <w:p>
      <w:r>
        <w:t>Costing may reveal that a selected technology is too expensive, requiring a revised concept or technology selection. Feasibility may also reject a technically workable project because the expected benefits do not justify the total cost.</w:t>
      </w:r>
    </w:p>
    <w:p>
      <w:pPr>
        <w:pStyle w:val="Heading2"/>
      </w:pPr>
      <w:r>
        <w:t>3. Costing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Cost estimate</w:t>
            </w:r>
          </w:p>
        </w:tc>
        <w:tc>
          <w:tcPr>
            <w:tcW w:type="dxa" w:w="5400"/>
          </w:tcPr>
          <w:p>
            <w:pPr>
              <w:spacing w:after="0" w:before="0" w:line="240" w:lineRule="auto"/>
              <w:jc w:val="left"/>
            </w:pPr>
            <w:r>
              <w:t>Calculated expectation of the cost required to complete defined work</w:t>
            </w:r>
          </w:p>
        </w:tc>
      </w:tr>
      <w:tr>
        <w:tc>
          <w:tcPr>
            <w:tcW w:type="dxa" w:w="5400"/>
          </w:tcPr>
          <w:p>
            <w:pPr>
              <w:spacing w:after="0" w:before="0" w:line="240" w:lineRule="auto"/>
              <w:jc w:val="left"/>
            </w:pPr>
            <w:r>
              <w:t>Budget</w:t>
            </w:r>
          </w:p>
        </w:tc>
        <w:tc>
          <w:tcPr>
            <w:tcW w:type="dxa" w:w="5400"/>
          </w:tcPr>
          <w:p>
            <w:pPr>
              <w:spacing w:after="0" w:before="0" w:line="240" w:lineRule="auto"/>
              <w:jc w:val="left"/>
            </w:pPr>
            <w:r>
              <w:t>Authorized financial allowance for a defined scope</w:t>
            </w:r>
          </w:p>
        </w:tc>
      </w:tr>
      <w:tr>
        <w:tc>
          <w:tcPr>
            <w:tcW w:type="dxa" w:w="5400"/>
          </w:tcPr>
          <w:p>
            <w:pPr>
              <w:spacing w:after="0" w:before="0" w:line="240" w:lineRule="auto"/>
              <w:jc w:val="left"/>
            </w:pPr>
            <w:r>
              <w:t>Quotation</w:t>
            </w:r>
          </w:p>
        </w:tc>
        <w:tc>
          <w:tcPr>
            <w:tcW w:type="dxa" w:w="5400"/>
          </w:tcPr>
          <w:p>
            <w:pPr>
              <w:spacing w:after="0" w:before="0" w:line="240" w:lineRule="auto"/>
              <w:jc w:val="left"/>
            </w:pPr>
            <w:r>
              <w:t>Commercial offer submitted to a customer or purchaser</w:t>
            </w:r>
          </w:p>
        </w:tc>
      </w:tr>
      <w:tr>
        <w:tc>
          <w:tcPr>
            <w:tcW w:type="dxa" w:w="5400"/>
          </w:tcPr>
          <w:p>
            <w:pPr>
              <w:spacing w:after="0" w:before="0" w:line="240" w:lineRule="auto"/>
              <w:jc w:val="left"/>
            </w:pPr>
            <w:r>
              <w:t>Actual cost</w:t>
            </w:r>
          </w:p>
        </w:tc>
        <w:tc>
          <w:tcPr>
            <w:tcW w:type="dxa" w:w="5400"/>
          </w:tcPr>
          <w:p>
            <w:pPr>
              <w:spacing w:after="0" w:before="0" w:line="240" w:lineRule="auto"/>
              <w:jc w:val="left"/>
            </w:pPr>
            <w:r>
              <w:t>Cost incurred and recorded during execution</w:t>
            </w:r>
          </w:p>
        </w:tc>
      </w:tr>
      <w:tr>
        <w:tc>
          <w:tcPr>
            <w:tcW w:type="dxa" w:w="5400"/>
          </w:tcPr>
          <w:p>
            <w:pPr>
              <w:spacing w:after="0" w:before="0" w:line="240" w:lineRule="auto"/>
              <w:jc w:val="left"/>
            </w:pPr>
            <w:r>
              <w:t>Direct cost</w:t>
            </w:r>
          </w:p>
        </w:tc>
        <w:tc>
          <w:tcPr>
            <w:tcW w:type="dxa" w:w="5400"/>
          </w:tcPr>
          <w:p>
            <w:pPr>
              <w:spacing w:after="0" w:before="0" w:line="240" w:lineRule="auto"/>
              <w:jc w:val="left"/>
            </w:pPr>
            <w:r>
              <w:t>Cost directly attributable to the project or deliverable</w:t>
            </w:r>
          </w:p>
        </w:tc>
      </w:tr>
      <w:tr>
        <w:tc>
          <w:tcPr>
            <w:tcW w:type="dxa" w:w="5400"/>
          </w:tcPr>
          <w:p>
            <w:pPr>
              <w:spacing w:after="0" w:before="0" w:line="240" w:lineRule="auto"/>
              <w:jc w:val="left"/>
            </w:pPr>
            <w:r>
              <w:t>Indirect cost</w:t>
            </w:r>
          </w:p>
        </w:tc>
        <w:tc>
          <w:tcPr>
            <w:tcW w:type="dxa" w:w="5400"/>
          </w:tcPr>
          <w:p>
            <w:pPr>
              <w:spacing w:after="0" w:before="0" w:line="240" w:lineRule="auto"/>
              <w:jc w:val="left"/>
            </w:pPr>
            <w:r>
              <w:t>Shared or overhead cost allocated to the project</w:t>
            </w:r>
          </w:p>
        </w:tc>
      </w:tr>
      <w:tr>
        <w:tc>
          <w:tcPr>
            <w:tcW w:type="dxa" w:w="5400"/>
          </w:tcPr>
          <w:p>
            <w:pPr>
              <w:spacing w:after="0" w:before="0" w:line="240" w:lineRule="auto"/>
              <w:jc w:val="left"/>
            </w:pPr>
            <w:r>
              <w:t>Capital expenditure (CAPEX)</w:t>
            </w:r>
          </w:p>
        </w:tc>
        <w:tc>
          <w:tcPr>
            <w:tcW w:type="dxa" w:w="5400"/>
          </w:tcPr>
          <w:p>
            <w:pPr>
              <w:spacing w:after="0" w:before="0" w:line="240" w:lineRule="auto"/>
              <w:jc w:val="left"/>
            </w:pPr>
            <w:r>
              <w:t>Spending on assets or improvements treated as capital under the applicable accounting policy</w:t>
            </w:r>
          </w:p>
        </w:tc>
      </w:tr>
      <w:tr>
        <w:tc>
          <w:tcPr>
            <w:tcW w:type="dxa" w:w="5400"/>
          </w:tcPr>
          <w:p>
            <w:pPr>
              <w:spacing w:after="0" w:before="0" w:line="240" w:lineRule="auto"/>
              <w:jc w:val="left"/>
            </w:pPr>
            <w:r>
              <w:t>Operating expenditure (OPEX)</w:t>
            </w:r>
          </w:p>
        </w:tc>
        <w:tc>
          <w:tcPr>
            <w:tcW w:type="dxa" w:w="5400"/>
          </w:tcPr>
          <w:p>
            <w:pPr>
              <w:spacing w:after="0" w:before="0" w:line="240" w:lineRule="auto"/>
              <w:jc w:val="left"/>
            </w:pPr>
            <w:r>
              <w:t>Recurring cost of operating and maintaining the system</w:t>
            </w:r>
          </w:p>
        </w:tc>
      </w:tr>
      <w:tr>
        <w:tc>
          <w:tcPr>
            <w:tcW w:type="dxa" w:w="5400"/>
          </w:tcPr>
          <w:p>
            <w:pPr>
              <w:spacing w:after="0" w:before="0" w:line="240" w:lineRule="auto"/>
              <w:jc w:val="left"/>
            </w:pPr>
            <w:r>
              <w:t>Contingency</w:t>
            </w:r>
          </w:p>
        </w:tc>
        <w:tc>
          <w:tcPr>
            <w:tcW w:type="dxa" w:w="5400"/>
          </w:tcPr>
          <w:p>
            <w:pPr>
              <w:spacing w:after="0" w:before="0" w:line="240" w:lineRule="auto"/>
              <w:jc w:val="left"/>
            </w:pPr>
            <w:r>
              <w:t>Allowance for defined residual uncertainty and risk</w:t>
            </w:r>
          </w:p>
        </w:tc>
      </w:tr>
      <w:tr>
        <w:tc>
          <w:tcPr>
            <w:tcW w:type="dxa" w:w="5400"/>
          </w:tcPr>
          <w:p>
            <w:pPr>
              <w:spacing w:after="0" w:before="0" w:line="240" w:lineRule="auto"/>
              <w:jc w:val="left"/>
            </w:pPr>
            <w:r>
              <w:t>Markup</w:t>
            </w:r>
          </w:p>
        </w:tc>
        <w:tc>
          <w:tcPr>
            <w:tcW w:type="dxa" w:w="5400"/>
          </w:tcPr>
          <w:p>
            <w:pPr>
              <w:spacing w:after="0" w:before="0" w:line="240" w:lineRule="auto"/>
              <w:jc w:val="left"/>
            </w:pPr>
            <w:r>
              <w:t>Amount added to a cost base to establish a selling price</w:t>
            </w:r>
          </w:p>
        </w:tc>
      </w:tr>
      <w:tr>
        <w:tc>
          <w:tcPr>
            <w:tcW w:type="dxa" w:w="5400"/>
          </w:tcPr>
          <w:p>
            <w:pPr>
              <w:spacing w:after="0" w:before="0" w:line="240" w:lineRule="auto"/>
              <w:jc w:val="left"/>
            </w:pPr>
            <w:r>
              <w:t>Margin</w:t>
            </w:r>
          </w:p>
        </w:tc>
        <w:tc>
          <w:tcPr>
            <w:tcW w:type="dxa" w:w="5400"/>
          </w:tcPr>
          <w:p>
            <w:pPr>
              <w:spacing w:after="0" w:before="0" w:line="240" w:lineRule="auto"/>
              <w:jc w:val="left"/>
            </w:pPr>
            <w:r>
              <w:t>Selling price less the relevant cost base, expressed as a proportion of selling price</w:t>
            </w:r>
          </w:p>
        </w:tc>
      </w:tr>
      <w:tr>
        <w:tc>
          <w:tcPr>
            <w:tcW w:type="dxa" w:w="5400"/>
          </w:tcPr>
          <w:p>
            <w:pPr>
              <w:spacing w:after="0" w:before="0" w:line="240" w:lineRule="auto"/>
              <w:jc w:val="left"/>
            </w:pPr>
            <w:r>
              <w:t>Total cost of ownership (TCO)</w:t>
            </w:r>
          </w:p>
        </w:tc>
        <w:tc>
          <w:tcPr>
            <w:tcW w:type="dxa" w:w="5400"/>
          </w:tcPr>
          <w:p>
            <w:pPr>
              <w:spacing w:after="0" w:before="0" w:line="240" w:lineRule="auto"/>
              <w:jc w:val="left"/>
            </w:pPr>
            <w:r>
              <w:t>Cost of acquiring, operating, maintaining, and eventually replacing or retiring a system</w:t>
            </w:r>
          </w:p>
        </w:tc>
      </w:tr>
      <w:tr>
        <w:tc>
          <w:tcPr>
            <w:tcW w:type="dxa" w:w="5400"/>
          </w:tcPr>
          <w:p>
            <w:pPr>
              <w:spacing w:after="0" w:before="0" w:line="240" w:lineRule="auto"/>
              <w:jc w:val="left"/>
            </w:pPr>
            <w:r>
              <w:t>Cost baseline</w:t>
            </w:r>
          </w:p>
        </w:tc>
        <w:tc>
          <w:tcPr>
            <w:tcW w:type="dxa" w:w="5400"/>
          </w:tcPr>
          <w:p>
            <w:pPr>
              <w:spacing w:after="0" w:before="0" w:line="240" w:lineRule="auto"/>
              <w:jc w:val="left"/>
            </w:pPr>
            <w:r>
              <w:t>Approved cost reference used to monitor project performance</w:t>
            </w:r>
          </w:p>
        </w:tc>
      </w:tr>
      <w:tr>
        <w:tc>
          <w:tcPr>
            <w:tcW w:type="dxa" w:w="5400"/>
          </w:tcPr>
          <w:p>
            <w:pPr>
              <w:spacing w:after="0" w:before="0" w:line="240" w:lineRule="auto"/>
              <w:jc w:val="left"/>
            </w:pPr>
            <w:r>
              <w:t>Cost variance</w:t>
            </w:r>
          </w:p>
        </w:tc>
        <w:tc>
          <w:tcPr>
            <w:tcW w:type="dxa" w:w="5400"/>
          </w:tcPr>
          <w:p>
            <w:pPr>
              <w:spacing w:after="0" w:before="0" w:line="240" w:lineRule="auto"/>
              <w:jc w:val="left"/>
            </w:pPr>
            <w:r>
              <w:t>Difference between actual or forecast cost and the approved baseline</w:t>
            </w:r>
          </w:p>
        </w:tc>
      </w:tr>
    </w:tbl>
    <w:p/>
    <w:p>
      <w:r>
        <w:t>The precise accounting treatment of capital and operating expenditure depends on company policy and applicable accounting rules. Engineering estimates should distinguish cost categories clearly rather than assuming that every purchase is treated identically.</w:t>
      </w:r>
    </w:p>
    <w:p>
      <w:pPr>
        <w:pStyle w:val="Heading2"/>
      </w:pPr>
      <w:r>
        <w:t>4. Inputs required for costing</w:t>
      </w:r>
    </w:p>
    <w:p>
      <w:r>
        <w:t>A cost estimate is only as reliable as its inputs.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Input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Scope statement</w:t>
            </w:r>
          </w:p>
        </w:tc>
        <w:tc>
          <w:tcPr>
            <w:tcW w:type="dxa" w:w="5400"/>
          </w:tcPr>
          <w:p>
            <w:pPr>
              <w:spacing w:after="0" w:before="0" w:line="240" w:lineRule="auto"/>
              <w:jc w:val="left"/>
            </w:pPr>
            <w:r>
              <w:t>Defines what is included and excluded</w:t>
            </w:r>
          </w:p>
        </w:tc>
      </w:tr>
      <w:tr>
        <w:tc>
          <w:tcPr>
            <w:tcW w:type="dxa" w:w="5400"/>
          </w:tcPr>
          <w:p>
            <w:pPr>
              <w:spacing w:after="0" w:before="0" w:line="240" w:lineRule="auto"/>
              <w:jc w:val="left"/>
            </w:pPr>
            <w:r>
              <w:t>Preliminary BOM</w:t>
            </w:r>
          </w:p>
        </w:tc>
        <w:tc>
          <w:tcPr>
            <w:tcW w:type="dxa" w:w="5400"/>
          </w:tcPr>
          <w:p>
            <w:pPr>
              <w:spacing w:after="0" w:before="0" w:line="240" w:lineRule="auto"/>
              <w:jc w:val="left"/>
            </w:pPr>
            <w:r>
              <w:t>Provides equipment and material quantities</w:t>
            </w:r>
          </w:p>
        </w:tc>
      </w:tr>
      <w:tr>
        <w:tc>
          <w:tcPr>
            <w:tcW w:type="dxa" w:w="5400"/>
          </w:tcPr>
          <w:p>
            <w:pPr>
              <w:spacing w:after="0" w:before="0" w:line="240" w:lineRule="auto"/>
              <w:jc w:val="left"/>
            </w:pPr>
            <w:r>
              <w:t>Technology selection</w:t>
            </w:r>
          </w:p>
        </w:tc>
        <w:tc>
          <w:tcPr>
            <w:tcW w:type="dxa" w:w="5400"/>
          </w:tcPr>
          <w:p>
            <w:pPr>
              <w:spacing w:after="0" w:before="0" w:line="240" w:lineRule="auto"/>
              <w:jc w:val="left"/>
            </w:pPr>
            <w:r>
              <w:t>Identifies candidate models and technical requirements</w:t>
            </w:r>
          </w:p>
        </w:tc>
      </w:tr>
      <w:tr>
        <w:tc>
          <w:tcPr>
            <w:tcW w:type="dxa" w:w="5400"/>
          </w:tcPr>
          <w:p>
            <w:pPr>
              <w:spacing w:after="0" w:before="0" w:line="240" w:lineRule="auto"/>
              <w:jc w:val="left"/>
            </w:pPr>
            <w:r>
              <w:t>Engineering hours</w:t>
            </w:r>
          </w:p>
        </w:tc>
        <w:tc>
          <w:tcPr>
            <w:tcW w:type="dxa" w:w="5400"/>
          </w:tcPr>
          <w:p>
            <w:pPr>
              <w:spacing w:after="0" w:before="0" w:line="240" w:lineRule="auto"/>
              <w:jc w:val="left"/>
            </w:pPr>
            <w:r>
              <w:t>Estimates design, programming, testing, and documentation effort</w:t>
            </w:r>
          </w:p>
        </w:tc>
      </w:tr>
      <w:tr>
        <w:tc>
          <w:tcPr>
            <w:tcW w:type="dxa" w:w="5400"/>
          </w:tcPr>
          <w:p>
            <w:pPr>
              <w:spacing w:after="0" w:before="0" w:line="240" w:lineRule="auto"/>
              <w:jc w:val="left"/>
            </w:pPr>
            <w:r>
              <w:t>Installation plan</w:t>
            </w:r>
          </w:p>
        </w:tc>
        <w:tc>
          <w:tcPr>
            <w:tcW w:type="dxa" w:w="5400"/>
          </w:tcPr>
          <w:p>
            <w:pPr>
              <w:spacing w:after="0" w:before="0" w:line="240" w:lineRule="auto"/>
              <w:jc w:val="left"/>
            </w:pPr>
            <w:r>
              <w:t>Estimates wiring, mounting, cable routing, and site work</w:t>
            </w:r>
          </w:p>
        </w:tc>
      </w:tr>
      <w:tr>
        <w:tc>
          <w:tcPr>
            <w:tcW w:type="dxa" w:w="5400"/>
          </w:tcPr>
          <w:p>
            <w:pPr>
              <w:spacing w:after="0" w:before="0" w:line="240" w:lineRule="auto"/>
              <w:jc w:val="left"/>
            </w:pPr>
            <w:r>
              <w:t>Commissioning plan</w:t>
            </w:r>
          </w:p>
        </w:tc>
        <w:tc>
          <w:tcPr>
            <w:tcW w:type="dxa" w:w="5400"/>
          </w:tcPr>
          <w:p>
            <w:pPr>
              <w:spacing w:after="0" w:before="0" w:line="240" w:lineRule="auto"/>
              <w:jc w:val="left"/>
            </w:pPr>
            <w:r>
              <w:t>Estimates testing, troubleshooting, validation, and production trials</w:t>
            </w:r>
          </w:p>
        </w:tc>
      </w:tr>
      <w:tr>
        <w:tc>
          <w:tcPr>
            <w:tcW w:type="dxa" w:w="5400"/>
          </w:tcPr>
          <w:p>
            <w:pPr>
              <w:spacing w:after="0" w:before="0" w:line="240" w:lineRule="auto"/>
              <w:jc w:val="left"/>
            </w:pPr>
            <w:r>
              <w:t>Supplier quotations</w:t>
            </w:r>
          </w:p>
        </w:tc>
        <w:tc>
          <w:tcPr>
            <w:tcW w:type="dxa" w:w="5400"/>
          </w:tcPr>
          <w:p>
            <w:pPr>
              <w:spacing w:after="0" w:before="0" w:line="240" w:lineRule="auto"/>
              <w:jc w:val="left"/>
            </w:pPr>
            <w:r>
              <w:t>Provides equipment prices and commercial conditions</w:t>
            </w:r>
          </w:p>
        </w:tc>
      </w:tr>
      <w:tr>
        <w:tc>
          <w:tcPr>
            <w:tcW w:type="dxa" w:w="5400"/>
          </w:tcPr>
          <w:p>
            <w:pPr>
              <w:spacing w:after="0" w:before="0" w:line="240" w:lineRule="auto"/>
              <w:jc w:val="left"/>
            </w:pPr>
            <w:r>
              <w:t>Labor rates</w:t>
            </w:r>
          </w:p>
        </w:tc>
        <w:tc>
          <w:tcPr>
            <w:tcW w:type="dxa" w:w="5400"/>
          </w:tcPr>
          <w:p>
            <w:pPr>
              <w:spacing w:after="0" w:before="0" w:line="240" w:lineRule="auto"/>
              <w:jc w:val="left"/>
            </w:pPr>
            <w:r>
              <w:t>Converts estimated effort into labor cost</w:t>
            </w:r>
          </w:p>
        </w:tc>
      </w:tr>
      <w:tr>
        <w:tc>
          <w:tcPr>
            <w:tcW w:type="dxa" w:w="5400"/>
          </w:tcPr>
          <w:p>
            <w:pPr>
              <w:spacing w:after="0" w:before="0" w:line="240" w:lineRule="auto"/>
              <w:jc w:val="left"/>
            </w:pPr>
            <w:r>
              <w:t>Schedule</w:t>
            </w:r>
          </w:p>
        </w:tc>
        <w:tc>
          <w:tcPr>
            <w:tcW w:type="dxa" w:w="5400"/>
          </w:tcPr>
          <w:p>
            <w:pPr>
              <w:spacing w:after="0" w:before="0" w:line="240" w:lineRule="auto"/>
              <w:jc w:val="left"/>
            </w:pPr>
            <w:r>
              <w:t>Identifies duration, resource constraints, and possible overtime</w:t>
            </w:r>
          </w:p>
        </w:tc>
      </w:tr>
      <w:tr>
        <w:tc>
          <w:tcPr>
            <w:tcW w:type="dxa" w:w="5400"/>
          </w:tcPr>
          <w:p>
            <w:pPr>
              <w:spacing w:after="0" w:before="0" w:line="240" w:lineRule="auto"/>
              <w:jc w:val="left"/>
            </w:pPr>
            <w:r>
              <w:t>Site conditions</w:t>
            </w:r>
          </w:p>
        </w:tc>
        <w:tc>
          <w:tcPr>
            <w:tcW w:type="dxa" w:w="5400"/>
          </w:tcPr>
          <w:p>
            <w:pPr>
              <w:spacing w:after="0" w:before="0" w:line="240" w:lineRule="auto"/>
              <w:jc w:val="left"/>
            </w:pPr>
            <w:r>
              <w:t>Identifies access, shutdown, utilities, and environmental requirements</w:t>
            </w:r>
          </w:p>
        </w:tc>
      </w:tr>
      <w:tr>
        <w:tc>
          <w:tcPr>
            <w:tcW w:type="dxa" w:w="5400"/>
          </w:tcPr>
          <w:p>
            <w:pPr>
              <w:spacing w:after="0" w:before="0" w:line="240" w:lineRule="auto"/>
              <w:jc w:val="left"/>
            </w:pPr>
            <w:r>
              <w:t>Risk register</w:t>
            </w:r>
          </w:p>
        </w:tc>
        <w:tc>
          <w:tcPr>
            <w:tcW w:type="dxa" w:w="5400"/>
          </w:tcPr>
          <w:p>
            <w:pPr>
              <w:spacing w:after="0" w:before="0" w:line="240" w:lineRule="auto"/>
              <w:jc w:val="left"/>
            </w:pPr>
            <w:r>
              <w:t>Identifies uncertain costs and potential additional work</w:t>
            </w:r>
          </w:p>
        </w:tc>
      </w:tr>
      <w:tr>
        <w:tc>
          <w:tcPr>
            <w:tcW w:type="dxa" w:w="5400"/>
          </w:tcPr>
          <w:p>
            <w:pPr>
              <w:spacing w:after="0" w:before="0" w:line="240" w:lineRule="auto"/>
              <w:jc w:val="left"/>
            </w:pPr>
            <w:r>
              <w:t>Customer requirements</w:t>
            </w:r>
          </w:p>
        </w:tc>
        <w:tc>
          <w:tcPr>
            <w:tcW w:type="dxa" w:w="5400"/>
          </w:tcPr>
          <w:p>
            <w:pPr>
              <w:spacing w:after="0" w:before="0" w:line="240" w:lineRule="auto"/>
              <w:jc w:val="left"/>
            </w:pPr>
            <w:r>
              <w:t>Identifies acceptance criteria, documentation, training, and support obligations</w:t>
            </w:r>
          </w:p>
        </w:tc>
      </w:tr>
      <w:tr>
        <w:tc>
          <w:tcPr>
            <w:tcW w:type="dxa" w:w="5400"/>
          </w:tcPr>
          <w:p>
            <w:pPr>
              <w:spacing w:after="0" w:before="0" w:line="240" w:lineRule="auto"/>
              <w:jc w:val="left"/>
            </w:pPr>
            <w:r>
              <w:t>Commercial terms</w:t>
            </w:r>
          </w:p>
        </w:tc>
        <w:tc>
          <w:tcPr>
            <w:tcW w:type="dxa" w:w="5400"/>
          </w:tcPr>
          <w:p>
            <w:pPr>
              <w:spacing w:after="0" w:before="0" w:line="240" w:lineRule="auto"/>
              <w:jc w:val="left"/>
            </w:pPr>
            <w:r>
              <w:t>Defines taxes, freight, payment terms, warranty, and currency assumptions</w:t>
            </w:r>
          </w:p>
        </w:tc>
      </w:tr>
    </w:tbl>
    <w:p/>
    <w:p>
      <w:r>
        <w:t>At the preliminary stage, some inputs may be estimated. Their maturity and confidence level should be documented.</w:t>
      </w:r>
    </w:p>
    <w:p>
      <w:pPr>
        <w:pStyle w:val="Heading2"/>
      </w:pPr>
      <w:r>
        <w:t>5. Main categories of automation project cost</w:t>
      </w:r>
    </w:p>
    <w:p>
      <w:pPr>
        <w:pStyle w:val="Heading3"/>
      </w:pPr>
      <w:r>
        <w:t>5.1 Equipment and material cost</w:t>
      </w:r>
    </w:p>
    <w:p>
      <w:r>
        <w:t>Includes the physical components required to implement the system.</w:t>
      </w:r>
    </w:p>
    <w:p>
      <w:r>
        <w:t>Examples:</w:t>
      </w:r>
    </w:p>
    <w:p>
      <w:pPr>
        <w:pStyle w:val="ListBullet"/>
      </w:pPr>
      <w:r>
        <w:t>PLCs and I/O modules.</w:t>
      </w:r>
    </w:p>
    <w:p>
      <w:pPr>
        <w:pStyle w:val="ListBullet"/>
      </w:pPr>
      <w:r>
        <w:t>HMIs and industrial computers.</w:t>
      </w:r>
    </w:p>
    <w:p>
      <w:pPr>
        <w:pStyle w:val="ListBullet"/>
      </w:pPr>
      <w:r>
        <w:t>Drives, motors, and servo systems.</w:t>
      </w:r>
    </w:p>
    <w:p>
      <w:pPr>
        <w:pStyle w:val="ListBullet"/>
      </w:pPr>
      <w:r>
        <w:t>Sensors, actuators, and field devices.</w:t>
      </w:r>
    </w:p>
    <w:p>
      <w:pPr>
        <w:pStyle w:val="ListBullet"/>
      </w:pPr>
      <w:r>
        <w:t>Robot-related components.</w:t>
      </w:r>
    </w:p>
    <w:p>
      <w:pPr>
        <w:pStyle w:val="ListBullet"/>
      </w:pPr>
      <w:r>
        <w:t>Safety equipment.</w:t>
      </w:r>
    </w:p>
    <w:p>
      <w:pPr>
        <w:pStyle w:val="ListBullet"/>
      </w:pPr>
      <w:r>
        <w:t>Electrical panels and protection devices.</w:t>
      </w:r>
    </w:p>
    <w:p>
      <w:pPr>
        <w:pStyle w:val="ListBullet"/>
      </w:pPr>
      <w:r>
        <w:t>Industrial network equipment.</w:t>
      </w:r>
    </w:p>
    <w:p>
      <w:pPr>
        <w:pStyle w:val="ListBullet"/>
      </w:pPr>
      <w:r>
        <w:t>Cables, connectors, terminals, and mounting accessories.</w:t>
      </w:r>
    </w:p>
    <w:p>
      <w:pPr>
        <w:pStyle w:val="ListBullet"/>
      </w:pPr>
      <w:r>
        <w:t>Mechanical structures, fixtures, and guards.</w:t>
      </w:r>
    </w:p>
    <w:p>
      <w:r>
        <w:t>The equipment cost should be calculated from the BOM, with quantities, unit rates, and applicable purchasing conditions.</w:t>
      </w:r>
    </w:p>
    <w:p>
      <w:pPr>
        <w:pStyle w:val="Heading3"/>
      </w:pPr>
      <w:r>
        <w:t>5.2 Engineering cost</w:t>
      </w:r>
    </w:p>
    <w:p>
      <w:r>
        <w:t>Engineering may include:</w:t>
      </w:r>
    </w:p>
    <w:p>
      <w:pPr>
        <w:pStyle w:val="ListBullet"/>
      </w:pPr>
      <w:r>
        <w:t>Concept and detailed design.</w:t>
      </w:r>
    </w:p>
    <w:p>
      <w:pPr>
        <w:pStyle w:val="ListBullet"/>
      </w:pPr>
      <w:r>
        <w:t>Electrical schematics and panel layout.</w:t>
      </w:r>
    </w:p>
    <w:p>
      <w:pPr>
        <w:pStyle w:val="ListBullet"/>
      </w:pPr>
      <w:r>
        <w:t>PLC programming.</w:t>
      </w:r>
    </w:p>
    <w:p>
      <w:pPr>
        <w:pStyle w:val="ListBullet"/>
      </w:pPr>
      <w:r>
        <w:t>HMI and SCADA development.</w:t>
      </w:r>
    </w:p>
    <w:p>
      <w:pPr>
        <w:pStyle w:val="ListBullet"/>
      </w:pPr>
      <w:r>
        <w:t>CNC, robot, and drive integration.</w:t>
      </w:r>
    </w:p>
    <w:p>
      <w:pPr>
        <w:pStyle w:val="ListBullet"/>
      </w:pPr>
      <w:r>
        <w:t>Industrial network configuration.</w:t>
      </w:r>
    </w:p>
    <w:p>
      <w:pPr>
        <w:pStyle w:val="ListBullet"/>
      </w:pPr>
      <w:r>
        <w:t>Safety-system engineering.</w:t>
      </w:r>
    </w:p>
    <w:p>
      <w:pPr>
        <w:pStyle w:val="ListBullet"/>
      </w:pPr>
      <w:r>
        <w:t>Mechanical design.</w:t>
      </w:r>
    </w:p>
    <w:p>
      <w:pPr>
        <w:pStyle w:val="ListBullet"/>
      </w:pPr>
      <w:r>
        <w:t>Software documentation.</w:t>
      </w:r>
    </w:p>
    <w:p>
      <w:pPr>
        <w:pStyle w:val="ListBullet"/>
      </w:pPr>
      <w:r>
        <w:t>Backup and version-control preparation.</w:t>
      </w:r>
    </w:p>
    <w:p>
      <w:pPr>
        <w:pStyle w:val="ListBullet"/>
      </w:pPr>
      <w:r>
        <w:t>Design reviews and technical meetings.</w:t>
      </w:r>
    </w:p>
    <w:p>
      <w:r>
        <w:t>Engineering is often a major cost in retrofits because the team must understand existing equipment before safely modifying it.</w:t>
      </w:r>
    </w:p>
    <w:p>
      <w:pPr>
        <w:pStyle w:val="Heading3"/>
      </w:pPr>
      <w:r>
        <w:t>5.3 Fabrication and assembly cost</w:t>
      </w:r>
    </w:p>
    <w:p>
      <w:r>
        <w:t>Examples include:</w:t>
      </w:r>
    </w:p>
    <w:p>
      <w:pPr>
        <w:pStyle w:val="ListBullet"/>
      </w:pPr>
      <w:r>
        <w:t>Control-panel fabrication.</w:t>
      </w:r>
    </w:p>
    <w:p>
      <w:pPr>
        <w:pStyle w:val="ListBullet"/>
      </w:pPr>
      <w:r>
        <w:t>Panel wiring.</w:t>
      </w:r>
    </w:p>
    <w:p>
      <w:pPr>
        <w:pStyle w:val="ListBullet"/>
      </w:pPr>
      <w:r>
        <w:t>Mechanical fabrication.</w:t>
      </w:r>
    </w:p>
    <w:p>
      <w:pPr>
        <w:pStyle w:val="ListBullet"/>
      </w:pPr>
      <w:r>
        <w:t>Bracket and fixture manufacturing.</w:t>
      </w:r>
    </w:p>
    <w:p>
      <w:pPr>
        <w:pStyle w:val="ListBullet"/>
      </w:pPr>
      <w:r>
        <w:t>Cable-harness preparation.</w:t>
      </w:r>
    </w:p>
    <w:p>
      <w:pPr>
        <w:pStyle w:val="ListBullet"/>
      </w:pPr>
      <w:r>
        <w:t>Equipment assembly.</w:t>
      </w:r>
    </w:p>
    <w:p>
      <w:pPr>
        <w:pStyle w:val="ListBullet"/>
      </w:pPr>
      <w:r>
        <w:t>Labeling and identification.</w:t>
      </w:r>
    </w:p>
    <w:p>
      <w:pPr>
        <w:pStyle w:val="ListBullet"/>
      </w:pPr>
      <w:r>
        <w:t>Internal inspection.</w:t>
      </w:r>
    </w:p>
    <w:p>
      <w:r>
        <w:t>These costs may be quoted by a supplier or calculated from estimated labor, material, tooling, and overhead.</w:t>
      </w:r>
    </w:p>
    <w:p>
      <w:pPr>
        <w:pStyle w:val="Heading3"/>
      </w:pPr>
      <w:r>
        <w:t>5.4 Software and licensing cost</w:t>
      </w:r>
    </w:p>
    <w:p>
      <w:r>
        <w:t>Potential costs include:</w:t>
      </w:r>
    </w:p>
    <w:p>
      <w:pPr>
        <w:pStyle w:val="ListBullet"/>
      </w:pPr>
      <w:r>
        <w:t>PLC engineering software.</w:t>
      </w:r>
    </w:p>
    <w:p>
      <w:pPr>
        <w:pStyle w:val="ListBullet"/>
      </w:pPr>
      <w:r>
        <w:t>HMI and SCADA runtime licenses.</w:t>
      </w:r>
    </w:p>
    <w:p>
      <w:pPr>
        <w:pStyle w:val="ListBullet"/>
      </w:pPr>
      <w:r>
        <w:t>Historian or database licenses.</w:t>
      </w:r>
    </w:p>
    <w:p>
      <w:pPr>
        <w:pStyle w:val="ListBullet"/>
      </w:pPr>
      <w:r>
        <w:t>OPC UA or other communication options.</w:t>
      </w:r>
    </w:p>
    <w:p>
      <w:pPr>
        <w:pStyle w:val="ListBullet"/>
      </w:pPr>
      <w:r>
        <w:t>Robot or CNC software options.</w:t>
      </w:r>
    </w:p>
    <w:p>
      <w:pPr>
        <w:pStyle w:val="ListBullet"/>
      </w:pPr>
      <w:r>
        <w:t>Simulation tools.</w:t>
      </w:r>
    </w:p>
    <w:p>
      <w:pPr>
        <w:pStyle w:val="ListBullet"/>
      </w:pPr>
      <w:r>
        <w:t>Third-party drivers.</w:t>
      </w:r>
    </w:p>
    <w:p>
      <w:pPr>
        <w:pStyle w:val="ListBullet"/>
      </w:pPr>
      <w:r>
        <w:t>Specialized configuration tools.</w:t>
      </w:r>
    </w:p>
    <w:p>
      <w:pPr>
        <w:pStyle w:val="ListBullet"/>
      </w:pPr>
      <w:r>
        <w:t>Annual support or subscription fees.</w:t>
      </w:r>
    </w:p>
    <w:p>
      <w:r>
        <w:t>Do not assume that software is free because a device already includes an operating system or engineering interface. Verify which development, runtime, connectivity, and optional-function licenses are included.</w:t>
      </w:r>
    </w:p>
    <w:p>
      <w:pPr>
        <w:pStyle w:val="Heading3"/>
      </w:pPr>
      <w:r>
        <w:t>5.5 Installation cost</w:t>
      </w:r>
    </w:p>
    <w:p>
      <w:r>
        <w:t>Examples include:</w:t>
      </w:r>
    </w:p>
    <w:p>
      <w:pPr>
        <w:pStyle w:val="ListBullet"/>
      </w:pPr>
      <w:r>
        <w:t>Panel mounting.</w:t>
      </w:r>
    </w:p>
    <w:p>
      <w:pPr>
        <w:pStyle w:val="ListBullet"/>
      </w:pPr>
      <w:r>
        <w:t>Machine wiring.</w:t>
      </w:r>
    </w:p>
    <w:p>
      <w:pPr>
        <w:pStyle w:val="ListBullet"/>
      </w:pPr>
      <w:r>
        <w:t>Cable-tray installation.</w:t>
      </w:r>
    </w:p>
    <w:p>
      <w:pPr>
        <w:pStyle w:val="ListBullet"/>
      </w:pPr>
      <w:r>
        <w:t>Cable pulling and termination.</w:t>
      </w:r>
    </w:p>
    <w:p>
      <w:pPr>
        <w:pStyle w:val="ListBullet"/>
      </w:pPr>
      <w:r>
        <w:t>Sensor installation and alignment.</w:t>
      </w:r>
    </w:p>
    <w:p>
      <w:pPr>
        <w:pStyle w:val="ListBullet"/>
      </w:pPr>
      <w:r>
        <w:t>Network cabling.</w:t>
      </w:r>
    </w:p>
    <w:p>
      <w:pPr>
        <w:pStyle w:val="ListBullet"/>
      </w:pPr>
      <w:r>
        <w:t>Pneumatic connections.</w:t>
      </w:r>
    </w:p>
    <w:p>
      <w:pPr>
        <w:pStyle w:val="ListBullet"/>
      </w:pPr>
      <w:r>
        <w:t>Mechanical modifications.</w:t>
      </w:r>
    </w:p>
    <w:p>
      <w:pPr>
        <w:pStyle w:val="ListBullet"/>
      </w:pPr>
      <w:r>
        <w:t>Earthing and bonding.</w:t>
      </w:r>
    </w:p>
    <w:p>
      <w:pPr>
        <w:pStyle w:val="ListBullet"/>
      </w:pPr>
      <w:r>
        <w:t>Equipment relocation.</w:t>
      </w:r>
    </w:p>
    <w:p>
      <w:pPr>
        <w:pStyle w:val="ListBullet"/>
      </w:pPr>
      <w:r>
        <w:t>Site access equipment and tools.</w:t>
      </w:r>
    </w:p>
    <w:p>
      <w:r>
        <w:t>Installation cost depends on actual site conditions, not only the number of components.</w:t>
      </w:r>
    </w:p>
    <w:p>
      <w:pPr>
        <w:pStyle w:val="Heading3"/>
      </w:pPr>
      <w:r>
        <w:t>5.6 Testing and commissioning cost</w:t>
      </w:r>
    </w:p>
    <w:p>
      <w:r>
        <w:t>Includes:</w:t>
      </w:r>
    </w:p>
    <w:p>
      <w:pPr>
        <w:pStyle w:val="ListBullet"/>
      </w:pPr>
      <w:r>
        <w:t>Internal testing.</w:t>
      </w:r>
    </w:p>
    <w:p>
      <w:pPr>
        <w:pStyle w:val="ListBullet"/>
      </w:pPr>
      <w:r>
        <w:t>Factory Acceptance Testing (FAT).</w:t>
      </w:r>
    </w:p>
    <w:p>
      <w:pPr>
        <w:pStyle w:val="ListBullet"/>
      </w:pPr>
      <w:r>
        <w:t>Site Acceptance Testing (SAT).</w:t>
      </w:r>
    </w:p>
    <w:p>
      <w:pPr>
        <w:pStyle w:val="ListBullet"/>
      </w:pPr>
      <w:r>
        <w:t>I/O checks.</w:t>
      </w:r>
    </w:p>
    <w:p>
      <w:pPr>
        <w:pStyle w:val="ListBullet"/>
      </w:pPr>
      <w:r>
        <w:t>PLC and HMI functional testing.</w:t>
      </w:r>
    </w:p>
    <w:p>
      <w:pPr>
        <w:pStyle w:val="ListBullet"/>
      </w:pPr>
      <w:r>
        <w:t>Drive and motion tuning.</w:t>
      </w:r>
    </w:p>
    <w:p>
      <w:pPr>
        <w:pStyle w:val="ListBullet"/>
      </w:pPr>
      <w:r>
        <w:t>Robot integration tests.</w:t>
      </w:r>
    </w:p>
    <w:p>
      <w:pPr>
        <w:pStyle w:val="ListBullet"/>
      </w:pPr>
      <w:r>
        <w:t>Safety validation.</w:t>
      </w:r>
    </w:p>
    <w:p>
      <w:pPr>
        <w:pStyle w:val="ListBullet"/>
      </w:pPr>
      <w:r>
        <w:t>Production trials.</w:t>
      </w:r>
    </w:p>
    <w:p>
      <w:pPr>
        <w:pStyle w:val="ListBullet"/>
      </w:pPr>
      <w:r>
        <w:t>Performance verification.</w:t>
      </w:r>
    </w:p>
    <w:p>
      <w:pPr>
        <w:pStyle w:val="ListBullet"/>
      </w:pPr>
      <w:r>
        <w:t>Fault recovery testing.</w:t>
      </w:r>
    </w:p>
    <w:p>
      <w:pPr>
        <w:pStyle w:val="ListBullet"/>
      </w:pPr>
      <w:r>
        <w:t>Documentation and handover.</w:t>
      </w:r>
    </w:p>
    <w:p>
      <w:r>
        <w:t>A realistic estimate must account for the difference between a system that works under ideal conditions and a system that meets its acceptance criteria in the actual plant.</w:t>
      </w:r>
    </w:p>
    <w:p>
      <w:pPr>
        <w:pStyle w:val="Heading3"/>
      </w:pPr>
      <w:r>
        <w:t>5.7 Project management and support cost</w:t>
      </w:r>
    </w:p>
    <w:p>
      <w:r>
        <w:t>May include:</w:t>
      </w:r>
    </w:p>
    <w:p>
      <w:pPr>
        <w:pStyle w:val="ListBullet"/>
      </w:pPr>
      <w:r>
        <w:t>Planning and coordination.</w:t>
      </w:r>
    </w:p>
    <w:p>
      <w:pPr>
        <w:pStyle w:val="ListBullet"/>
      </w:pPr>
      <w:r>
        <w:t>Supplier management.</w:t>
      </w:r>
    </w:p>
    <w:p>
      <w:pPr>
        <w:pStyle w:val="ListBullet"/>
      </w:pPr>
      <w:r>
        <w:t>Technical reviews.</w:t>
      </w:r>
    </w:p>
    <w:p>
      <w:pPr>
        <w:pStyle w:val="ListBullet"/>
      </w:pPr>
      <w:r>
        <w:t>Customer meetings.</w:t>
      </w:r>
    </w:p>
    <w:p>
      <w:pPr>
        <w:pStyle w:val="ListBullet"/>
      </w:pPr>
      <w:r>
        <w:t>Quality documentation.</w:t>
      </w:r>
    </w:p>
    <w:p>
      <w:pPr>
        <w:pStyle w:val="ListBullet"/>
      </w:pPr>
      <w:r>
        <w:t>Safety coordination.</w:t>
      </w:r>
    </w:p>
    <w:p>
      <w:pPr>
        <w:pStyle w:val="ListBullet"/>
      </w:pPr>
      <w:r>
        <w:t>Travel and accommodation.</w:t>
      </w:r>
    </w:p>
    <w:p>
      <w:pPr>
        <w:pStyle w:val="ListBullet"/>
      </w:pPr>
      <w:r>
        <w:t>Training.</w:t>
      </w:r>
    </w:p>
    <w:p>
      <w:pPr>
        <w:pStyle w:val="ListBullet"/>
      </w:pPr>
      <w:r>
        <w:t>Warranty support.</w:t>
      </w:r>
    </w:p>
    <w:p>
      <w:pPr>
        <w:pStyle w:val="ListBullet"/>
      </w:pPr>
      <w:r>
        <w:t>Spare-parts planning.</w:t>
      </w:r>
    </w:p>
    <w:p>
      <w:pPr>
        <w:pStyle w:val="ListBullet"/>
      </w:pPr>
      <w:r>
        <w:t>Post-commissioning assistance.</w:t>
      </w:r>
    </w:p>
    <w:p>
      <w:r>
        <w:t>The project scope determines whether these items are separately charged or included in another cost category.</w:t>
      </w:r>
    </w:p>
    <w:p>
      <w:pPr>
        <w:pStyle w:val="Heading2"/>
      </w:pPr>
      <w:r>
        <w:t>6. Direct and indirect costs</w:t>
      </w:r>
    </w:p>
    <w:p>
      <w:r>
        <w:t>Direct costs can be attributed to a specific project activity or deliverable. Examples include PLC hardware purchased for the machine, panel-wiring labor, and an engineering contractor assigned to the project.</w:t>
      </w:r>
    </w:p>
    <w:p>
      <w:r>
        <w:t>Indirect costs support multiple projects or the wider business. Examples may include shared office expenses, general administration, facility costs, and shared engineering infrastructure.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Cost item</w:t>
            </w:r>
          </w:p>
        </w:tc>
        <w:tc>
          <w:tcPr>
            <w:tcW w:type="dxa" w:w="3600"/>
            <w:shd w:val="clear" w:color="auto" w:fill="EEF2F7"/>
          </w:tcPr>
          <w:p>
            <w:pPr>
              <w:spacing w:after="0" w:before="0" w:line="240" w:lineRule="auto"/>
              <w:jc w:val="left"/>
            </w:pPr>
            <w:r>
              <w:rPr>
                <w:b/>
                <w:color w:val="1A2E4A"/>
              </w:rPr>
              <w:t>Possible classification</w:t>
            </w:r>
          </w:p>
        </w:tc>
        <w:tc>
          <w:tcPr>
            <w:tcW w:type="dxa" w:w="3600"/>
            <w:shd w:val="clear" w:color="auto" w:fill="EEF2F7"/>
          </w:tcPr>
          <w:p>
            <w:pPr>
              <w:spacing w:after="0" w:before="0" w:line="240" w:lineRule="auto"/>
              <w:jc w:val="left"/>
            </w:pPr>
            <w:r>
              <w:rPr>
                <w:b/>
                <w:color w:val="1A2E4A"/>
              </w:rPr>
              <w:t>Notes</w:t>
            </w:r>
          </w:p>
        </w:tc>
      </w:tr>
      <w:tr>
        <w:tc>
          <w:tcPr>
            <w:tcW w:type="dxa" w:w="3600"/>
          </w:tcPr>
          <w:p>
            <w:pPr>
              <w:spacing w:after="0" w:before="0" w:line="240" w:lineRule="auto"/>
              <w:jc w:val="left"/>
            </w:pPr>
            <w:r>
              <w:t>PLC purchased for the project</w:t>
            </w:r>
          </w:p>
        </w:tc>
        <w:tc>
          <w:tcPr>
            <w:tcW w:type="dxa" w:w="3600"/>
          </w:tcPr>
          <w:p>
            <w:pPr>
              <w:spacing w:after="0" w:before="0" w:line="240" w:lineRule="auto"/>
              <w:jc w:val="left"/>
            </w:pPr>
            <w:r>
              <w:t>Direct material</w:t>
            </w:r>
          </w:p>
        </w:tc>
        <w:tc>
          <w:tcPr>
            <w:tcW w:type="dxa" w:w="3600"/>
          </w:tcPr>
          <w:p>
            <w:pPr>
              <w:spacing w:after="0" w:before="0" w:line="240" w:lineRule="auto"/>
              <w:jc w:val="left"/>
            </w:pPr>
            <w:r>
              <w:t>Assigned to the specific system</w:t>
            </w:r>
          </w:p>
        </w:tc>
      </w:tr>
      <w:tr>
        <w:tc>
          <w:tcPr>
            <w:tcW w:type="dxa" w:w="3600"/>
          </w:tcPr>
          <w:p>
            <w:pPr>
              <w:spacing w:after="0" w:before="0" w:line="240" w:lineRule="auto"/>
              <w:jc w:val="left"/>
            </w:pPr>
            <w:r>
              <w:t>Controls engineer working on the project</w:t>
            </w:r>
          </w:p>
        </w:tc>
        <w:tc>
          <w:tcPr>
            <w:tcW w:type="dxa" w:w="3600"/>
          </w:tcPr>
          <w:p>
            <w:pPr>
              <w:spacing w:after="0" w:before="0" w:line="240" w:lineRule="auto"/>
              <w:jc w:val="left"/>
            </w:pPr>
            <w:r>
              <w:t>Direct labor</w:t>
            </w:r>
          </w:p>
        </w:tc>
        <w:tc>
          <w:tcPr>
            <w:tcW w:type="dxa" w:w="3600"/>
          </w:tcPr>
          <w:p>
            <w:pPr>
              <w:spacing w:after="0" w:before="0" w:line="240" w:lineRule="auto"/>
              <w:jc w:val="left"/>
            </w:pPr>
            <w:r>
              <w:t>If tracked against project hours</w:t>
            </w:r>
          </w:p>
        </w:tc>
      </w:tr>
      <w:tr>
        <w:tc>
          <w:tcPr>
            <w:tcW w:type="dxa" w:w="3600"/>
          </w:tcPr>
          <w:p>
            <w:pPr>
              <w:spacing w:after="0" w:before="0" w:line="240" w:lineRule="auto"/>
              <w:jc w:val="left"/>
            </w:pPr>
            <w:r>
              <w:t>General engineering department overhead</w:t>
            </w:r>
          </w:p>
        </w:tc>
        <w:tc>
          <w:tcPr>
            <w:tcW w:type="dxa" w:w="3600"/>
          </w:tcPr>
          <w:p>
            <w:pPr>
              <w:spacing w:after="0" w:before="0" w:line="240" w:lineRule="auto"/>
              <w:jc w:val="left"/>
            </w:pPr>
            <w:r>
              <w:t>Indirect cost</w:t>
            </w:r>
          </w:p>
        </w:tc>
        <w:tc>
          <w:tcPr>
            <w:tcW w:type="dxa" w:w="3600"/>
          </w:tcPr>
          <w:p>
            <w:pPr>
              <w:spacing w:after="0" w:before="0" w:line="240" w:lineRule="auto"/>
              <w:jc w:val="left"/>
            </w:pPr>
            <w:r>
              <w:t>Allocated using company policy</w:t>
            </w:r>
          </w:p>
        </w:tc>
      </w:tr>
      <w:tr>
        <w:tc>
          <w:tcPr>
            <w:tcW w:type="dxa" w:w="3600"/>
          </w:tcPr>
          <w:p>
            <w:pPr>
              <w:spacing w:after="0" w:before="0" w:line="240" w:lineRule="auto"/>
              <w:jc w:val="left"/>
            </w:pPr>
            <w:r>
              <w:t>Panel assembly by a subcontractor</w:t>
            </w:r>
          </w:p>
        </w:tc>
        <w:tc>
          <w:tcPr>
            <w:tcW w:type="dxa" w:w="3600"/>
          </w:tcPr>
          <w:p>
            <w:pPr>
              <w:spacing w:after="0" w:before="0" w:line="240" w:lineRule="auto"/>
              <w:jc w:val="left"/>
            </w:pPr>
            <w:r>
              <w:t>Direct service</w:t>
            </w:r>
          </w:p>
        </w:tc>
        <w:tc>
          <w:tcPr>
            <w:tcW w:type="dxa" w:w="3600"/>
          </w:tcPr>
          <w:p>
            <w:pPr>
              <w:spacing w:after="0" w:before="0" w:line="240" w:lineRule="auto"/>
              <w:jc w:val="left"/>
            </w:pPr>
            <w:r>
              <w:t>If specifically purchased for the project</w:t>
            </w:r>
          </w:p>
        </w:tc>
      </w:tr>
      <w:tr>
        <w:tc>
          <w:tcPr>
            <w:tcW w:type="dxa" w:w="3600"/>
          </w:tcPr>
          <w:p>
            <w:pPr>
              <w:spacing w:after="0" w:before="0" w:line="240" w:lineRule="auto"/>
              <w:jc w:val="left"/>
            </w:pPr>
            <w:r>
              <w:t>General office administration</w:t>
            </w:r>
          </w:p>
        </w:tc>
        <w:tc>
          <w:tcPr>
            <w:tcW w:type="dxa" w:w="3600"/>
          </w:tcPr>
          <w:p>
            <w:pPr>
              <w:spacing w:after="0" w:before="0" w:line="240" w:lineRule="auto"/>
              <w:jc w:val="left"/>
            </w:pPr>
            <w:r>
              <w:t>Indirect cost</w:t>
            </w:r>
          </w:p>
        </w:tc>
        <w:tc>
          <w:tcPr>
            <w:tcW w:type="dxa" w:w="3600"/>
          </w:tcPr>
          <w:p>
            <w:pPr>
              <w:spacing w:after="0" w:before="0" w:line="240" w:lineRule="auto"/>
              <w:jc w:val="left"/>
            </w:pPr>
            <w:r>
              <w:t>Shared business expense</w:t>
            </w:r>
          </w:p>
        </w:tc>
      </w:tr>
      <w:tr>
        <w:tc>
          <w:tcPr>
            <w:tcW w:type="dxa" w:w="3600"/>
          </w:tcPr>
          <w:p>
            <w:pPr>
              <w:spacing w:after="0" w:before="0" w:line="240" w:lineRule="auto"/>
              <w:jc w:val="left"/>
            </w:pPr>
            <w:r>
              <w:t>Travel for site commissioning</w:t>
            </w:r>
          </w:p>
        </w:tc>
        <w:tc>
          <w:tcPr>
            <w:tcW w:type="dxa" w:w="3600"/>
          </w:tcPr>
          <w:p>
            <w:pPr>
              <w:spacing w:after="0" w:before="0" w:line="240" w:lineRule="auto"/>
              <w:jc w:val="left"/>
            </w:pPr>
            <w:r>
              <w:t>Direct project expense</w:t>
            </w:r>
          </w:p>
        </w:tc>
        <w:tc>
          <w:tcPr>
            <w:tcW w:type="dxa" w:w="3600"/>
          </w:tcPr>
          <w:p>
            <w:pPr>
              <w:spacing w:after="0" w:before="0" w:line="240" w:lineRule="auto"/>
              <w:jc w:val="left"/>
            </w:pPr>
            <w:r>
              <w:t>If incurred for that project</w:t>
            </w:r>
          </w:p>
        </w:tc>
      </w:tr>
      <w:tr>
        <w:tc>
          <w:tcPr>
            <w:tcW w:type="dxa" w:w="3600"/>
          </w:tcPr>
          <w:p>
            <w:pPr>
              <w:spacing w:after="0" w:before="0" w:line="240" w:lineRule="auto"/>
              <w:jc w:val="left"/>
            </w:pPr>
            <w:r>
              <w:t>Shared software infrastructure</w:t>
            </w:r>
          </w:p>
        </w:tc>
        <w:tc>
          <w:tcPr>
            <w:tcW w:type="dxa" w:w="3600"/>
          </w:tcPr>
          <w:p>
            <w:pPr>
              <w:spacing w:after="0" w:before="0" w:line="240" w:lineRule="auto"/>
              <w:jc w:val="left"/>
            </w:pPr>
            <w:r>
              <w:t>Indirect or allocated cost</w:t>
            </w:r>
          </w:p>
        </w:tc>
        <w:tc>
          <w:tcPr>
            <w:tcW w:type="dxa" w:w="3600"/>
          </w:tcPr>
          <w:p>
            <w:pPr>
              <w:spacing w:after="0" w:before="0" w:line="240" w:lineRule="auto"/>
              <w:jc w:val="left"/>
            </w:pPr>
            <w:r>
              <w:t>Depends on accounting policy</w:t>
            </w:r>
          </w:p>
        </w:tc>
      </w:tr>
    </w:tbl>
    <w:p/>
    <w:p>
      <w:r>
        <w:t>Classification depends on company accounting rules. The purpose is to prevent costs from being omitted or counted twice.</w:t>
      </w:r>
    </w:p>
    <w:p>
      <w:pPr>
        <w:pStyle w:val="Heading2"/>
      </w:pPr>
      <w:r>
        <w:t>7. Building a cost estimate from the BOM</w:t>
      </w:r>
    </w:p>
    <w:p>
      <w:r>
        <w:t>The first step is to calculate the estimated material cost for each BOM line.</w:t>
      </w:r>
    </w:p>
    <w:p>
      <w:pPr>
        <w:spacing w:before="120" w:after="160"/>
        <w:jc w:val="center"/>
      </w:pPr>
      <m:oMathPara>
        <m:oMath>
          <m:sSub>
            <m:e>
              <m:r>
                <m:t>C</m:t>
              </m:r>
            </m:e>
            <m:sub>
              <m:r>
                <m:t>i</m:t>
              </m:r>
            </m:sub>
          </m:sSub>
          <m:r>
            <m:t>=</m:t>
          </m:r>
          <m:sSub>
            <m:e>
              <m:r>
                <m:t>Q</m:t>
              </m:r>
            </m:e>
            <m:sub>
              <m:r>
                <m:t>i</m:t>
              </m:r>
            </m:sub>
          </m:sSub>
          <m:r>
            <m:t>×</m:t>
          </m:r>
          <m:sSub>
            <m:e>
              <m:r>
                <m:t>R</m:t>
              </m:r>
            </m:e>
            <m:sub>
              <m:r>
                <m:t>i</m:t>
              </m:r>
            </m:sub>
          </m:sSub>
        </m:oMath>
      </m:oMathPara>
    </w:p>
    <w:p>
      <w:r>
        <w:t>Where:</w:t>
      </w:r>
    </w:p>
    <w:p>
      <w:pPr>
        <w:pStyle w:val="ListBullet"/>
      </w:pPr>
      <m:oMath>
        <m:sSub>
          <m:e>
            <m:r>
              <m:t>C</m:t>
            </m:r>
          </m:e>
          <m:sub>
            <m:r>
              <m:t>i</m:t>
            </m:r>
          </m:sub>
        </m:sSub>
      </m:oMath>
      <w:r>
        <w:t xml:space="preserve"> is the extended cost of item </w:t>
      </w:r>
      <m:oMath>
        <m:r>
          <m:t>i</m:t>
        </m:r>
      </m:oMath>
      <w:r>
        <w:t>.</w:t>
      </w:r>
    </w:p>
    <w:p>
      <w:pPr>
        <w:pStyle w:val="ListBullet"/>
      </w:pPr>
      <m:oMath>
        <m:sSub>
          <m:e>
            <m:r>
              <m:t>Q</m:t>
            </m:r>
          </m:e>
          <m:sub>
            <m:r>
              <m:t>i</m:t>
            </m:r>
          </m:sub>
        </m:sSub>
      </m:oMath>
      <w:r>
        <w:t xml:space="preserve"> is the required quantity.</w:t>
      </w:r>
    </w:p>
    <w:p>
      <w:pPr>
        <w:pStyle w:val="ListBullet"/>
      </w:pPr>
      <m:oMath>
        <m:sSub>
          <m:e>
            <m:r>
              <m:t>R</m:t>
            </m:r>
          </m:e>
          <m:sub>
            <m:r>
              <m:t>i</m:t>
            </m:r>
          </m:sub>
        </m:sSub>
      </m:oMath>
      <w:r>
        <w:t xml:space="preserve"> is the unit rate.</w:t>
      </w:r>
    </w:p>
    <w:p>
      <w:r>
        <w:t>The total material cost is:</w:t>
      </w:r>
    </w:p>
    <w:p>
      <w:pPr>
        <w:spacing w:before="120" w:after="160"/>
        <w:jc w:val="center"/>
      </w:pPr>
      <m:oMathPara>
        <m:oMath>
          <m:sSub>
            <m:e>
              <m:r>
                <m:t>C</m:t>
              </m:r>
            </m:e>
            <m:sub>
              <m:r>
                <m:rPr>
                  <m:nor/>
                </m:rPr>
                <m:t>material</m:t>
              </m:r>
            </m:sub>
          </m:sSub>
          <m:r>
            <m:t>=</m:t>
          </m:r>
          <m:nary>
            <m:naryPr>
              <m:chr m:val="∑"/>
              <m:limLoc m:val="subSup"/>
              <m:grow m:val="1"/>
              <m:subHide m:val="off"/>
              <m:supHide m:val="off"/>
            </m:naryPr>
            <m:sub>
              <m:r>
                <m:t>i=1</m:t>
              </m:r>
            </m:sub>
            <m:sup>
              <m:r>
                <m:t>n</m:t>
              </m:r>
            </m:sup>
            <m:e>
              <m:sSub>
                <m:e>
                  <m:r>
                    <m:t>Q</m:t>
                  </m:r>
                </m:e>
                <m:sub>
                  <m:r>
                    <m:t>i</m:t>
                  </m:r>
                </m:sub>
              </m:sSub>
            </m:e>
          </m:nary>
          <m:sSub>
            <m:e>
              <m:r>
                <m:t>R</m:t>
              </m:r>
            </m:e>
            <m:sub>
              <m:r>
                <m:t>i</m:t>
              </m:r>
            </m:sub>
          </m:sSub>
        </m:oMath>
      </m:oMathPara>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Item</w:t>
            </w:r>
          </w:p>
        </w:tc>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Unit rate</w:t>
            </w:r>
          </w:p>
        </w:tc>
        <w:tc>
          <w:tcPr>
            <w:tcW w:type="dxa" w:w="2700"/>
            <w:shd w:val="clear" w:color="auto" w:fill="EEF2F7"/>
          </w:tcPr>
          <w:p>
            <w:pPr>
              <w:spacing w:after="0" w:before="0" w:line="240" w:lineRule="auto"/>
              <w:jc w:val="left"/>
            </w:pPr>
            <w:r>
              <w:rPr>
                <w:b/>
                <w:color w:val="1A2E4A"/>
              </w:rPr>
              <w:t>Extended cost</w:t>
            </w:r>
          </w:p>
        </w:tc>
      </w:tr>
      <w:tr>
        <w:tc>
          <w:tcPr>
            <w:tcW w:type="dxa" w:w="2700"/>
          </w:tcPr>
          <w:p>
            <w:pPr>
              <w:spacing w:after="0" w:before="0" w:line="240" w:lineRule="auto"/>
              <w:jc w:val="left"/>
            </w:pPr>
            <w:r>
              <w:t>PLC CPU</w:t>
            </w:r>
          </w:p>
        </w:tc>
        <w:tc>
          <w:tcPr>
            <w:tcW w:type="dxa" w:w="2700"/>
          </w:tcPr>
          <w:p>
            <w:pPr>
              <w:spacing w:after="0" w:before="0" w:line="240" w:lineRule="auto"/>
              <w:jc w:val="left"/>
            </w:pPr>
            <w:r>
              <w:t>1</w:t>
            </w:r>
          </w:p>
        </w:tc>
        <w:tc>
          <w:tcPr>
            <w:tcW w:type="dxa" w:w="2700"/>
          </w:tcPr>
          <w:p>
            <w:pPr>
              <w:spacing w:after="0" w:before="0" w:line="240" w:lineRule="auto"/>
              <w:jc w:val="left"/>
            </w:pPr>
            <w:r>
              <w:t>₹65,000</w:t>
            </w:r>
          </w:p>
        </w:tc>
        <w:tc>
          <w:tcPr>
            <w:tcW w:type="dxa" w:w="2700"/>
          </w:tcPr>
          <w:p>
            <w:pPr>
              <w:spacing w:after="0" w:before="0" w:line="240" w:lineRule="auto"/>
              <w:jc w:val="left"/>
            </w:pPr>
            <w:r>
              <w:t>₹65,000</w:t>
            </w:r>
          </w:p>
        </w:tc>
      </w:tr>
      <w:tr>
        <w:tc>
          <w:tcPr>
            <w:tcW w:type="dxa" w:w="2700"/>
          </w:tcPr>
          <w:p>
            <w:pPr>
              <w:spacing w:after="0" w:before="0" w:line="240" w:lineRule="auto"/>
              <w:jc w:val="left"/>
            </w:pPr>
            <w:r>
              <w:t>Digital I/O modules</w:t>
            </w:r>
          </w:p>
        </w:tc>
        <w:tc>
          <w:tcPr>
            <w:tcW w:type="dxa" w:w="2700"/>
          </w:tcPr>
          <w:p>
            <w:pPr>
              <w:spacing w:after="0" w:before="0" w:line="240" w:lineRule="auto"/>
              <w:jc w:val="left"/>
            </w:pPr>
            <w:r>
              <w:t>8</w:t>
            </w:r>
          </w:p>
        </w:tc>
        <w:tc>
          <w:tcPr>
            <w:tcW w:type="dxa" w:w="2700"/>
          </w:tcPr>
          <w:p>
            <w:pPr>
              <w:spacing w:after="0" w:before="0" w:line="240" w:lineRule="auto"/>
              <w:jc w:val="left"/>
            </w:pPr>
            <w:r>
              <w:t>₹12,000</w:t>
            </w:r>
          </w:p>
        </w:tc>
        <w:tc>
          <w:tcPr>
            <w:tcW w:type="dxa" w:w="2700"/>
          </w:tcPr>
          <w:p>
            <w:pPr>
              <w:spacing w:after="0" w:before="0" w:line="240" w:lineRule="auto"/>
              <w:jc w:val="left"/>
            </w:pPr>
            <w:r>
              <w:t>₹96,000</w:t>
            </w:r>
          </w:p>
        </w:tc>
      </w:tr>
      <w:tr>
        <w:tc>
          <w:tcPr>
            <w:tcW w:type="dxa" w:w="2700"/>
          </w:tcPr>
          <w:p>
            <w:pPr>
              <w:spacing w:after="0" w:before="0" w:line="240" w:lineRule="auto"/>
              <w:jc w:val="left"/>
            </w:pPr>
            <w:r>
              <w:t>HMI</w:t>
            </w:r>
          </w:p>
        </w:tc>
        <w:tc>
          <w:tcPr>
            <w:tcW w:type="dxa" w:w="2700"/>
          </w:tcPr>
          <w:p>
            <w:pPr>
              <w:spacing w:after="0" w:before="0" w:line="240" w:lineRule="auto"/>
              <w:jc w:val="left"/>
            </w:pPr>
            <w:r>
              <w:t>1</w:t>
            </w:r>
          </w:p>
        </w:tc>
        <w:tc>
          <w:tcPr>
            <w:tcW w:type="dxa" w:w="2700"/>
          </w:tcPr>
          <w:p>
            <w:pPr>
              <w:spacing w:after="0" w:before="0" w:line="240" w:lineRule="auto"/>
              <w:jc w:val="left"/>
            </w:pPr>
            <w:r>
              <w:t>₹48,000</w:t>
            </w:r>
          </w:p>
        </w:tc>
        <w:tc>
          <w:tcPr>
            <w:tcW w:type="dxa" w:w="2700"/>
          </w:tcPr>
          <w:p>
            <w:pPr>
              <w:spacing w:after="0" w:before="0" w:line="240" w:lineRule="auto"/>
              <w:jc w:val="left"/>
            </w:pPr>
            <w:r>
              <w:t>₹48,000</w:t>
            </w:r>
          </w:p>
        </w:tc>
      </w:tr>
      <w:tr>
        <w:tc>
          <w:tcPr>
            <w:tcW w:type="dxa" w:w="2700"/>
          </w:tcPr>
          <w:p>
            <w:pPr>
              <w:spacing w:after="0" w:before="0" w:line="240" w:lineRule="auto"/>
              <w:jc w:val="left"/>
            </w:pPr>
            <w:r>
              <w:t>Industrial switch</w:t>
            </w:r>
          </w:p>
        </w:tc>
        <w:tc>
          <w:tcPr>
            <w:tcW w:type="dxa" w:w="2700"/>
          </w:tcPr>
          <w:p>
            <w:pPr>
              <w:spacing w:after="0" w:before="0" w:line="240" w:lineRule="auto"/>
              <w:jc w:val="left"/>
            </w:pPr>
            <w:r>
              <w:t>2</w:t>
            </w:r>
          </w:p>
        </w:tc>
        <w:tc>
          <w:tcPr>
            <w:tcW w:type="dxa" w:w="2700"/>
          </w:tcPr>
          <w:p>
            <w:pPr>
              <w:spacing w:after="0" w:before="0" w:line="240" w:lineRule="auto"/>
              <w:jc w:val="left"/>
            </w:pPr>
            <w:r>
              <w:t>₹18,000</w:t>
            </w:r>
          </w:p>
        </w:tc>
        <w:tc>
          <w:tcPr>
            <w:tcW w:type="dxa" w:w="2700"/>
          </w:tcPr>
          <w:p>
            <w:pPr>
              <w:spacing w:after="0" w:before="0" w:line="240" w:lineRule="auto"/>
              <w:jc w:val="left"/>
            </w:pPr>
            <w:r>
              <w:t>₹36,000</w:t>
            </w:r>
          </w:p>
        </w:tc>
      </w:tr>
      <w:tr>
        <w:tc>
          <w:tcPr>
            <w:tcW w:type="dxa" w:w="2700"/>
          </w:tcPr>
          <w:p>
            <w:pPr>
              <w:spacing w:after="0" w:before="0" w:line="240" w:lineRule="auto"/>
              <w:jc w:val="left"/>
            </w:pPr>
            <w:r>
              <w:t>Sensors</w:t>
            </w:r>
          </w:p>
        </w:tc>
        <w:tc>
          <w:tcPr>
            <w:tcW w:type="dxa" w:w="2700"/>
          </w:tcPr>
          <w:p>
            <w:pPr>
              <w:spacing w:after="0" w:before="0" w:line="240" w:lineRule="auto"/>
              <w:jc w:val="left"/>
            </w:pPr>
            <w:r>
              <w:t>10</w:t>
            </w:r>
          </w:p>
        </w:tc>
        <w:tc>
          <w:tcPr>
            <w:tcW w:type="dxa" w:w="2700"/>
          </w:tcPr>
          <w:p>
            <w:pPr>
              <w:spacing w:after="0" w:before="0" w:line="240" w:lineRule="auto"/>
              <w:jc w:val="left"/>
            </w:pPr>
            <w:r>
              <w:t>₹4,500</w:t>
            </w:r>
          </w:p>
        </w:tc>
        <w:tc>
          <w:tcPr>
            <w:tcW w:type="dxa" w:w="2700"/>
          </w:tcPr>
          <w:p>
            <w:pPr>
              <w:spacing w:after="0" w:before="0" w:line="240" w:lineRule="auto"/>
              <w:jc w:val="left"/>
            </w:pPr>
            <w:r>
              <w:t>₹45,000</w:t>
            </w:r>
          </w:p>
        </w:tc>
      </w:tr>
      <w:tr>
        <w:tc>
          <w:tcPr>
            <w:tcW w:type="dxa" w:w="2700"/>
          </w:tcPr>
          <w:p>
            <w:pPr>
              <w:spacing w:after="0" w:before="0" w:line="240" w:lineRule="auto"/>
              <w:jc w:val="left"/>
            </w:pPr>
            <w:r>
              <w:t>Power supplies</w:t>
            </w:r>
          </w:p>
        </w:tc>
        <w:tc>
          <w:tcPr>
            <w:tcW w:type="dxa" w:w="2700"/>
          </w:tcPr>
          <w:p>
            <w:pPr>
              <w:spacing w:after="0" w:before="0" w:line="240" w:lineRule="auto"/>
              <w:jc w:val="left"/>
            </w:pPr>
            <w:r>
              <w:t>2</w:t>
            </w:r>
          </w:p>
        </w:tc>
        <w:tc>
          <w:tcPr>
            <w:tcW w:type="dxa" w:w="2700"/>
          </w:tcPr>
          <w:p>
            <w:pPr>
              <w:spacing w:after="0" w:before="0" w:line="240" w:lineRule="auto"/>
              <w:jc w:val="left"/>
            </w:pPr>
            <w:r>
              <w:t>₹9,000</w:t>
            </w:r>
          </w:p>
        </w:tc>
        <w:tc>
          <w:tcPr>
            <w:tcW w:type="dxa" w:w="2700"/>
          </w:tcPr>
          <w:p>
            <w:pPr>
              <w:spacing w:after="0" w:before="0" w:line="240" w:lineRule="auto"/>
              <w:jc w:val="left"/>
            </w:pPr>
            <w:r>
              <w:t>₹18,000</w:t>
            </w:r>
          </w:p>
        </w:tc>
      </w:tr>
      <w:tr>
        <w:tc>
          <w:tcPr>
            <w:tcW w:type="dxa" w:w="2700"/>
          </w:tcPr>
          <w:p>
            <w:pPr>
              <w:spacing w:after="0" w:before="0" w:line="240" w:lineRule="auto"/>
              <w:jc w:val="left"/>
            </w:pPr>
            <w:r>
              <w:t>Total</w:t>
            </w:r>
          </w:p>
        </w:tc>
        <w:tc>
          <w:tcPr>
            <w:tcW w:type="dxa" w:w="2700"/>
          </w:tcPr>
          <w:p>
            <w:pPr>
              <w:spacing w:after="0" w:before="0" w:line="240" w:lineRule="auto"/>
              <w:jc w:val="left"/>
            </w:pPr>
          </w:p>
        </w:tc>
        <w:tc>
          <w:tcPr>
            <w:tcW w:type="dxa" w:w="2700"/>
          </w:tcPr>
          <w:p>
            <w:pPr>
              <w:spacing w:after="0" w:before="0" w:line="240" w:lineRule="auto"/>
              <w:jc w:val="left"/>
            </w:pPr>
          </w:p>
        </w:tc>
        <w:tc>
          <w:tcPr>
            <w:tcW w:type="dxa" w:w="2700"/>
          </w:tcPr>
          <w:p>
            <w:pPr>
              <w:spacing w:after="0" w:before="0" w:line="240" w:lineRule="auto"/>
              <w:jc w:val="left"/>
            </w:pPr>
            <w:r>
              <w:t>₹308,000</w:t>
            </w:r>
          </w:p>
        </w:tc>
      </w:tr>
    </w:tbl>
    <w:p/>
    <w:p>
      <w:r>
        <w:t>These figures are illustrative only, not current market quotations. The example also excludes other project costs.</w:t>
      </w:r>
    </w:p>
    <w:p>
      <w:r>
        <w:t>The extended costs should be checked for:</w:t>
      </w:r>
    </w:p>
    <w:p>
      <w:pPr>
        <w:pStyle w:val="ListBullet"/>
      </w:pPr>
      <w:r>
        <w:t>Correct quantity and unit of measure.</w:t>
      </w:r>
    </w:p>
    <w:p>
      <w:pPr>
        <w:pStyle w:val="ListBullet"/>
      </w:pPr>
      <w:r>
        <w:t>Correct currency.</w:t>
      </w:r>
    </w:p>
    <w:p>
      <w:pPr>
        <w:pStyle w:val="ListBullet"/>
      </w:pPr>
      <w:r>
        <w:t>Whether the price includes required accessories.</w:t>
      </w:r>
    </w:p>
    <w:p>
      <w:pPr>
        <w:pStyle w:val="ListBullet"/>
      </w:pPr>
      <w:r>
        <w:t>Whether freight and taxes are included.</w:t>
      </w:r>
    </w:p>
    <w:p>
      <w:pPr>
        <w:pStyle w:val="ListBullet"/>
      </w:pPr>
      <w:r>
        <w:t>Whether the quote has an expiry date.</w:t>
      </w:r>
    </w:p>
    <w:p>
      <w:pPr>
        <w:pStyle w:val="ListBullet"/>
      </w:pPr>
      <w:r>
        <w:t>Whether the supplier has confirmed availability.</w:t>
      </w:r>
    </w:p>
    <w:p>
      <w:pPr>
        <w:pStyle w:val="ListBullet"/>
      </w:pPr>
      <w:r>
        <w:t>Whether the part number matches the selected technology.</w:t>
      </w:r>
    </w:p>
    <w:p>
      <w:pPr>
        <w:pStyle w:val="Heading2"/>
      </w:pPr>
      <w:r>
        <w:t>8. Estimating engineering labor</w:t>
      </w:r>
    </w:p>
    <w:p>
      <w:r>
        <w:t>Engineering labor should be estimated by work package rather than using one arbitrary number for the entire project.</w:t>
      </w:r>
    </w:p>
    <w:p>
      <w:r>
        <w:t>Potential work packages include:</w:t>
      </w:r>
    </w:p>
    <w:p>
      <w:pPr>
        <w:pStyle w:val="ListBullet"/>
      </w:pPr>
      <w:r>
        <w:t>Requirements and design review.</w:t>
      </w:r>
    </w:p>
    <w:p>
      <w:pPr>
        <w:pStyle w:val="ListBullet"/>
      </w:pPr>
      <w:r>
        <w:t>Electrical design.</w:t>
      </w:r>
    </w:p>
    <w:p>
      <w:pPr>
        <w:pStyle w:val="ListBullet"/>
      </w:pPr>
      <w:r>
        <w:t>PLC software development.</w:t>
      </w:r>
    </w:p>
    <w:p>
      <w:pPr>
        <w:pStyle w:val="ListBullet"/>
      </w:pPr>
      <w:r>
        <w:t>HMI development.</w:t>
      </w:r>
    </w:p>
    <w:p>
      <w:pPr>
        <w:pStyle w:val="ListBullet"/>
      </w:pPr>
      <w:r>
        <w:t>Drive and motion configuration.</w:t>
      </w:r>
    </w:p>
    <w:p>
      <w:pPr>
        <w:pStyle w:val="ListBullet"/>
      </w:pPr>
      <w:r>
        <w:t>Robot integration.</w:t>
      </w:r>
    </w:p>
    <w:p>
      <w:pPr>
        <w:pStyle w:val="ListBullet"/>
      </w:pPr>
      <w:r>
        <w:t>SCADA and database integration.</w:t>
      </w:r>
    </w:p>
    <w:p>
      <w:pPr>
        <w:pStyle w:val="ListBullet"/>
      </w:pPr>
      <w:r>
        <w:t>Software testing.</w:t>
      </w:r>
    </w:p>
    <w:p>
      <w:pPr>
        <w:pStyle w:val="ListBullet"/>
      </w:pPr>
      <w:r>
        <w:t>FAT preparation and execution.</w:t>
      </w:r>
    </w:p>
    <w:p>
      <w:pPr>
        <w:pStyle w:val="ListBullet"/>
      </w:pPr>
      <w:r>
        <w:t>Installation support.</w:t>
      </w:r>
    </w:p>
    <w:p>
      <w:pPr>
        <w:pStyle w:val="ListBullet"/>
      </w:pPr>
      <w:r>
        <w:t>SAT and commissioning.</w:t>
      </w:r>
    </w:p>
    <w:p>
      <w:pPr>
        <w:pStyle w:val="ListBullet"/>
      </w:pPr>
      <w:r>
        <w:t>Documentation and training.</w:t>
      </w:r>
    </w:p>
    <w:p>
      <w:r>
        <w:t>The basic calculation is:</w:t>
      </w:r>
    </w:p>
    <w:p>
      <w:pPr>
        <w:spacing w:before="120" w:after="160"/>
        <w:jc w:val="center"/>
      </w:pPr>
      <m:oMathPara>
        <m:oMath>
          <m:sSub>
            <m:e>
              <m:r>
                <m:t>C</m:t>
              </m:r>
            </m:e>
            <m:sub>
              <m:r>
                <m:rPr>
                  <m:nor/>
                </m:rPr>
                <m:t>labor</m:t>
              </m:r>
            </m:sub>
          </m:sSub>
          <m:r>
            <m:t>=</m:t>
          </m:r>
          <m:nary>
            <m:naryPr>
              <m:chr m:val="∑"/>
              <m:limLoc m:val="subSup"/>
              <m:grow m:val="1"/>
              <m:subHide m:val="off"/>
              <m:supHide m:val="off"/>
            </m:naryPr>
            <m:sub>
              <m:r>
                <m:t>j=1</m:t>
              </m:r>
            </m:sub>
            <m:sup>
              <m:r>
                <m:t>m</m:t>
              </m:r>
            </m:sup>
            <m:e>
              <m:sSub>
                <m:e>
                  <m:r>
                    <m:t>H</m:t>
                  </m:r>
                </m:e>
                <m:sub>
                  <m:r>
                    <m:t>j</m:t>
                  </m:r>
                </m:sub>
              </m:sSub>
            </m:e>
          </m:nary>
          <m:sSub>
            <m:e>
              <m:r>
                <m:t>R</m:t>
              </m:r>
            </m:e>
            <m:sub>
              <m:r>
                <m:t>j</m:t>
              </m:r>
            </m:sub>
          </m:sSub>
        </m:oMath>
      </m:oMathPara>
    </w:p>
    <w:p>
      <w:r>
        <w:t xml:space="preserve">Where </w:t>
      </w:r>
      <m:oMath>
        <m:sSub>
          <m:e>
            <m:r>
              <m:t>H</m:t>
            </m:r>
          </m:e>
          <m:sub>
            <m:r>
              <m:t>j</m:t>
            </m:r>
          </m:sub>
        </m:sSub>
      </m:oMath>
      <w:r>
        <w:t xml:space="preserve"> is the estimated number of labor hours for role or work package </w:t>
      </w:r>
      <m:oMath>
        <m:r>
          <m:t>j</m:t>
        </m:r>
      </m:oMath>
      <w:r>
        <w:t xml:space="preserve">, and </w:t>
      </w:r>
      <m:oMath>
        <m:sSub>
          <m:e>
            <m:r>
              <m:t>R</m:t>
            </m:r>
          </m:e>
          <m:sub>
            <m:r>
              <m:t>j</m:t>
            </m:r>
          </m:sub>
        </m:sSub>
      </m:oMath>
      <w:r>
        <w:t xml:space="preserve"> is the corresponding hourly cost rate.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Work package</w:t>
            </w:r>
          </w:p>
        </w:tc>
        <w:tc>
          <w:tcPr>
            <w:tcW w:type="dxa" w:w="2700"/>
            <w:shd w:val="clear" w:color="auto" w:fill="EEF2F7"/>
          </w:tcPr>
          <w:p>
            <w:pPr>
              <w:spacing w:after="0" w:before="0" w:line="240" w:lineRule="auto"/>
              <w:jc w:val="left"/>
            </w:pPr>
            <w:r>
              <w:rPr>
                <w:b/>
                <w:color w:val="1A2E4A"/>
              </w:rPr>
              <w:t>Estimated hours</w:t>
            </w:r>
          </w:p>
        </w:tc>
        <w:tc>
          <w:tcPr>
            <w:tcW w:type="dxa" w:w="2700"/>
            <w:shd w:val="clear" w:color="auto" w:fill="EEF2F7"/>
          </w:tcPr>
          <w:p>
            <w:pPr>
              <w:spacing w:after="0" w:before="0" w:line="240" w:lineRule="auto"/>
              <w:jc w:val="left"/>
            </w:pPr>
            <w:r>
              <w:rPr>
                <w:b/>
                <w:color w:val="1A2E4A"/>
              </w:rPr>
              <w:t>Cost rate per hour</w:t>
            </w:r>
          </w:p>
        </w:tc>
        <w:tc>
          <w:tcPr>
            <w:tcW w:type="dxa" w:w="2700"/>
            <w:shd w:val="clear" w:color="auto" w:fill="EEF2F7"/>
          </w:tcPr>
          <w:p>
            <w:pPr>
              <w:spacing w:after="0" w:before="0" w:line="240" w:lineRule="auto"/>
              <w:jc w:val="left"/>
            </w:pPr>
            <w:r>
              <w:rPr>
                <w:b/>
                <w:color w:val="1A2E4A"/>
              </w:rPr>
              <w:t>Cost</w:t>
            </w:r>
          </w:p>
        </w:tc>
      </w:tr>
      <w:tr>
        <w:tc>
          <w:tcPr>
            <w:tcW w:type="dxa" w:w="2700"/>
          </w:tcPr>
          <w:p>
            <w:pPr>
              <w:spacing w:after="0" w:before="0" w:line="240" w:lineRule="auto"/>
              <w:jc w:val="left"/>
            </w:pPr>
            <w:r>
              <w:t>Electrical engineering</w:t>
            </w:r>
          </w:p>
        </w:tc>
        <w:tc>
          <w:tcPr>
            <w:tcW w:type="dxa" w:w="2700"/>
          </w:tcPr>
          <w:p>
            <w:pPr>
              <w:spacing w:after="0" w:before="0" w:line="240" w:lineRule="auto"/>
              <w:jc w:val="left"/>
            </w:pPr>
            <w:r>
              <w:t>40</w:t>
            </w:r>
          </w:p>
        </w:tc>
        <w:tc>
          <w:tcPr>
            <w:tcW w:type="dxa" w:w="2700"/>
          </w:tcPr>
          <w:p>
            <w:pPr>
              <w:spacing w:after="0" w:before="0" w:line="240" w:lineRule="auto"/>
              <w:jc w:val="left"/>
            </w:pPr>
            <w:r>
              <w:t>₹900</w:t>
            </w:r>
          </w:p>
        </w:tc>
        <w:tc>
          <w:tcPr>
            <w:tcW w:type="dxa" w:w="2700"/>
          </w:tcPr>
          <w:p>
            <w:pPr>
              <w:spacing w:after="0" w:before="0" w:line="240" w:lineRule="auto"/>
              <w:jc w:val="left"/>
            </w:pPr>
            <w:r>
              <w:t>₹36,000</w:t>
            </w:r>
          </w:p>
        </w:tc>
      </w:tr>
      <w:tr>
        <w:tc>
          <w:tcPr>
            <w:tcW w:type="dxa" w:w="2700"/>
          </w:tcPr>
          <w:p>
            <w:pPr>
              <w:spacing w:after="0" w:before="0" w:line="240" w:lineRule="auto"/>
              <w:jc w:val="left"/>
            </w:pPr>
            <w:r>
              <w:t>PLC programming</w:t>
            </w:r>
          </w:p>
        </w:tc>
        <w:tc>
          <w:tcPr>
            <w:tcW w:type="dxa" w:w="2700"/>
          </w:tcPr>
          <w:p>
            <w:pPr>
              <w:spacing w:after="0" w:before="0" w:line="240" w:lineRule="auto"/>
              <w:jc w:val="left"/>
            </w:pPr>
            <w:r>
              <w:t>60</w:t>
            </w:r>
          </w:p>
        </w:tc>
        <w:tc>
          <w:tcPr>
            <w:tcW w:type="dxa" w:w="2700"/>
          </w:tcPr>
          <w:p>
            <w:pPr>
              <w:spacing w:after="0" w:before="0" w:line="240" w:lineRule="auto"/>
              <w:jc w:val="left"/>
            </w:pPr>
            <w:r>
              <w:t>₹1,000</w:t>
            </w:r>
          </w:p>
        </w:tc>
        <w:tc>
          <w:tcPr>
            <w:tcW w:type="dxa" w:w="2700"/>
          </w:tcPr>
          <w:p>
            <w:pPr>
              <w:spacing w:after="0" w:before="0" w:line="240" w:lineRule="auto"/>
              <w:jc w:val="left"/>
            </w:pPr>
            <w:r>
              <w:t>₹60,000</w:t>
            </w:r>
          </w:p>
        </w:tc>
      </w:tr>
      <w:tr>
        <w:tc>
          <w:tcPr>
            <w:tcW w:type="dxa" w:w="2700"/>
          </w:tcPr>
          <w:p>
            <w:pPr>
              <w:spacing w:after="0" w:before="0" w:line="240" w:lineRule="auto"/>
              <w:jc w:val="left"/>
            </w:pPr>
            <w:r>
              <w:t>HMI development</w:t>
            </w:r>
          </w:p>
        </w:tc>
        <w:tc>
          <w:tcPr>
            <w:tcW w:type="dxa" w:w="2700"/>
          </w:tcPr>
          <w:p>
            <w:pPr>
              <w:spacing w:after="0" w:before="0" w:line="240" w:lineRule="auto"/>
              <w:jc w:val="left"/>
            </w:pPr>
            <w:r>
              <w:t>24</w:t>
            </w:r>
          </w:p>
        </w:tc>
        <w:tc>
          <w:tcPr>
            <w:tcW w:type="dxa" w:w="2700"/>
          </w:tcPr>
          <w:p>
            <w:pPr>
              <w:spacing w:after="0" w:before="0" w:line="240" w:lineRule="auto"/>
              <w:jc w:val="left"/>
            </w:pPr>
            <w:r>
              <w:t>₹900</w:t>
            </w:r>
          </w:p>
        </w:tc>
        <w:tc>
          <w:tcPr>
            <w:tcW w:type="dxa" w:w="2700"/>
          </w:tcPr>
          <w:p>
            <w:pPr>
              <w:spacing w:after="0" w:before="0" w:line="240" w:lineRule="auto"/>
              <w:jc w:val="left"/>
            </w:pPr>
            <w:r>
              <w:t>₹21,600</w:t>
            </w:r>
          </w:p>
        </w:tc>
      </w:tr>
      <w:tr>
        <w:tc>
          <w:tcPr>
            <w:tcW w:type="dxa" w:w="2700"/>
          </w:tcPr>
          <w:p>
            <w:pPr>
              <w:spacing w:after="0" w:before="0" w:line="240" w:lineRule="auto"/>
              <w:jc w:val="left"/>
            </w:pPr>
            <w:r>
              <w:t>Integration and testing</w:t>
            </w:r>
          </w:p>
        </w:tc>
        <w:tc>
          <w:tcPr>
            <w:tcW w:type="dxa" w:w="2700"/>
          </w:tcPr>
          <w:p>
            <w:pPr>
              <w:spacing w:after="0" w:before="0" w:line="240" w:lineRule="auto"/>
              <w:jc w:val="left"/>
            </w:pPr>
            <w:r>
              <w:t>36</w:t>
            </w:r>
          </w:p>
        </w:tc>
        <w:tc>
          <w:tcPr>
            <w:tcW w:type="dxa" w:w="2700"/>
          </w:tcPr>
          <w:p>
            <w:pPr>
              <w:spacing w:after="0" w:before="0" w:line="240" w:lineRule="auto"/>
              <w:jc w:val="left"/>
            </w:pPr>
            <w:r>
              <w:t>₹1,000</w:t>
            </w:r>
          </w:p>
        </w:tc>
        <w:tc>
          <w:tcPr>
            <w:tcW w:type="dxa" w:w="2700"/>
          </w:tcPr>
          <w:p>
            <w:pPr>
              <w:spacing w:after="0" w:before="0" w:line="240" w:lineRule="auto"/>
              <w:jc w:val="left"/>
            </w:pPr>
            <w:r>
              <w:t>₹36,000</w:t>
            </w:r>
          </w:p>
        </w:tc>
      </w:tr>
      <w:tr>
        <w:tc>
          <w:tcPr>
            <w:tcW w:type="dxa" w:w="2700"/>
          </w:tcPr>
          <w:p>
            <w:pPr>
              <w:spacing w:after="0" w:before="0" w:line="240" w:lineRule="auto"/>
              <w:jc w:val="left"/>
            </w:pPr>
            <w:r>
              <w:t>Documentation</w:t>
            </w:r>
          </w:p>
        </w:tc>
        <w:tc>
          <w:tcPr>
            <w:tcW w:type="dxa" w:w="2700"/>
          </w:tcPr>
          <w:p>
            <w:pPr>
              <w:spacing w:after="0" w:before="0" w:line="240" w:lineRule="auto"/>
              <w:jc w:val="left"/>
            </w:pPr>
            <w:r>
              <w:t>16</w:t>
            </w:r>
          </w:p>
        </w:tc>
        <w:tc>
          <w:tcPr>
            <w:tcW w:type="dxa" w:w="2700"/>
          </w:tcPr>
          <w:p>
            <w:pPr>
              <w:spacing w:after="0" w:before="0" w:line="240" w:lineRule="auto"/>
              <w:jc w:val="left"/>
            </w:pPr>
            <w:r>
              <w:t>₹800</w:t>
            </w:r>
          </w:p>
        </w:tc>
        <w:tc>
          <w:tcPr>
            <w:tcW w:type="dxa" w:w="2700"/>
          </w:tcPr>
          <w:p>
            <w:pPr>
              <w:spacing w:after="0" w:before="0" w:line="240" w:lineRule="auto"/>
              <w:jc w:val="left"/>
            </w:pPr>
            <w:r>
              <w:t>₹12,800</w:t>
            </w:r>
          </w:p>
        </w:tc>
      </w:tr>
      <w:tr>
        <w:tc>
          <w:tcPr>
            <w:tcW w:type="dxa" w:w="2700"/>
          </w:tcPr>
          <w:p>
            <w:pPr>
              <w:spacing w:after="0" w:before="0" w:line="240" w:lineRule="auto"/>
              <w:jc w:val="left"/>
            </w:pPr>
            <w:r>
              <w:t>Total</w:t>
            </w:r>
          </w:p>
        </w:tc>
        <w:tc>
          <w:tcPr>
            <w:tcW w:type="dxa" w:w="2700"/>
          </w:tcPr>
          <w:p>
            <w:pPr>
              <w:spacing w:after="0" w:before="0" w:line="240" w:lineRule="auto"/>
              <w:jc w:val="left"/>
            </w:pPr>
            <w:r>
              <w:t>176</w:t>
            </w:r>
          </w:p>
        </w:tc>
        <w:tc>
          <w:tcPr>
            <w:tcW w:type="dxa" w:w="2700"/>
          </w:tcPr>
          <w:p>
            <w:pPr>
              <w:spacing w:after="0" w:before="0" w:line="240" w:lineRule="auto"/>
              <w:jc w:val="left"/>
            </w:pPr>
          </w:p>
        </w:tc>
        <w:tc>
          <w:tcPr>
            <w:tcW w:type="dxa" w:w="2700"/>
          </w:tcPr>
          <w:p>
            <w:pPr>
              <w:spacing w:after="0" w:before="0" w:line="240" w:lineRule="auto"/>
              <w:jc w:val="left"/>
            </w:pPr>
            <w:r>
              <w:t>₹166,400</w:t>
            </w:r>
          </w:p>
        </w:tc>
      </w:tr>
    </w:tbl>
    <w:p/>
    <w:p>
      <w:r>
        <w:t>These rates and hours are illustrative. Actual rates should follow the organization's costing method and may include salary-related costs, contractor charges, or allocated overhead depending on the estimate's purpose.</w:t>
      </w:r>
    </w:p>
    <w:p>
      <w:pPr>
        <w:pStyle w:val="Heading3"/>
      </w:pPr>
      <w:r>
        <w:t>8.1 Avoiding double-counting labor</w:t>
      </w:r>
    </w:p>
    <w:p>
      <w:r>
        <w:t>If a supplier quotation already includes engineering, programming, and commissioning, do not add the same effort again unless the quotation excludes specific tasks.</w:t>
      </w:r>
    </w:p>
    <w:p>
      <w:r>
        <w:t>For example, a robot package may include standard robot programming but exclude PLC integration, safety validation, and production-cycle optimization. The scope must distinguish those items.</w:t>
      </w:r>
    </w:p>
    <w:p>
      <w:pPr>
        <w:pStyle w:val="Heading2"/>
      </w:pPr>
      <w:r>
        <w:t>9. Cost estimate maturity and accuracy</w:t>
      </w:r>
    </w:p>
    <w:p>
      <w:r>
        <w:t>Cost accuracy generally improves as design information becomes more complete, but there is no universal accuracy percentage that applies to every project.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Estimate stage</w:t>
            </w:r>
          </w:p>
        </w:tc>
        <w:tc>
          <w:tcPr>
            <w:tcW w:type="dxa" w:w="3600"/>
            <w:shd w:val="clear" w:color="auto" w:fill="EEF2F7"/>
          </w:tcPr>
          <w:p>
            <w:pPr>
              <w:spacing w:after="0" w:before="0" w:line="240" w:lineRule="auto"/>
              <w:jc w:val="left"/>
            </w:pPr>
            <w:r>
              <w:rPr>
                <w:b/>
                <w:color w:val="1A2E4A"/>
              </w:rPr>
              <w:t>Information available</w:t>
            </w:r>
          </w:p>
        </w:tc>
        <w:tc>
          <w:tcPr>
            <w:tcW w:type="dxa" w:w="3600"/>
            <w:shd w:val="clear" w:color="auto" w:fill="EEF2F7"/>
          </w:tcPr>
          <w:p>
            <w:pPr>
              <w:spacing w:after="0" w:before="0" w:line="240" w:lineRule="auto"/>
              <w:jc w:val="left"/>
            </w:pPr>
            <w:r>
              <w:rPr>
                <w:b/>
                <w:color w:val="1A2E4A"/>
              </w:rPr>
              <w:t>Typical uncertainty drivers</w:t>
            </w:r>
          </w:p>
        </w:tc>
      </w:tr>
      <w:tr>
        <w:tc>
          <w:tcPr>
            <w:tcW w:type="dxa" w:w="3600"/>
          </w:tcPr>
          <w:p>
            <w:pPr>
              <w:spacing w:after="0" w:before="0" w:line="240" w:lineRule="auto"/>
              <w:jc w:val="left"/>
            </w:pPr>
            <w:r>
              <w:t>Concept estimate</w:t>
            </w:r>
          </w:p>
        </w:tc>
        <w:tc>
          <w:tcPr>
            <w:tcW w:type="dxa" w:w="3600"/>
          </w:tcPr>
          <w:p>
            <w:pPr>
              <w:spacing w:after="0" w:before="0" w:line="240" w:lineRule="auto"/>
              <w:jc w:val="left"/>
            </w:pPr>
            <w:r>
              <w:t>Functional concept and approximate quantities</w:t>
            </w:r>
          </w:p>
        </w:tc>
        <w:tc>
          <w:tcPr>
            <w:tcW w:type="dxa" w:w="3600"/>
          </w:tcPr>
          <w:p>
            <w:pPr>
              <w:spacing w:after="0" w:before="0" w:line="240" w:lineRule="auto"/>
              <w:jc w:val="left"/>
            </w:pPr>
            <w:r>
              <w:t>Scope, architecture, and technology unknowns</w:t>
            </w:r>
          </w:p>
        </w:tc>
      </w:tr>
      <w:tr>
        <w:tc>
          <w:tcPr>
            <w:tcW w:type="dxa" w:w="3600"/>
          </w:tcPr>
          <w:p>
            <w:pPr>
              <w:spacing w:after="0" w:before="0" w:line="240" w:lineRule="auto"/>
              <w:jc w:val="left"/>
            </w:pPr>
            <w:r>
              <w:t>Preliminary estimate</w:t>
            </w:r>
          </w:p>
        </w:tc>
        <w:tc>
          <w:tcPr>
            <w:tcW w:type="dxa" w:w="3600"/>
          </w:tcPr>
          <w:p>
            <w:pPr>
              <w:spacing w:after="0" w:before="0" w:line="240" w:lineRule="auto"/>
              <w:jc w:val="left"/>
            </w:pPr>
            <w:r>
              <w:t>Preliminary BOM and selected technologies</w:t>
            </w:r>
          </w:p>
        </w:tc>
        <w:tc>
          <w:tcPr>
            <w:tcW w:type="dxa" w:w="3600"/>
          </w:tcPr>
          <w:p>
            <w:pPr>
              <w:spacing w:after="0" w:before="0" w:line="240" w:lineRule="auto"/>
              <w:jc w:val="left"/>
            </w:pPr>
            <w:r>
              <w:t>Provisional quantities, pricing, and interfaces</w:t>
            </w:r>
          </w:p>
        </w:tc>
      </w:tr>
      <w:tr>
        <w:tc>
          <w:tcPr>
            <w:tcW w:type="dxa" w:w="3600"/>
          </w:tcPr>
          <w:p>
            <w:pPr>
              <w:spacing w:after="0" w:before="0" w:line="240" w:lineRule="auto"/>
              <w:jc w:val="left"/>
            </w:pPr>
            <w:r>
              <w:t>Budget estimate</w:t>
            </w:r>
          </w:p>
        </w:tc>
        <w:tc>
          <w:tcPr>
            <w:tcW w:type="dxa" w:w="3600"/>
          </w:tcPr>
          <w:p>
            <w:pPr>
              <w:spacing w:after="0" w:before="0" w:line="240" w:lineRule="auto"/>
              <w:jc w:val="left"/>
            </w:pPr>
            <w:r>
              <w:t>More complete scope and supplier inputs</w:t>
            </w:r>
          </w:p>
        </w:tc>
        <w:tc>
          <w:tcPr>
            <w:tcW w:type="dxa" w:w="3600"/>
          </w:tcPr>
          <w:p>
            <w:pPr>
              <w:spacing w:after="0" w:before="0" w:line="240" w:lineRule="auto"/>
              <w:jc w:val="left"/>
            </w:pPr>
            <w:r>
              <w:t>Remaining design and commercial uncertainty</w:t>
            </w:r>
          </w:p>
        </w:tc>
      </w:tr>
      <w:tr>
        <w:tc>
          <w:tcPr>
            <w:tcW w:type="dxa" w:w="3600"/>
          </w:tcPr>
          <w:p>
            <w:pPr>
              <w:spacing w:after="0" w:before="0" w:line="240" w:lineRule="auto"/>
              <w:jc w:val="left"/>
            </w:pPr>
            <w:r>
              <w:t>Detailed estimate</w:t>
            </w:r>
          </w:p>
        </w:tc>
        <w:tc>
          <w:tcPr>
            <w:tcW w:type="dxa" w:w="3600"/>
          </w:tcPr>
          <w:p>
            <w:pPr>
              <w:spacing w:after="0" w:before="0" w:line="240" w:lineRule="auto"/>
              <w:jc w:val="left"/>
            </w:pPr>
            <w:r>
              <w:t>Detailed BOM, drawings, and work packages</w:t>
            </w:r>
          </w:p>
        </w:tc>
        <w:tc>
          <w:tcPr>
            <w:tcW w:type="dxa" w:w="3600"/>
          </w:tcPr>
          <w:p>
            <w:pPr>
              <w:spacing w:after="0" w:before="0" w:line="240" w:lineRule="auto"/>
              <w:jc w:val="left"/>
            </w:pPr>
            <w:r>
              <w:t>Supplier changes, execution productivity, site conditions</w:t>
            </w:r>
          </w:p>
        </w:tc>
      </w:tr>
      <w:tr>
        <w:tc>
          <w:tcPr>
            <w:tcW w:type="dxa" w:w="3600"/>
          </w:tcPr>
          <w:p>
            <w:pPr>
              <w:spacing w:after="0" w:before="0" w:line="240" w:lineRule="auto"/>
              <w:jc w:val="left"/>
            </w:pPr>
            <w:r>
              <w:t>Control estimate</w:t>
            </w:r>
          </w:p>
        </w:tc>
        <w:tc>
          <w:tcPr>
            <w:tcW w:type="dxa" w:w="3600"/>
          </w:tcPr>
          <w:p>
            <w:pPr>
              <w:spacing w:after="0" w:before="0" w:line="240" w:lineRule="auto"/>
              <w:jc w:val="left"/>
            </w:pPr>
            <w:r>
              <w:t>Approved scope and baseline</w:t>
            </w:r>
          </w:p>
        </w:tc>
        <w:tc>
          <w:tcPr>
            <w:tcW w:type="dxa" w:w="3600"/>
          </w:tcPr>
          <w:p>
            <w:pPr>
              <w:spacing w:after="0" w:before="0" w:line="240" w:lineRule="auto"/>
              <w:jc w:val="left"/>
            </w:pPr>
            <w:r>
              <w:t>Controlled changes and actual performance</w:t>
            </w:r>
          </w:p>
        </w:tc>
      </w:tr>
    </w:tbl>
    <w:p/>
    <w:p>
      <w:r>
        <w:t>Do not claim that an estimate is accurate to a specific percentage without an established estimating method and evidence supporting that claim.</w:t>
      </w:r>
    </w:p>
    <w:p>
      <w:r>
        <w:t>A good estimate records:</w:t>
      </w:r>
    </w:p>
    <w:p>
      <w:pPr>
        <w:pStyle w:val="ListBullet"/>
      </w:pPr>
      <w:r>
        <w:t>Date of estimate.</w:t>
      </w:r>
    </w:p>
    <w:p>
      <w:pPr>
        <w:pStyle w:val="ListBullet"/>
      </w:pPr>
      <w:r>
        <w:t>Currency and price basis.</w:t>
      </w:r>
    </w:p>
    <w:p>
      <w:pPr>
        <w:pStyle w:val="ListBullet"/>
      </w:pPr>
      <w:r>
        <w:t>Scope and exclusions.</w:t>
      </w:r>
    </w:p>
    <w:p>
      <w:pPr>
        <w:pStyle w:val="ListBullet"/>
      </w:pPr>
      <w:r>
        <w:t>Source of unit rates.</w:t>
      </w:r>
    </w:p>
    <w:p>
      <w:pPr>
        <w:pStyle w:val="ListBullet"/>
      </w:pPr>
      <w:r>
        <w:t>Quantity assumptions.</w:t>
      </w:r>
    </w:p>
    <w:p>
      <w:pPr>
        <w:pStyle w:val="ListBullet"/>
      </w:pPr>
      <w:r>
        <w:t>Estimate maturity.</w:t>
      </w:r>
    </w:p>
    <w:p>
      <w:pPr>
        <w:pStyle w:val="ListBullet"/>
      </w:pPr>
      <w:r>
        <w:t>Main uncertainties.</w:t>
      </w:r>
    </w:p>
    <w:p>
      <w:pPr>
        <w:pStyle w:val="ListBullet"/>
      </w:pPr>
      <w:r>
        <w:t>Confidence level or uncertainty range.</w:t>
      </w:r>
    </w:p>
    <w:p>
      <w:pPr>
        <w:pStyle w:val="ListBullet"/>
      </w:pPr>
      <w:r>
        <w:t>Approval status.</w:t>
      </w:r>
    </w:p>
    <w:p>
      <w:pPr>
        <w:pStyle w:val="Heading2"/>
      </w:pPr>
      <w:r>
        <w:t>10. Cost estimation methods</w:t>
      </w:r>
    </w:p>
    <w:p>
      <w:pPr>
        <w:pStyle w:val="Heading3"/>
      </w:pPr>
      <w:r>
        <w:t>10.1 Bottom-up estimation</w:t>
      </w:r>
    </w:p>
    <w:p>
      <w:r>
        <w:t>Estimate each component, activity, and work package, then sum the costs.</w:t>
      </w:r>
    </w:p>
    <w:p>
      <w:r>
        <w:t>Advantages:</w:t>
      </w:r>
    </w:p>
    <w:p>
      <w:pPr>
        <w:pStyle w:val="ListBullet"/>
      </w:pPr>
      <w:r>
        <w:t>Detailed traceability.</w:t>
      </w:r>
    </w:p>
    <w:p>
      <w:pPr>
        <w:pStyle w:val="ListBullet"/>
      </w:pPr>
      <w:r>
        <w:t>Useful for BOM-driven automation projects.</w:t>
      </w:r>
    </w:p>
    <w:p>
      <w:pPr>
        <w:pStyle w:val="ListBullet"/>
      </w:pPr>
      <w:r>
        <w:t>Easier to identify omissions and cost drivers.</w:t>
      </w:r>
    </w:p>
    <w:p>
      <w:r>
        <w:t>Limitations:</w:t>
      </w:r>
    </w:p>
    <w:p>
      <w:pPr>
        <w:pStyle w:val="ListBullet"/>
      </w:pPr>
      <w:r>
        <w:t>Requires more engineering information.</w:t>
      </w:r>
    </w:p>
    <w:p>
      <w:pPr>
        <w:pStyle w:val="ListBullet"/>
      </w:pPr>
      <w:r>
        <w:t>Time-consuming.</w:t>
      </w:r>
    </w:p>
    <w:p>
      <w:pPr>
        <w:pStyle w:val="ListBullet"/>
      </w:pPr>
      <w:r>
        <w:t>Still depends on quantity and productivity assumptions.</w:t>
      </w:r>
    </w:p>
    <w:p>
      <w:pPr>
        <w:pStyle w:val="Heading3"/>
      </w:pPr>
      <w:r>
        <w:t>10.2 Analogous estimation</w:t>
      </w:r>
    </w:p>
    <w:p>
      <w:r>
        <w:t>Use the cost of a previous similar project and adjust for known differences.</w:t>
      </w:r>
    </w:p>
    <w:p>
      <w:r>
        <w:t>Adjustments may include:</w:t>
      </w:r>
    </w:p>
    <w:p>
      <w:pPr>
        <w:pStyle w:val="ListBullet"/>
      </w:pPr>
      <w:r>
        <w:t>Machine size and complexity.</w:t>
      </w:r>
    </w:p>
    <w:p>
      <w:pPr>
        <w:pStyle w:val="ListBullet"/>
      </w:pPr>
      <w:r>
        <w:t>Number of stations.</w:t>
      </w:r>
    </w:p>
    <w:p>
      <w:pPr>
        <w:pStyle w:val="ListBullet"/>
      </w:pPr>
      <w:r>
        <w:t>I/O count.</w:t>
      </w:r>
    </w:p>
    <w:p>
      <w:pPr>
        <w:pStyle w:val="ListBullet"/>
      </w:pPr>
      <w:r>
        <w:t>Robot count.</w:t>
      </w:r>
    </w:p>
    <w:p>
      <w:pPr>
        <w:pStyle w:val="ListBullet"/>
      </w:pPr>
      <w:r>
        <w:t>Existing-equipment reuse.</w:t>
      </w:r>
    </w:p>
    <w:p>
      <w:pPr>
        <w:pStyle w:val="ListBullet"/>
      </w:pPr>
      <w:r>
        <w:t>Safety requirements.</w:t>
      </w:r>
    </w:p>
    <w:p>
      <w:pPr>
        <w:pStyle w:val="ListBullet"/>
      </w:pPr>
      <w:r>
        <w:t>Software integration.</w:t>
      </w:r>
    </w:p>
    <w:p>
      <w:pPr>
        <w:pStyle w:val="ListBullet"/>
      </w:pPr>
      <w:r>
        <w:t>Site conditions.</w:t>
      </w:r>
    </w:p>
    <w:p>
      <w:pPr>
        <w:pStyle w:val="ListBullet"/>
      </w:pPr>
      <w:r>
        <w:t>Price changes.</w:t>
      </w:r>
    </w:p>
    <w:p>
      <w:pPr>
        <w:pStyle w:val="ListBullet"/>
      </w:pPr>
      <w:r>
        <w:t>Schedule and downtime constraints.</w:t>
      </w:r>
    </w:p>
    <w:p>
      <w:r>
        <w:t>A previous project is a reference, not a substitute for analyzing the current scope.</w:t>
      </w:r>
    </w:p>
    <w:p>
      <w:pPr>
        <w:pStyle w:val="Heading3"/>
      </w:pPr>
      <w:r>
        <w:t>10.3 Parametric estimation</w:t>
      </w:r>
    </w:p>
    <w:p>
      <w:r>
        <w:t>Use a measured relationship between cost and an engineering parameter.</w:t>
      </w:r>
    </w:p>
    <w:p>
      <w:r>
        <w:t>Possible parameters include:</w:t>
      </w:r>
    </w:p>
    <w:p>
      <w:pPr>
        <w:pStyle w:val="ListBullet"/>
      </w:pPr>
      <w:r>
        <w:t>Cost per I/O point.</w:t>
      </w:r>
    </w:p>
    <w:p>
      <w:pPr>
        <w:pStyle w:val="ListBullet"/>
      </w:pPr>
      <w:r>
        <w:t>Cost per automation station.</w:t>
      </w:r>
    </w:p>
    <w:p>
      <w:pPr>
        <w:pStyle w:val="ListBullet"/>
      </w:pPr>
      <w:r>
        <w:t>Engineering hours per machine sequence.</w:t>
      </w:r>
    </w:p>
    <w:p>
      <w:pPr>
        <w:pStyle w:val="ListBullet"/>
      </w:pPr>
      <w:r>
        <w:t>Panel cost per defined size or configuration.</w:t>
      </w:r>
    </w:p>
    <w:p>
      <w:pPr>
        <w:pStyle w:val="ListBullet"/>
      </w:pPr>
      <w:r>
        <w:t>Commissioning hours per integrated device or station.</w:t>
      </w:r>
    </w:p>
    <w:p>
      <w:r>
        <w:t>For example:</w:t>
      </w:r>
    </w:p>
    <w:p>
      <w:pPr>
        <w:spacing w:before="120" w:after="160"/>
        <w:jc w:val="center"/>
      </w:pPr>
      <m:oMathPara>
        <m:oMath>
          <m:sSub>
            <m:e>
              <m:r>
                <m:t>C</m:t>
              </m:r>
            </m:e>
            <m:sub>
              <m:r>
                <m:rPr>
                  <m:nor/>
                </m:rPr>
                <m:t>estimated</m:t>
              </m:r>
            </m:sub>
          </m:sSub>
          <m:r>
            <m:t>=</m:t>
          </m:r>
          <m:sSub>
            <m:e>
              <m:r>
                <m:t>N</m:t>
              </m:r>
            </m:e>
            <m:sub>
              <m:r>
                <m:rPr>
                  <m:nor/>
                </m:rPr>
                <m:t>stations</m:t>
              </m:r>
            </m:sub>
          </m:sSub>
          <m:r>
            <m:t>×</m:t>
          </m:r>
          <m:sSub>
            <m:e>
              <m:r>
                <m:t>R</m:t>
              </m:r>
            </m:e>
            <m:sub>
              <m:r>
                <m:rPr>
                  <m:nor/>
                </m:rPr>
                <m:t>station</m:t>
              </m:r>
            </m:sub>
          </m:sSub>
        </m:oMath>
      </m:oMathPara>
    </w:p>
    <w:p>
      <w:r>
        <w:t>This method is useful when reliable historical data exists and the current project is sufficiently similar to the data used to establish the rate.</w:t>
      </w:r>
    </w:p>
    <w:p>
      <w:pPr>
        <w:pStyle w:val="Heading3"/>
      </w:pPr>
      <w:r>
        <w:t>10.4 Three-point estimation</w:t>
      </w:r>
    </w:p>
    <w:p>
      <w:r>
        <w:t>Use optimistic, most likely, and pessimistic estimates for uncertain work packages.</w:t>
      </w:r>
    </w:p>
    <w:p>
      <w:r>
        <w:t>A commonly used PERT-style weighted estimate is:</w:t>
      </w:r>
    </w:p>
    <w:p>
      <w:pPr>
        <w:spacing w:before="120" w:after="160"/>
        <w:jc w:val="center"/>
      </w:pPr>
      <m:oMathPara>
        <m:oMath>
          <m:r>
            <m:t>E=</m:t>
          </m:r>
          <m:f>
            <m:fPr>
              <m:type m:val="bar"/>
            </m:fPr>
            <m:num>
              <m:r>
                <m:t>O+4M+P</m:t>
              </m:r>
            </m:num>
            <m:den>
              <m:r>
                <m:t>6</m:t>
              </m:r>
            </m:den>
          </m:f>
        </m:oMath>
      </m:oMathPara>
    </w:p>
    <w:p>
      <w:r>
        <w:t>Where:</w:t>
      </w:r>
    </w:p>
    <w:p>
      <w:pPr>
        <w:pStyle w:val="ListBullet"/>
      </w:pPr>
      <m:oMath>
        <m:r>
          <m:t>O</m:t>
        </m:r>
      </m:oMath>
      <w:r>
        <w:t xml:space="preserve"> is the optimistic estimate.</w:t>
      </w:r>
    </w:p>
    <w:p>
      <w:pPr>
        <w:pStyle w:val="ListBullet"/>
      </w:pPr>
      <m:oMath>
        <m:r>
          <m:t>M</m:t>
        </m:r>
      </m:oMath>
      <w:r>
        <w:t xml:space="preserve"> is the most likely estimate.</w:t>
      </w:r>
    </w:p>
    <w:p>
      <w:pPr>
        <w:pStyle w:val="ListBullet"/>
      </w:pPr>
      <m:oMath>
        <m:r>
          <m:t>P</m:t>
        </m:r>
      </m:oMath>
      <w:r>
        <w:t xml:space="preserve"> is the pessimistic estimate.</w:t>
      </w:r>
    </w:p>
    <w:p>
      <w:r>
        <w:t>Suppose PLC integration could require 20, 32, or 56 hours under optimistic, most likely, and pessimistic conditions:</w:t>
      </w:r>
    </w:p>
    <w:p>
      <w:pPr>
        <w:spacing w:before="120" w:after="160"/>
        <w:jc w:val="center"/>
      </w:pPr>
      <m:oMathPara>
        <m:oMath>
          <m:r>
            <m:t>E=</m:t>
          </m:r>
          <m:f>
            <m:fPr>
              <m:type m:val="bar"/>
            </m:fPr>
            <m:num>
              <m:r>
                <m:t>20+4(32)+56</m:t>
              </m:r>
            </m:num>
            <m:den>
              <m:r>
                <m:t>6</m:t>
              </m:r>
            </m:den>
          </m:f>
          <m:r>
            <m:t>=34</m:t>
          </m:r>
          <m:r>
            <m:rPr>
              <m:nor/>
            </m:rPr>
            <m:t> hours</m:t>
          </m:r>
        </m:oMath>
      </m:oMathPara>
    </w:p>
    <w:p>
      <w:r>
        <w:t>This is a planning estimate based on the stated assumptions, not a guarantee. If risks are correlated or the estimates are poorly grounded, the result may give a misleading impression of precision.</w:t>
      </w:r>
    </w:p>
    <w:p>
      <w:pPr>
        <w:pStyle w:val="Heading2"/>
      </w:pPr>
      <w:r>
        <w:t>11. Cost contingency and risk allowances</w:t>
      </w:r>
    </w:p>
    <w:p>
      <w:r>
        <w:t>Contingency is intended to cover defined residual uncertainty within the approved scope. It should not be used as an unexplained percentage to conceal incomplete engineering.</w:t>
      </w:r>
    </w:p>
    <w:p>
      <w:r>
        <w:t>Potential cost risks include:</w:t>
      </w:r>
    </w:p>
    <w:p>
      <w:pPr>
        <w:pStyle w:val="ListBullet"/>
      </w:pPr>
      <w:r>
        <w:t>Unknown legacy wiring.</w:t>
      </w:r>
    </w:p>
    <w:p>
      <w:pPr>
        <w:pStyle w:val="ListBullet"/>
      </w:pPr>
      <w:r>
        <w:t>Incomplete documentation.</w:t>
      </w:r>
    </w:p>
    <w:p>
      <w:pPr>
        <w:pStyle w:val="ListBullet"/>
      </w:pPr>
      <w:r>
        <w:t>Obsolete hardware.</w:t>
      </w:r>
    </w:p>
    <w:p>
      <w:pPr>
        <w:pStyle w:val="ListBullet"/>
      </w:pPr>
      <w:r>
        <w:t>Additional network gateways.</w:t>
      </w:r>
    </w:p>
    <w:p>
      <w:pPr>
        <w:pStyle w:val="ListBullet"/>
      </w:pPr>
      <w:r>
        <w:t>Uncertain cable routes.</w:t>
      </w:r>
    </w:p>
    <w:p>
      <w:pPr>
        <w:pStyle w:val="ListBullet"/>
      </w:pPr>
      <w:r>
        <w:t>Site access restrictions.</w:t>
      </w:r>
    </w:p>
    <w:p>
      <w:pPr>
        <w:pStyle w:val="ListBullet"/>
      </w:pPr>
      <w:r>
        <w:t>Production shutdown constraints.</w:t>
      </w:r>
    </w:p>
    <w:p>
      <w:pPr>
        <w:pStyle w:val="ListBullet"/>
      </w:pPr>
      <w:r>
        <w:t>Additional safety modifications.</w:t>
      </w:r>
    </w:p>
    <w:p>
      <w:pPr>
        <w:pStyle w:val="ListBullet"/>
      </w:pPr>
      <w:r>
        <w:t>Software compatibility problems.</w:t>
      </w:r>
    </w:p>
    <w:p>
      <w:pPr>
        <w:pStyle w:val="ListBullet"/>
      </w:pPr>
      <w:r>
        <w:t>Supplier lead-time changes.</w:t>
      </w:r>
    </w:p>
    <w:p>
      <w:pPr>
        <w:pStyle w:val="ListBullet"/>
      </w:pPr>
      <w:r>
        <w:t>Additional commissioning iterations.</w:t>
      </w:r>
    </w:p>
    <w:p>
      <w:r>
        <w:t>A simple preliminary calculation is:</w:t>
      </w:r>
    </w:p>
    <w:p>
      <w:pPr>
        <w:spacing w:before="120" w:after="160"/>
        <w:jc w:val="center"/>
      </w:pPr>
      <m:oMathPara>
        <m:oMath>
          <m:sSub>
            <m:e>
              <m:r>
                <m:t>C</m:t>
              </m:r>
            </m:e>
            <m:sub>
              <m:r>
                <m:rPr>
                  <m:nor/>
                </m:rPr>
                <m:t>contingency</m:t>
              </m:r>
            </m:sub>
          </m:sSub>
          <m:r>
            <m:t>=</m:t>
          </m:r>
          <m:sSub>
            <m:e>
              <m:r>
                <m:t>C</m:t>
              </m:r>
            </m:e>
            <m:sub>
              <m:r>
                <m:rPr>
                  <m:nor/>
                </m:rPr>
                <m:t>eligible base</m:t>
              </m:r>
            </m:sub>
          </m:sSub>
          <m:r>
            <m:t>×r</m:t>
          </m:r>
        </m:oMath>
      </m:oMathPara>
    </w:p>
    <w:p>
      <w:r>
        <w:t xml:space="preserve">Where </w:t>
      </w:r>
      <m:oMath>
        <m:r>
          <m:t>r</m:t>
        </m:r>
      </m:oMath>
      <w:r>
        <w:t xml:space="preserve"> is the approved contingency rate for the eligible cost base.</w:t>
      </w:r>
    </w:p>
    <w:p>
      <w:r>
        <w:t>If the eligible cost base is ₹500,000 and the chosen allowance is 10%:</w:t>
      </w:r>
    </w:p>
    <w:p>
      <w:pPr>
        <w:spacing w:before="120" w:after="160"/>
        <w:jc w:val="center"/>
      </w:pPr>
      <m:oMathPara>
        <m:oMath>
          <m:sSub>
            <m:e>
              <m:r>
                <m:t>C</m:t>
              </m:r>
            </m:e>
            <m:sub>
              <m:r>
                <m:rPr>
                  <m:nor/>
                </m:rPr>
                <m:t>contingency</m:t>
              </m:r>
            </m:sub>
          </m:sSub>
          <m:r>
            <m:t>=500</m:t>
          </m:r>
          <m:r>
            <m:t>,</m:t>
          </m:r>
          <m:r>
            <m:t>000×0.10=</m:t>
          </m:r>
          <m:r>
            <m:rPr>
              <m:nor/>
            </m:rPr>
            <m:t>₹</m:t>
          </m:r>
          <m:r>
            <m:t>50</m:t>
          </m:r>
          <m:r>
            <m:t>,</m:t>
          </m:r>
          <m:r>
            <m:t>000</m:t>
          </m:r>
        </m:oMath>
      </m:oMathPara>
    </w:p>
    <w:p>
      <w:r>
        <w:t>The 10% is illustrative, not a universal recommendation. The actual allowance should reflect the project's risk analysis, maturity, and company estimating rules.</w:t>
      </w:r>
    </w:p>
    <w:p>
      <w:pPr>
        <w:pStyle w:val="Heading3"/>
      </w:pPr>
      <w:r>
        <w:t>11.1 Contingency versus management reserve</w:t>
      </w:r>
    </w:p>
    <w:p>
      <w:r>
        <w:t>These terms are not always used identically across organizations, but a useful distinction is:</w:t>
      </w:r>
    </w:p>
    <w:p>
      <w:pPr>
        <w:pStyle w:val="ListBullet"/>
      </w:pPr>
      <w:r>
        <w:t>Contingency: Allowance for identified or understood uncertainty within the planned scope.</w:t>
      </w:r>
    </w:p>
    <w:p>
      <w:pPr>
        <w:pStyle w:val="ListBullet"/>
      </w:pPr>
      <w:r>
        <w:t>Management reserve: Additional funding controlled at a higher level for unforeseen work or risks, according to the organization's project-control process.</w:t>
      </w:r>
    </w:p>
    <w:p>
      <w:r>
        <w:t>Neither should be used to approve uncontrolled scope expansion without the required change process.</w:t>
      </w:r>
    </w:p>
    <w:p>
      <w:pPr>
        <w:pStyle w:val="Heading2"/>
      </w:pPr>
      <w:r>
        <w:t>12. Total project cost calculation</w:t>
      </w:r>
    </w:p>
    <w:p>
      <w:r>
        <w:t>A project estimate can be structured into separate cost categories.</w:t>
      </w:r>
    </w:p>
    <w:p>
      <w:pPr>
        <w:spacing w:before="120" w:after="160"/>
        <w:jc w:val="center"/>
      </w:pPr>
      <m:oMathPara>
        <m:oMath>
          <m:sSub>
            <m:e>
              <m:r>
                <m:t>C</m:t>
              </m:r>
            </m:e>
            <m:sub>
              <m:r>
                <m:rPr>
                  <m:nor/>
                </m:rPr>
                <m:t>base</m:t>
              </m:r>
            </m:sub>
          </m:sSub>
          <m:r>
            <m:t>=</m:t>
          </m:r>
          <m:sSub>
            <m:e>
              <m:r>
                <m:t>C</m:t>
              </m:r>
            </m:e>
            <m:sub>
              <m:r>
                <m:rPr>
                  <m:nor/>
                </m:rPr>
                <m:t>material</m:t>
              </m:r>
            </m:sub>
          </m:sSub>
          <m:r>
            <m:t>+</m:t>
          </m:r>
          <m:sSub>
            <m:e>
              <m:r>
                <m:t>C</m:t>
              </m:r>
            </m:e>
            <m:sub>
              <m:r>
                <m:rPr>
                  <m:nor/>
                </m:rPr>
                <m:t>engineering</m:t>
              </m:r>
            </m:sub>
          </m:sSub>
          <m:r>
            <m:t>+</m:t>
          </m:r>
          <m:sSub>
            <m:e>
              <m:r>
                <m:t>C</m:t>
              </m:r>
            </m:e>
            <m:sub>
              <m:r>
                <m:rPr>
                  <m:nor/>
                </m:rPr>
                <m:t>fabrication</m:t>
              </m:r>
            </m:sub>
          </m:sSub>
          <m:r>
            <m:t>+</m:t>
          </m:r>
          <m:sSub>
            <m:e>
              <m:r>
                <m:t>C</m:t>
              </m:r>
            </m:e>
            <m:sub>
              <m:r>
                <m:rPr>
                  <m:nor/>
                </m:rPr>
                <m:t>installation</m:t>
              </m:r>
            </m:sub>
          </m:sSub>
          <m:r>
            <m:t>+</m:t>
          </m:r>
          <m:sSub>
            <m:e>
              <m:r>
                <m:t>C</m:t>
              </m:r>
            </m:e>
            <m:sub>
              <m:r>
                <m:rPr>
                  <m:nor/>
                </m:rPr>
                <m:t>testing</m:t>
              </m:r>
            </m:sub>
          </m:sSub>
          <m:r>
            <m:t>+</m:t>
          </m:r>
          <m:sSub>
            <m:e>
              <m:r>
                <m:t>C</m:t>
              </m:r>
            </m:e>
            <m:sub>
              <m:r>
                <m:rPr>
                  <m:nor/>
                </m:rPr>
                <m:t>other</m:t>
              </m:r>
            </m:sub>
          </m:sSub>
        </m:oMath>
      </m:oMathPara>
    </w:p>
    <w:p>
      <w:r>
        <w:t>If contingency is applied to an eligible base:</w:t>
      </w:r>
    </w:p>
    <w:p>
      <w:pPr>
        <w:spacing w:before="120" w:after="160"/>
        <w:jc w:val="center"/>
      </w:pPr>
      <m:oMathPara>
        <m:oMath>
          <m:sSub>
            <m:e>
              <m:r>
                <m:t>C</m:t>
              </m:r>
            </m:e>
            <m:sub>
              <m:r>
                <m:rPr>
                  <m:nor/>
                </m:rPr>
                <m:t>estimated</m:t>
              </m:r>
            </m:sub>
          </m:sSub>
          <m:r>
            <m:t>=</m:t>
          </m:r>
          <m:sSub>
            <m:e>
              <m:r>
                <m:t>C</m:t>
              </m:r>
            </m:e>
            <m:sub>
              <m:r>
                <m:rPr>
                  <m:nor/>
                </m:rPr>
                <m:t>base</m:t>
              </m:r>
            </m:sub>
          </m:sSub>
          <m:r>
            <m:t>+</m:t>
          </m:r>
          <m:sSub>
            <m:e>
              <m:r>
                <m:t>C</m:t>
              </m:r>
            </m:e>
            <m:sub>
              <m:r>
                <m:rPr>
                  <m:nor/>
                </m:rPr>
                <m:t>contingency</m:t>
              </m:r>
            </m:sub>
          </m:sSub>
        </m:oMath>
      </m:oMathPara>
    </w:p>
    <w:p>
      <w:r>
        <w:t>Taxes, freight, duties, and other commercial charges should be included or excluded explicitly. Do not assume they are already included in the supplier's unit prices.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Cost category</w:t>
            </w:r>
          </w:p>
        </w:tc>
        <w:tc>
          <w:tcPr>
            <w:tcW w:type="dxa" w:w="5400"/>
            <w:shd w:val="clear" w:color="auto" w:fill="EEF2F7"/>
          </w:tcPr>
          <w:p>
            <w:pPr>
              <w:spacing w:after="0" w:before="0" w:line="240" w:lineRule="auto"/>
              <w:jc w:val="left"/>
            </w:pPr>
            <w:r>
              <w:rPr>
                <w:b/>
                <w:color w:val="1A2E4A"/>
              </w:rPr>
              <w:t>Estimated amount</w:t>
            </w:r>
          </w:p>
        </w:tc>
      </w:tr>
      <w:tr>
        <w:tc>
          <w:tcPr>
            <w:tcW w:type="dxa" w:w="5400"/>
          </w:tcPr>
          <w:p>
            <w:pPr>
              <w:spacing w:after="0" w:before="0" w:line="240" w:lineRule="auto"/>
              <w:jc w:val="left"/>
            </w:pPr>
            <w:r>
              <w:t>Equipment and materials</w:t>
            </w:r>
          </w:p>
        </w:tc>
        <w:tc>
          <w:tcPr>
            <w:tcW w:type="dxa" w:w="5400"/>
          </w:tcPr>
          <w:p>
            <w:pPr>
              <w:spacing w:after="0" w:before="0" w:line="240" w:lineRule="auto"/>
              <w:jc w:val="left"/>
            </w:pPr>
            <w:r>
              <w:t>₹308,000</w:t>
            </w:r>
          </w:p>
        </w:tc>
      </w:tr>
      <w:tr>
        <w:tc>
          <w:tcPr>
            <w:tcW w:type="dxa" w:w="5400"/>
          </w:tcPr>
          <w:p>
            <w:pPr>
              <w:spacing w:after="0" w:before="0" w:line="240" w:lineRule="auto"/>
              <w:jc w:val="left"/>
            </w:pPr>
            <w:r>
              <w:t>Engineering labor</w:t>
            </w:r>
          </w:p>
        </w:tc>
        <w:tc>
          <w:tcPr>
            <w:tcW w:type="dxa" w:w="5400"/>
          </w:tcPr>
          <w:p>
            <w:pPr>
              <w:spacing w:after="0" w:before="0" w:line="240" w:lineRule="auto"/>
              <w:jc w:val="left"/>
            </w:pPr>
            <w:r>
              <w:t>₹166,400</w:t>
            </w:r>
          </w:p>
        </w:tc>
      </w:tr>
      <w:tr>
        <w:tc>
          <w:tcPr>
            <w:tcW w:type="dxa" w:w="5400"/>
          </w:tcPr>
          <w:p>
            <w:pPr>
              <w:spacing w:after="0" w:before="0" w:line="240" w:lineRule="auto"/>
              <w:jc w:val="left"/>
            </w:pPr>
            <w:r>
              <w:t>Panel fabrication</w:t>
            </w:r>
          </w:p>
        </w:tc>
        <w:tc>
          <w:tcPr>
            <w:tcW w:type="dxa" w:w="5400"/>
          </w:tcPr>
          <w:p>
            <w:pPr>
              <w:spacing w:after="0" w:before="0" w:line="240" w:lineRule="auto"/>
              <w:jc w:val="left"/>
            </w:pPr>
            <w:r>
              <w:t>₹85,000</w:t>
            </w:r>
          </w:p>
        </w:tc>
      </w:tr>
      <w:tr>
        <w:tc>
          <w:tcPr>
            <w:tcW w:type="dxa" w:w="5400"/>
          </w:tcPr>
          <w:p>
            <w:pPr>
              <w:spacing w:after="0" w:before="0" w:line="240" w:lineRule="auto"/>
              <w:jc w:val="left"/>
            </w:pPr>
            <w:r>
              <w:t>Installation</w:t>
            </w:r>
          </w:p>
        </w:tc>
        <w:tc>
          <w:tcPr>
            <w:tcW w:type="dxa" w:w="5400"/>
          </w:tcPr>
          <w:p>
            <w:pPr>
              <w:spacing w:after="0" w:before="0" w:line="240" w:lineRule="auto"/>
              <w:jc w:val="left"/>
            </w:pPr>
            <w:r>
              <w:t>₹60,000</w:t>
            </w:r>
          </w:p>
        </w:tc>
      </w:tr>
      <w:tr>
        <w:tc>
          <w:tcPr>
            <w:tcW w:type="dxa" w:w="5400"/>
          </w:tcPr>
          <w:p>
            <w:pPr>
              <w:spacing w:after="0" w:before="0" w:line="240" w:lineRule="auto"/>
              <w:jc w:val="left"/>
            </w:pPr>
            <w:r>
              <w:t>Testing and commissioning</w:t>
            </w:r>
          </w:p>
        </w:tc>
        <w:tc>
          <w:tcPr>
            <w:tcW w:type="dxa" w:w="5400"/>
          </w:tcPr>
          <w:p>
            <w:pPr>
              <w:spacing w:after="0" w:before="0" w:line="240" w:lineRule="auto"/>
              <w:jc w:val="left"/>
            </w:pPr>
            <w:r>
              <w:t>₹75,000</w:t>
            </w:r>
          </w:p>
        </w:tc>
      </w:tr>
      <w:tr>
        <w:tc>
          <w:tcPr>
            <w:tcW w:type="dxa" w:w="5400"/>
          </w:tcPr>
          <w:p>
            <w:pPr>
              <w:spacing w:after="0" w:before="0" w:line="240" w:lineRule="auto"/>
              <w:jc w:val="left"/>
            </w:pPr>
            <w:r>
              <w:t>Travel and logistics</w:t>
            </w:r>
          </w:p>
        </w:tc>
        <w:tc>
          <w:tcPr>
            <w:tcW w:type="dxa" w:w="5400"/>
          </w:tcPr>
          <w:p>
            <w:pPr>
              <w:spacing w:after="0" w:before="0" w:line="240" w:lineRule="auto"/>
              <w:jc w:val="left"/>
            </w:pPr>
            <w:r>
              <w:t>₹20,000</w:t>
            </w:r>
          </w:p>
        </w:tc>
      </w:tr>
      <w:tr>
        <w:tc>
          <w:tcPr>
            <w:tcW w:type="dxa" w:w="5400"/>
          </w:tcPr>
          <w:p>
            <w:pPr>
              <w:spacing w:after="0" w:before="0" w:line="240" w:lineRule="auto"/>
              <w:jc w:val="left"/>
            </w:pPr>
            <w:r>
              <w:t>Base project cost</w:t>
            </w:r>
          </w:p>
        </w:tc>
        <w:tc>
          <w:tcPr>
            <w:tcW w:type="dxa" w:w="5400"/>
          </w:tcPr>
          <w:p>
            <w:pPr>
              <w:spacing w:after="0" w:before="0" w:line="240" w:lineRule="auto"/>
              <w:jc w:val="left"/>
            </w:pPr>
            <w:r>
              <w:t>₹714,400</w:t>
            </w:r>
          </w:p>
        </w:tc>
      </w:tr>
      <w:tr>
        <w:tc>
          <w:tcPr>
            <w:tcW w:type="dxa" w:w="5400"/>
          </w:tcPr>
          <w:p>
            <w:pPr>
              <w:spacing w:after="0" w:before="0" w:line="240" w:lineRule="auto"/>
              <w:jc w:val="left"/>
            </w:pPr>
            <w:r>
              <w:t>Illustrative contingency at 10% of base</w:t>
            </w:r>
          </w:p>
        </w:tc>
        <w:tc>
          <w:tcPr>
            <w:tcW w:type="dxa" w:w="5400"/>
          </w:tcPr>
          <w:p>
            <w:pPr>
              <w:spacing w:after="0" w:before="0" w:line="240" w:lineRule="auto"/>
              <w:jc w:val="left"/>
            </w:pPr>
            <w:r>
              <w:t>₹71,440</w:t>
            </w:r>
          </w:p>
        </w:tc>
      </w:tr>
      <w:tr>
        <w:tc>
          <w:tcPr>
            <w:tcW w:type="dxa" w:w="5400"/>
          </w:tcPr>
          <w:p>
            <w:pPr>
              <w:spacing w:after="0" w:before="0" w:line="240" w:lineRule="auto"/>
              <w:jc w:val="left"/>
            </w:pPr>
            <w:r>
              <w:t>Estimated total before separately excluded charges</w:t>
            </w:r>
          </w:p>
        </w:tc>
        <w:tc>
          <w:tcPr>
            <w:tcW w:type="dxa" w:w="5400"/>
          </w:tcPr>
          <w:p>
            <w:pPr>
              <w:spacing w:after="0" w:before="0" w:line="240" w:lineRule="auto"/>
              <w:jc w:val="left"/>
            </w:pPr>
            <w:r>
              <w:t>₹785,840</w:t>
            </w:r>
          </w:p>
        </w:tc>
      </w:tr>
    </w:tbl>
    <w:p/>
    <w:p>
      <w:r>
        <w:t>The example assumes all listed amounts are on a consistent tax and freight basis. In a real estimate, that assumption must be verified and documented.</w:t>
      </w:r>
    </w:p>
    <w:p>
      <w:pPr>
        <w:pStyle w:val="Heading2"/>
      </w:pPr>
      <w:r>
        <w:t>13. Cost versus selling price</w:t>
      </w:r>
    </w:p>
    <w:p>
      <w:r>
        <w:t>Internal project cost and customer selling price are different concepts.</w:t>
      </w:r>
    </w:p>
    <w:p>
      <w:r>
        <w:t>A selling price may include the relevant cost base, profit margin, commercial risk, warranty obligations, and other business considerations.</w:t>
      </w:r>
    </w:p>
    <w:p>
      <w:pPr>
        <w:pStyle w:val="Heading3"/>
      </w:pPr>
      <w:r>
        <w:t>13.1 Markup</w:t>
      </w:r>
    </w:p>
    <w:p>
      <w:r>
        <w:t>Markup is calculated as a percentage of cost.</w:t>
      </w:r>
    </w:p>
    <w:p>
      <w:pPr>
        <w:spacing w:before="120" w:after="160"/>
        <w:jc w:val="center"/>
      </w:pPr>
      <m:oMathPara>
        <m:oMath>
          <m:r>
            <m:t>P=C(1+m)</m:t>
          </m:r>
        </m:oMath>
      </m:oMathPara>
    </w:p>
    <w:p>
      <w:r>
        <w:t xml:space="preserve">Where </w:t>
      </w:r>
      <m:oMath>
        <m:r>
          <m:t>C</m:t>
        </m:r>
      </m:oMath>
      <w:r>
        <w:t xml:space="preserve"> is the applicable cost base and </w:t>
      </w:r>
      <m:oMath>
        <m:r>
          <m:t>m</m:t>
        </m:r>
      </m:oMath>
      <w:r>
        <w:t xml:space="preserve"> is the markup fraction.</w:t>
      </w:r>
    </w:p>
    <w:p>
      <w:r>
        <w:t>If the cost base is ₹800,000 and markup is 20%:</w:t>
      </w:r>
    </w:p>
    <w:p>
      <w:pPr>
        <w:spacing w:before="120" w:after="160"/>
        <w:jc w:val="center"/>
      </w:pPr>
      <m:oMathPara>
        <m:oMath>
          <m:r>
            <m:t>P=800</m:t>
          </m:r>
          <m:r>
            <m:t>,</m:t>
          </m:r>
          <m:r>
            <m:t>000(1+0.20)=</m:t>
          </m:r>
          <m:r>
            <m:rPr>
              <m:nor/>
            </m:rPr>
            <m:t>₹</m:t>
          </m:r>
          <m:r>
            <m:t>960</m:t>
          </m:r>
          <m:r>
            <m:t>,</m:t>
          </m:r>
          <m:r>
            <m:t>000</m:t>
          </m:r>
        </m:oMath>
      </m:oMathPara>
    </w:p>
    <w:p>
      <w:pPr>
        <w:pStyle w:val="Heading3"/>
      </w:pPr>
      <w:r>
        <w:t>13.2 Gross margin</w:t>
      </w:r>
    </w:p>
    <w:p>
      <w:r>
        <w:t>Margin is calculated as a percentage of selling price.</w:t>
      </w:r>
    </w:p>
    <w:p>
      <w:pPr>
        <w:spacing w:before="120" w:after="160"/>
        <w:jc w:val="center"/>
      </w:pPr>
      <m:oMathPara>
        <m:oMath>
          <m:r>
            <m:t>g=</m:t>
          </m:r>
          <m:f>
            <m:fPr>
              <m:type m:val="bar"/>
            </m:fPr>
            <m:num>
              <m:r>
                <m:t>P−C</m:t>
              </m:r>
            </m:num>
            <m:den>
              <m:r>
                <m:t>P</m:t>
              </m:r>
            </m:den>
          </m:f>
        </m:oMath>
      </m:oMathPara>
    </w:p>
    <w:p>
      <w:r>
        <w:t>To calculate the price required for a target margin:</w:t>
      </w:r>
    </w:p>
    <w:p>
      <w:pPr>
        <w:spacing w:before="120" w:after="160"/>
        <w:jc w:val="center"/>
      </w:pPr>
      <m:oMathPara>
        <m:oMath>
          <m:r>
            <m:t>P=</m:t>
          </m:r>
          <m:f>
            <m:fPr>
              <m:type m:val="bar"/>
            </m:fPr>
            <m:num>
              <m:r>
                <m:t>C</m:t>
              </m:r>
            </m:num>
            <m:den>
              <m:r>
                <m:t>1−g</m:t>
              </m:r>
            </m:den>
          </m:f>
        </m:oMath>
      </m:oMathPara>
    </w:p>
    <w:p>
      <w:r>
        <w:t>If the cost base is ₹800,000 and the target margin is 20%:</w:t>
      </w:r>
    </w:p>
    <w:p>
      <w:pPr>
        <w:spacing w:before="120" w:after="160"/>
        <w:jc w:val="center"/>
      </w:pPr>
      <m:oMathPara>
        <m:oMath>
          <m:r>
            <m:t>P=</m:t>
          </m:r>
          <m:f>
            <m:fPr>
              <m:type m:val="bar"/>
            </m:fPr>
            <m:num>
              <m:r>
                <m:t>800</m:t>
              </m:r>
              <m:r>
                <m:t>,</m:t>
              </m:r>
              <m:r>
                <m:t>000</m:t>
              </m:r>
            </m:num>
            <m:den>
              <m:r>
                <m:t>1−0.20</m:t>
              </m:r>
            </m:den>
          </m:f>
          <m:r>
            <m:t>=</m:t>
          </m:r>
          <m:r>
            <m:rPr>
              <m:nor/>
            </m:rPr>
            <m:t>₹</m:t>
          </m:r>
          <m:r>
            <m:t>1</m:t>
          </m:r>
          <m:r>
            <m:t>,</m:t>
          </m:r>
          <m:r>
            <m:t>000</m:t>
          </m:r>
          <m:r>
            <m:t>,</m:t>
          </m:r>
          <m:r>
            <m:t>000</m:t>
          </m:r>
        </m:oMath>
      </m:oMathPara>
    </w:p>
    <w:p>
      <w:r>
        <w:t>A 20% markup and a 20% margin are not the same. The difference matters when preparing quotations or analyzing project profitability.</w:t>
      </w:r>
    </w:p>
    <w:p>
      <w:r>
        <w:t>The chosen cost base must be defined. A selling-price calculation can be misleading if it excludes warranty, overhead, freight, or other obligations that the company must pay.</w:t>
      </w:r>
    </w:p>
    <w:p>
      <w:pPr>
        <w:pStyle w:val="Heading2"/>
      </w:pPr>
      <w:r>
        <w:t>14. Taxes, freight, currency, and commercial terms</w:t>
      </w:r>
    </w:p>
    <w:p>
      <w:r>
        <w:t>A technically accurate material estimate can still be commercially wrong if the purchasing basis is unclear.</w:t>
      </w:r>
    </w:p>
    <w:p>
      <w:r>
        <w:t>Verify:</w:t>
      </w:r>
    </w:p>
    <w:p>
      <w:pPr>
        <w:pStyle w:val="ListBullet"/>
      </w:pPr>
      <w:r>
        <w:t>Currency and exchange-rate assumptions.</w:t>
      </w:r>
    </w:p>
    <w:p>
      <w:pPr>
        <w:pStyle w:val="ListBullet"/>
      </w:pPr>
      <w:r>
        <w:t>Whether quoted prices are inclusive or exclusive of applicable taxes.</w:t>
      </w:r>
    </w:p>
    <w:p>
      <w:pPr>
        <w:pStyle w:val="ListBullet"/>
      </w:pPr>
      <w:r>
        <w:t>Freight and insurance.</w:t>
      </w:r>
    </w:p>
    <w:p>
      <w:pPr>
        <w:pStyle w:val="ListBullet"/>
      </w:pPr>
      <w:r>
        <w:t>Customs duties and import charges, where relevant.</w:t>
      </w:r>
    </w:p>
    <w:p>
      <w:pPr>
        <w:pStyle w:val="ListBullet"/>
      </w:pPr>
      <w:r>
        <w:t>Packaging and handling.</w:t>
      </w:r>
    </w:p>
    <w:p>
      <w:pPr>
        <w:pStyle w:val="ListBullet"/>
      </w:pPr>
      <w:r>
        <w:t>Supplier payment terms.</w:t>
      </w:r>
    </w:p>
    <w:p>
      <w:pPr>
        <w:pStyle w:val="ListBullet"/>
      </w:pPr>
      <w:r>
        <w:t>Quote validity.</w:t>
      </w:r>
    </w:p>
    <w:p>
      <w:pPr>
        <w:pStyle w:val="ListBullet"/>
      </w:pPr>
      <w:r>
        <w:t>Warranty and support costs.</w:t>
      </w:r>
    </w:p>
    <w:p>
      <w:pPr>
        <w:pStyle w:val="ListBullet"/>
      </w:pPr>
      <w:r>
        <w:t>Delivery terms and responsibility for transport.</w:t>
      </w:r>
    </w:p>
    <w:p>
      <w:pPr>
        <w:pStyle w:val="ListBullet"/>
      </w:pPr>
      <w:r>
        <w:t>Price escalation or foreign-exchange exposure.</w:t>
      </w:r>
    </w:p>
    <w:p>
      <w:pPr>
        <w:pStyle w:val="ListBullet"/>
      </w:pPr>
      <w:r>
        <w:t>Whether installation and commissioning are included.</w:t>
      </w:r>
    </w:p>
    <w:p>
      <w:r>
        <w:t>For imported automation equipment, currency changes can materially affect the final cost. Record the rate, date, and method used if an exchange rate is part of the estimate.</w:t>
      </w:r>
    </w:p>
    <w:p>
      <w:r>
        <w:t>Avoid adding a tax twice if the supplier's quote already includes it. Conversely, do not treat an excluded tax or freight charge as zero simply because the quotation does not show it.</w:t>
      </w:r>
    </w:p>
    <w:p>
      <w:pPr>
        <w:pStyle w:val="Heading2"/>
      </w:pPr>
      <w:r>
        <w:t>15. CAPEX, OPEX, and lifecycle cost</w:t>
      </w:r>
    </w:p>
    <w:p>
      <w:pPr>
        <w:pStyle w:val="Heading3"/>
      </w:pPr>
      <w:r>
        <w:t>15.1 CAPEX</w:t>
      </w:r>
    </w:p>
    <w:p>
      <w:r>
        <w:t>Depending on the applicable accounting policy, capital expenditure may include equipment and qualifying project costs associated with creating or improving an asset.</w:t>
      </w:r>
    </w:p>
    <w:p>
      <w:r>
        <w:t>Examples may include:</w:t>
      </w:r>
    </w:p>
    <w:p>
      <w:pPr>
        <w:pStyle w:val="ListBullet"/>
      </w:pPr>
      <w:r>
        <w:t>PLC and drive hardware.</w:t>
      </w:r>
    </w:p>
    <w:p>
      <w:pPr>
        <w:pStyle w:val="ListBullet"/>
      </w:pPr>
      <w:r>
        <w:t>Control-panel construction.</w:t>
      </w:r>
    </w:p>
    <w:p>
      <w:pPr>
        <w:pStyle w:val="ListBullet"/>
      </w:pPr>
      <w:r>
        <w:t>Machine automation upgrades.</w:t>
      </w:r>
    </w:p>
    <w:p>
      <w:pPr>
        <w:pStyle w:val="ListBullet"/>
      </w:pPr>
      <w:r>
        <w:t>Qualifying installation and engineering costs.</w:t>
      </w:r>
    </w:p>
    <w:p>
      <w:r>
        <w:t>Whether a particular expense qualifies as capital expenditure must be determined by the organization's accounting rules.</w:t>
      </w:r>
    </w:p>
    <w:p>
      <w:pPr>
        <w:pStyle w:val="Heading3"/>
      </w:pPr>
      <w:r>
        <w:t>15.2 OPEX</w:t>
      </w:r>
    </w:p>
    <w:p>
      <w:r>
        <w:t>Operating expenditure includes recurring costs associated with operating and maintaining the system.</w:t>
      </w:r>
    </w:p>
    <w:p>
      <w:r>
        <w:t>Examples:</w:t>
      </w:r>
    </w:p>
    <w:p>
      <w:pPr>
        <w:pStyle w:val="ListBullet"/>
      </w:pPr>
      <w:r>
        <w:t>Preventive maintenance.</w:t>
      </w:r>
    </w:p>
    <w:p>
      <w:pPr>
        <w:pStyle w:val="ListBullet"/>
      </w:pPr>
      <w:r>
        <w:t>Spare parts consumption.</w:t>
      </w:r>
    </w:p>
    <w:p>
      <w:pPr>
        <w:pStyle w:val="ListBullet"/>
      </w:pPr>
      <w:r>
        <w:t>Software subscriptions.</w:t>
      </w:r>
    </w:p>
    <w:p>
      <w:pPr>
        <w:pStyle w:val="ListBullet"/>
      </w:pPr>
      <w:r>
        <w:t>Calibration.</w:t>
      </w:r>
    </w:p>
    <w:p>
      <w:pPr>
        <w:pStyle w:val="ListBullet"/>
      </w:pPr>
      <w:r>
        <w:t>Support contracts.</w:t>
      </w:r>
    </w:p>
    <w:p>
      <w:pPr>
        <w:pStyle w:val="ListBullet"/>
      </w:pPr>
      <w:r>
        <w:t>Electricity consumption.</w:t>
      </w:r>
    </w:p>
    <w:p>
      <w:pPr>
        <w:pStyle w:val="ListBullet"/>
      </w:pPr>
      <w:r>
        <w:t>Periodic inspection.</w:t>
      </w:r>
    </w:p>
    <w:p>
      <w:pPr>
        <w:pStyle w:val="ListBullet"/>
      </w:pPr>
      <w:r>
        <w:t>Operator and maintenance training.</w:t>
      </w:r>
    </w:p>
    <w:p>
      <w:pPr>
        <w:pStyle w:val="Heading3"/>
      </w:pPr>
      <w:r>
        <w:t>15.3 Total cost of ownership</w:t>
      </w:r>
    </w:p>
    <w:p>
      <w:r>
        <w:t>A simplified lifecycle model is:</w:t>
      </w:r>
    </w:p>
    <w:p>
      <w:pPr>
        <w:spacing w:before="120" w:after="160"/>
        <w:jc w:val="center"/>
      </w:pPr>
      <m:oMathPara>
        <m:oMath>
          <m:r>
            <m:t>TCO=</m:t>
          </m:r>
          <m:sSub>
            <m:e>
              <m:r>
                <m:t>C</m:t>
              </m:r>
            </m:e>
            <m:sub>
              <m:r>
                <m:rPr>
                  <m:nor/>
                </m:rPr>
                <m:t>initial</m:t>
              </m:r>
            </m:sub>
          </m:sSub>
          <m:r>
            <m:t>+</m:t>
          </m:r>
          <m:nary>
            <m:naryPr>
              <m:chr m:val="∑"/>
              <m:limLoc m:val="subSup"/>
              <m:grow m:val="1"/>
              <m:subHide m:val="off"/>
              <m:supHide m:val="off"/>
            </m:naryPr>
            <m:sub>
              <m:r>
                <m:t>t=1</m:t>
              </m:r>
            </m:sub>
            <m:sup>
              <m:r>
                <m:t>n</m:t>
              </m:r>
            </m:sup>
            <m:e>
              <m:sSub>
                <m:e>
                  <m:r>
                    <m:t>C</m:t>
                  </m:r>
                </m:e>
                <m:sub>
                  <m:r>
                    <m:rPr>
                      <m:nor/>
                    </m:rPr>
                    <m:t>operating</m:t>
                  </m:r>
                  <m:r>
                    <m:t>,t</m:t>
                  </m:r>
                </m:sub>
              </m:sSub>
            </m:e>
          </m:nary>
          <m:r>
            <m:t>+</m:t>
          </m:r>
          <m:sSub>
            <m:e>
              <m:r>
                <m:t>C</m:t>
              </m:r>
            </m:e>
            <m:sub>
              <m:r>
                <m:rPr>
                  <m:nor/>
                </m:rPr>
                <m:t>replacement</m:t>
              </m:r>
            </m:sub>
          </m:sSub>
          <m:r>
            <m:t>+</m:t>
          </m:r>
          <m:sSub>
            <m:e>
              <m:r>
                <m:t>C</m:t>
              </m:r>
            </m:e>
            <m:sub>
              <m:r>
                <m:rPr>
                  <m:nor/>
                </m:rPr>
                <m:t>retirement</m:t>
              </m:r>
            </m:sub>
          </m:sSub>
        </m:oMath>
      </m:oMathPara>
    </w:p>
    <w:p>
      <w:r>
        <w:t>For comparisons over multiple years, costs occurring at different times should ideally be evaluated using a consistent economic method, such as discounted cash flow, when appropriate.</w:t>
      </w:r>
    </w:p>
    <w:p>
      <w:r>
        <w:t>A solution with a higher initial cost may have a lower lifecycle cost if it reduces breakdowns, energy use, maintenance effort, or future migration requirements.</w:t>
      </w:r>
    </w:p>
    <w:p>
      <w:pPr>
        <w:pStyle w:val="Heading2"/>
      </w:pPr>
      <w:r>
        <w:t>16. Evaluating automation benefits and payback</w:t>
      </w:r>
    </w:p>
    <w:p>
      <w:r>
        <w:t>Costing becomes especially useful when the proposed automation project must be justified by production, quality, safety, or labor-related benefits.</w:t>
      </w:r>
    </w:p>
    <w:p>
      <w:r>
        <w:t>Potential benefits include:</w:t>
      </w:r>
    </w:p>
    <w:p>
      <w:pPr>
        <w:pStyle w:val="ListBullet"/>
      </w:pPr>
      <w:r>
        <w:t>Reduced cycle time.</w:t>
      </w:r>
    </w:p>
    <w:p>
      <w:pPr>
        <w:pStyle w:val="ListBullet"/>
      </w:pPr>
      <w:r>
        <w:t>Increased throughput.</w:t>
      </w:r>
    </w:p>
    <w:p>
      <w:pPr>
        <w:pStyle w:val="ListBullet"/>
      </w:pPr>
      <w:r>
        <w:t>Lower scrap and rework.</w:t>
      </w:r>
    </w:p>
    <w:p>
      <w:pPr>
        <w:pStyle w:val="ListBullet"/>
      </w:pPr>
      <w:r>
        <w:t>Reduced unplanned downtime.</w:t>
      </w:r>
    </w:p>
    <w:p>
      <w:pPr>
        <w:pStyle w:val="ListBullet"/>
      </w:pPr>
      <w:r>
        <w:t>Improved traceability.</w:t>
      </w:r>
    </w:p>
    <w:p>
      <w:pPr>
        <w:pStyle w:val="ListBullet"/>
      </w:pPr>
      <w:r>
        <w:t>Lower energy consumption.</w:t>
      </w:r>
    </w:p>
    <w:p>
      <w:pPr>
        <w:pStyle w:val="ListBullet"/>
      </w:pPr>
      <w:r>
        <w:t>Reduced repetitive manual handling.</w:t>
      </w:r>
    </w:p>
    <w:p>
      <w:pPr>
        <w:pStyle w:val="ListBullet"/>
      </w:pPr>
      <w:r>
        <w:t>More consistent process quality.</w:t>
      </w:r>
    </w:p>
    <w:p>
      <w:pPr>
        <w:pStyle w:val="ListBullet"/>
      </w:pPr>
      <w:r>
        <w:t>Reduced exposure to specific workplace hazards.</w:t>
      </w:r>
    </w:p>
    <w:p>
      <w:r>
        <w:t>Benefits must be measurable and supported by a realistic baseline.</w:t>
      </w:r>
    </w:p>
    <w:p>
      <w:pPr>
        <w:pStyle w:val="Heading3"/>
      </w:pPr>
      <w:r>
        <w:t>16.1 Annual net benefit</w:t>
      </w:r>
    </w:p>
    <w:p>
      <w:pPr>
        <w:spacing w:before="120" w:after="160"/>
        <w:jc w:val="center"/>
      </w:pPr>
      <m:oMathPara>
        <m:oMath>
          <m:sSub>
            <m:e>
              <m:r>
                <m:t>B</m:t>
              </m:r>
            </m:e>
            <m:sub>
              <m:r>
                <m:rPr>
                  <m:nor/>
                </m:rPr>
                <m:t>net</m:t>
              </m:r>
            </m:sub>
          </m:sSub>
          <m:r>
            <m:t>=</m:t>
          </m:r>
          <m:sSub>
            <m:e>
              <m:r>
                <m:t>B</m:t>
              </m:r>
            </m:e>
            <m:sub>
              <m:r>
                <m:rPr>
                  <m:nor/>
                </m:rPr>
                <m:t>gross</m:t>
              </m:r>
            </m:sub>
          </m:sSub>
          <m:r>
            <m:t>−</m:t>
          </m:r>
          <m:sSub>
            <m:e>
              <m:r>
                <m:t>C</m:t>
              </m:r>
            </m:e>
            <m:sub>
              <m:r>
                <m:rPr>
                  <m:nor/>
                </m:rPr>
                <m:t>additional annual</m:t>
              </m:r>
            </m:sub>
          </m:sSub>
        </m:oMath>
      </m:oMathPara>
    </w:p>
    <w:p>
      <w:r>
        <w:t>Where gross benefit is the estimated annual value of the improvement and additional annual cost includes relevant ongoing costs.</w:t>
      </w:r>
    </w:p>
    <w:p>
      <w:pPr>
        <w:pStyle w:val="Heading3"/>
      </w:pPr>
      <w:r>
        <w:t>16.2 Simple payback period</w:t>
      </w:r>
    </w:p>
    <w:p>
      <w:pPr>
        <w:spacing w:before="120" w:after="160"/>
        <w:jc w:val="center"/>
      </w:pPr>
      <m:oMathPara>
        <m:oMath>
          <m:sSub>
            <m:e>
              <m:r>
                <m:t>T</m:t>
              </m:r>
            </m:e>
            <m:sub>
              <m:r>
                <m:rPr>
                  <m:nor/>
                </m:rPr>
                <m:t>payback</m:t>
              </m:r>
            </m:sub>
          </m:sSub>
          <m:r>
            <m:t>=</m:t>
          </m:r>
          <m:f>
            <m:fPr>
              <m:type m:val="bar"/>
            </m:fPr>
            <m:num>
              <m:sSub>
                <m:e>
                  <m:r>
                    <m:t>C</m:t>
                  </m:r>
                </m:e>
                <m:sub>
                  <m:r>
                    <m:rPr>
                      <m:nor/>
                    </m:rPr>
                    <m:t>initial investment</m:t>
                  </m:r>
                </m:sub>
              </m:sSub>
            </m:num>
            <m:den>
              <m:sSub>
                <m:e>
                  <m:r>
                    <m:t>B</m:t>
                  </m:r>
                </m:e>
                <m:sub>
                  <m:r>
                    <m:rPr>
                      <m:nor/>
                    </m:rPr>
                    <m:t>net annual</m:t>
                  </m:r>
                </m:sub>
              </m:sSub>
            </m:den>
          </m:f>
        </m:oMath>
      </m:oMathPara>
    </w:p>
    <w:p>
      <w:r>
        <w:t>Suppose an automation project costs ₹1,200,000 and the expected net annual benefit is ₹400,000:</w:t>
      </w:r>
    </w:p>
    <w:p>
      <w:pPr>
        <w:spacing w:before="120" w:after="160"/>
        <w:jc w:val="center"/>
      </w:pPr>
      <m:oMathPara>
        <m:oMath>
          <m:sSub>
            <m:e>
              <m:r>
                <m:t>T</m:t>
              </m:r>
            </m:e>
            <m:sub>
              <m:r>
                <m:rPr>
                  <m:nor/>
                </m:rPr>
                <m:t>payback</m:t>
              </m:r>
            </m:sub>
          </m:sSub>
          <m:r>
            <m:t>=</m:t>
          </m:r>
          <m:f>
            <m:fPr>
              <m:type m:val="bar"/>
            </m:fPr>
            <m:num>
              <m:r>
                <m:t>1</m:t>
              </m:r>
              <m:r>
                <m:t>,</m:t>
              </m:r>
              <m:r>
                <m:t>200</m:t>
              </m:r>
              <m:r>
                <m:t>,</m:t>
              </m:r>
              <m:r>
                <m:t>000</m:t>
              </m:r>
            </m:num>
            <m:den>
              <m:r>
                <m:t>400</m:t>
              </m:r>
              <m:r>
                <m:t>,</m:t>
              </m:r>
              <m:r>
                <m:t>000</m:t>
              </m:r>
            </m:den>
          </m:f>
          <m:r>
            <m:t>=3</m:t>
          </m:r>
          <m:r>
            <m:rPr>
              <m:nor/>
            </m:rPr>
            <m:t> years</m:t>
          </m:r>
        </m:oMath>
      </m:oMathPara>
    </w:p>
    <w:p>
      <w:r>
        <w:t>Simple payback does not account for the time value of money, benefits after the payback period, asset life, or the timing of cash flows. It is a screening metric, not a complete investment appraisal.</w:t>
      </w:r>
    </w:p>
    <w:p>
      <w:pPr>
        <w:pStyle w:val="Heading3"/>
      </w:pPr>
      <w:r>
        <w:t>16.3 Avoid double-counting benefits</w:t>
      </w:r>
    </w:p>
    <w:p>
      <w:r>
        <w:t>For example, if reduced cycle time increases production capacity, do not automatically count the entire theoretical extra production value as a financial benefit.</w:t>
      </w:r>
    </w:p>
    <w:p>
      <w:r>
        <w:t>The business must establish whether the additional capacity will actually be used and whether it generates additional revenue, avoids a planned investment, or produces another measurable economic benefit.</w:t>
      </w:r>
    </w:p>
    <w:p>
      <w:r>
        <w:t>Likewise, labor savings may not represent a cash saving if the workforce remains employed and is simply reassigned to other tasks. The value may still be real, but it must be classified and explained correctly.</w:t>
      </w:r>
    </w:p>
    <w:p>
      <w:pPr>
        <w:pStyle w:val="Heading2"/>
      </w:pPr>
      <w:r>
        <w:t>17. Sensitivity analysis</w:t>
      </w:r>
    </w:p>
    <w:p>
      <w:r>
        <w:t>Sensitivity analysis examines how the estimate changes when key assumptions change.</w:t>
      </w:r>
    </w:p>
    <w:p>
      <w:r>
        <w:t>Useful variables include:</w:t>
      </w:r>
    </w:p>
    <w:p>
      <w:pPr>
        <w:pStyle w:val="ListBullet"/>
      </w:pPr>
      <w:r>
        <w:t>Hardware prices.</w:t>
      </w:r>
    </w:p>
    <w:p>
      <w:pPr>
        <w:pStyle w:val="ListBullet"/>
      </w:pPr>
      <w:r>
        <w:t>Engineering hours.</w:t>
      </w:r>
    </w:p>
    <w:p>
      <w:pPr>
        <w:pStyle w:val="ListBullet"/>
      </w:pPr>
      <w:r>
        <w:t>Commissioning duration.</w:t>
      </w:r>
    </w:p>
    <w:p>
      <w:pPr>
        <w:pStyle w:val="ListBullet"/>
      </w:pPr>
      <w:r>
        <w:t>Production downtime.</w:t>
      </w:r>
    </w:p>
    <w:p>
      <w:pPr>
        <w:pStyle w:val="ListBullet"/>
      </w:pPr>
      <w:r>
        <w:t>Exchange rates.</w:t>
      </w:r>
    </w:p>
    <w:p>
      <w:pPr>
        <w:pStyle w:val="ListBullet"/>
      </w:pPr>
      <w:r>
        <w:t>Supplier lead times.</w:t>
      </w:r>
    </w:p>
    <w:p>
      <w:pPr>
        <w:pStyle w:val="ListBullet"/>
      </w:pPr>
      <w:r>
        <w:t>Scrap reduction.</w:t>
      </w:r>
    </w:p>
    <w:p>
      <w:pPr>
        <w:pStyle w:val="ListBullet"/>
      </w:pPr>
      <w:r>
        <w:t>Annual production volume.</w:t>
      </w:r>
    </w:p>
    <w:p>
      <w:pPr>
        <w:pStyle w:val="ListBullet"/>
      </w:pPr>
      <w:r>
        <w:t>Maintenance cost.</w:t>
      </w:r>
    </w:p>
    <w:p>
      <w:pPr>
        <w:pStyle w:val="ListBullet"/>
      </w:pPr>
      <w:r>
        <w:t>Contingency assumptions.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Scenario</w:t>
            </w:r>
          </w:p>
        </w:tc>
        <w:tc>
          <w:tcPr>
            <w:tcW w:type="dxa" w:w="2700"/>
            <w:shd w:val="clear" w:color="auto" w:fill="EEF2F7"/>
          </w:tcPr>
          <w:p>
            <w:pPr>
              <w:spacing w:after="0" w:before="0" w:line="240" w:lineRule="auto"/>
              <w:jc w:val="left"/>
            </w:pPr>
            <w:r>
              <w:rPr>
                <w:b/>
                <w:color w:val="1A2E4A"/>
              </w:rPr>
              <w:t>Engineering hours</w:t>
            </w:r>
          </w:p>
        </w:tc>
        <w:tc>
          <w:tcPr>
            <w:tcW w:type="dxa" w:w="2700"/>
            <w:shd w:val="clear" w:color="auto" w:fill="EEF2F7"/>
          </w:tcPr>
          <w:p>
            <w:pPr>
              <w:spacing w:after="0" w:before="0" w:line="240" w:lineRule="auto"/>
              <w:jc w:val="left"/>
            </w:pPr>
            <w:r>
              <w:rPr>
                <w:b/>
                <w:color w:val="1A2E4A"/>
              </w:rPr>
              <w:t>Hardware cost</w:t>
            </w:r>
          </w:p>
        </w:tc>
        <w:tc>
          <w:tcPr>
            <w:tcW w:type="dxa" w:w="2700"/>
            <w:shd w:val="clear" w:color="auto" w:fill="EEF2F7"/>
          </w:tcPr>
          <w:p>
            <w:pPr>
              <w:spacing w:after="0" w:before="0" w:line="240" w:lineRule="auto"/>
              <w:jc w:val="left"/>
            </w:pPr>
            <w:r>
              <w:rPr>
                <w:b/>
                <w:color w:val="1A2E4A"/>
              </w:rPr>
              <w:t>Effect</w:t>
            </w:r>
          </w:p>
        </w:tc>
      </w:tr>
      <w:tr>
        <w:tc>
          <w:tcPr>
            <w:tcW w:type="dxa" w:w="2700"/>
          </w:tcPr>
          <w:p>
            <w:pPr>
              <w:spacing w:after="0" w:before="0" w:line="240" w:lineRule="auto"/>
              <w:jc w:val="left"/>
            </w:pPr>
            <w:r>
              <w:t>Optimistic</w:t>
            </w:r>
          </w:p>
        </w:tc>
        <w:tc>
          <w:tcPr>
            <w:tcW w:type="dxa" w:w="2700"/>
          </w:tcPr>
          <w:p>
            <w:pPr>
              <w:spacing w:after="0" w:before="0" w:line="240" w:lineRule="auto"/>
              <w:jc w:val="left"/>
            </w:pPr>
            <w:r>
              <w:t>Lower than expected</w:t>
            </w:r>
          </w:p>
        </w:tc>
        <w:tc>
          <w:tcPr>
            <w:tcW w:type="dxa" w:w="2700"/>
          </w:tcPr>
          <w:p>
            <w:pPr>
              <w:spacing w:after="0" w:before="0" w:line="240" w:lineRule="auto"/>
              <w:jc w:val="left"/>
            </w:pPr>
            <w:r>
              <w:t>Lower than estimate</w:t>
            </w:r>
          </w:p>
        </w:tc>
        <w:tc>
          <w:tcPr>
            <w:tcW w:type="dxa" w:w="2700"/>
          </w:tcPr>
          <w:p>
            <w:pPr>
              <w:spacing w:after="0" w:before="0" w:line="240" w:lineRule="auto"/>
              <w:jc w:val="left"/>
            </w:pPr>
            <w:r>
              <w:t>Lower total cost</w:t>
            </w:r>
          </w:p>
        </w:tc>
      </w:tr>
      <w:tr>
        <w:tc>
          <w:tcPr>
            <w:tcW w:type="dxa" w:w="2700"/>
          </w:tcPr>
          <w:p>
            <w:pPr>
              <w:spacing w:after="0" w:before="0" w:line="240" w:lineRule="auto"/>
              <w:jc w:val="left"/>
            </w:pPr>
            <w:r>
              <w:t>Most likely</w:t>
            </w:r>
          </w:p>
        </w:tc>
        <w:tc>
          <w:tcPr>
            <w:tcW w:type="dxa" w:w="2700"/>
          </w:tcPr>
          <w:p>
            <w:pPr>
              <w:spacing w:after="0" w:before="0" w:line="240" w:lineRule="auto"/>
              <w:jc w:val="left"/>
            </w:pPr>
            <w:r>
              <w:t>Expected hours</w:t>
            </w:r>
          </w:p>
        </w:tc>
        <w:tc>
          <w:tcPr>
            <w:tcW w:type="dxa" w:w="2700"/>
          </w:tcPr>
          <w:p>
            <w:pPr>
              <w:spacing w:after="0" w:before="0" w:line="240" w:lineRule="auto"/>
              <w:jc w:val="left"/>
            </w:pPr>
            <w:r>
              <w:t>Current estimate</w:t>
            </w:r>
          </w:p>
        </w:tc>
        <w:tc>
          <w:tcPr>
            <w:tcW w:type="dxa" w:w="2700"/>
          </w:tcPr>
          <w:p>
            <w:pPr>
              <w:spacing w:after="0" w:before="0" w:line="240" w:lineRule="auto"/>
              <w:jc w:val="left"/>
            </w:pPr>
            <w:r>
              <w:t>Baseline estimate</w:t>
            </w:r>
          </w:p>
        </w:tc>
      </w:tr>
      <w:tr>
        <w:tc>
          <w:tcPr>
            <w:tcW w:type="dxa" w:w="2700"/>
          </w:tcPr>
          <w:p>
            <w:pPr>
              <w:spacing w:after="0" w:before="0" w:line="240" w:lineRule="auto"/>
              <w:jc w:val="left"/>
            </w:pPr>
            <w:r>
              <w:t>Pessimistic</w:t>
            </w:r>
          </w:p>
        </w:tc>
        <w:tc>
          <w:tcPr>
            <w:tcW w:type="dxa" w:w="2700"/>
          </w:tcPr>
          <w:p>
            <w:pPr>
              <w:spacing w:after="0" w:before="0" w:line="240" w:lineRule="auto"/>
              <w:jc w:val="left"/>
            </w:pPr>
            <w:r>
              <w:t>Higher than expected</w:t>
            </w:r>
          </w:p>
        </w:tc>
        <w:tc>
          <w:tcPr>
            <w:tcW w:type="dxa" w:w="2700"/>
          </w:tcPr>
          <w:p>
            <w:pPr>
              <w:spacing w:after="0" w:before="0" w:line="240" w:lineRule="auto"/>
              <w:jc w:val="left"/>
            </w:pPr>
            <w:r>
              <w:t>Higher than estimate</w:t>
            </w:r>
          </w:p>
        </w:tc>
        <w:tc>
          <w:tcPr>
            <w:tcW w:type="dxa" w:w="2700"/>
          </w:tcPr>
          <w:p>
            <w:pPr>
              <w:spacing w:after="0" w:before="0" w:line="240" w:lineRule="auto"/>
              <w:jc w:val="left"/>
            </w:pPr>
            <w:r>
              <w:t>Higher total cost</w:t>
            </w:r>
          </w:p>
        </w:tc>
      </w:tr>
    </w:tbl>
    <w:p/>
    <w:p>
      <w:r>
        <w:t>For a retrofit, engineering and commissioning hours can be particularly sensitive to the quality of the existing drawings, the availability of backups, and undocumented PLC or CNC behavior.</w:t>
      </w:r>
    </w:p>
    <w:p>
      <w:r>
        <w:t>A useful sensitivity analysis identifies the assumptions with the greatest financial impact so that the project team can prioritize validation.</w:t>
      </w:r>
    </w:p>
    <w:p>
      <w:pPr>
        <w:pStyle w:val="Heading2"/>
      </w:pPr>
      <w:r>
        <w:t>18. Cost risk register</w:t>
      </w:r>
    </w:p>
    <w:p>
      <w:r>
        <w:t>A cost risk register connects uncertainty to a possible financial or schedule impact.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Potential cost effect</w:t>
            </w:r>
          </w:p>
        </w:tc>
        <w:tc>
          <w:tcPr>
            <w:tcW w:type="dxa" w:w="3600"/>
            <w:shd w:val="clear" w:color="auto" w:fill="EEF2F7"/>
          </w:tcPr>
          <w:p>
            <w:pPr>
              <w:spacing w:after="0" w:before="0" w:line="240" w:lineRule="auto"/>
              <w:jc w:val="left"/>
            </w:pPr>
            <w:r>
              <w:rPr>
                <w:b/>
                <w:color w:val="1A2E4A"/>
              </w:rPr>
              <w:t>Mitigation</w:t>
            </w:r>
          </w:p>
        </w:tc>
      </w:tr>
      <w:tr>
        <w:tc>
          <w:tcPr>
            <w:tcW w:type="dxa" w:w="3600"/>
          </w:tcPr>
          <w:p>
            <w:pPr>
              <w:spacing w:after="0" w:before="0" w:line="240" w:lineRule="auto"/>
              <w:jc w:val="left"/>
            </w:pPr>
            <w:r>
              <w:t>Obsolete PLC hardware</w:t>
            </w:r>
          </w:p>
        </w:tc>
        <w:tc>
          <w:tcPr>
            <w:tcW w:type="dxa" w:w="3600"/>
          </w:tcPr>
          <w:p>
            <w:pPr>
              <w:spacing w:after="0" w:before="0" w:line="240" w:lineRule="auto"/>
              <w:jc w:val="left"/>
            </w:pPr>
            <w:r>
              <w:t>Replacement or migration cost</w:t>
            </w:r>
          </w:p>
        </w:tc>
        <w:tc>
          <w:tcPr>
            <w:tcW w:type="dxa" w:w="3600"/>
          </w:tcPr>
          <w:p>
            <w:pPr>
              <w:spacing w:after="0" w:before="0" w:line="240" w:lineRule="auto"/>
              <w:jc w:val="left"/>
            </w:pPr>
            <w:r>
              <w:t>Verify lifecycle and successor options early</w:t>
            </w:r>
          </w:p>
        </w:tc>
      </w:tr>
      <w:tr>
        <w:tc>
          <w:tcPr>
            <w:tcW w:type="dxa" w:w="3600"/>
          </w:tcPr>
          <w:p>
            <w:pPr>
              <w:spacing w:after="0" w:before="0" w:line="240" w:lineRule="auto"/>
              <w:jc w:val="left"/>
            </w:pPr>
            <w:r>
              <w:t>Incomplete wiring drawings</w:t>
            </w:r>
          </w:p>
        </w:tc>
        <w:tc>
          <w:tcPr>
            <w:tcW w:type="dxa" w:w="3600"/>
          </w:tcPr>
          <w:p>
            <w:pPr>
              <w:spacing w:after="0" w:before="0" w:line="240" w:lineRule="auto"/>
              <w:jc w:val="left"/>
            </w:pPr>
            <w:r>
              <w:t>Additional survey and troubleshooting hours</w:t>
            </w:r>
          </w:p>
        </w:tc>
        <w:tc>
          <w:tcPr>
            <w:tcW w:type="dxa" w:w="3600"/>
          </w:tcPr>
          <w:p>
            <w:pPr>
              <w:spacing w:after="0" w:before="0" w:line="240" w:lineRule="auto"/>
              <w:jc w:val="left"/>
            </w:pPr>
            <w:r>
              <w:t>Perform site verification</w:t>
            </w:r>
          </w:p>
        </w:tc>
      </w:tr>
      <w:tr>
        <w:tc>
          <w:tcPr>
            <w:tcW w:type="dxa" w:w="3600"/>
          </w:tcPr>
          <w:p>
            <w:pPr>
              <w:spacing w:after="0" w:before="0" w:line="240" w:lineRule="auto"/>
              <w:jc w:val="left"/>
            </w:pPr>
            <w:r>
              <w:t>Unconfirmed protocol compatibility</w:t>
            </w:r>
          </w:p>
        </w:tc>
        <w:tc>
          <w:tcPr>
            <w:tcW w:type="dxa" w:w="3600"/>
          </w:tcPr>
          <w:p>
            <w:pPr>
              <w:spacing w:after="0" w:before="0" w:line="240" w:lineRule="auto"/>
              <w:jc w:val="left"/>
            </w:pPr>
            <w:r>
              <w:t>Gateway or redesign cost</w:t>
            </w:r>
          </w:p>
        </w:tc>
        <w:tc>
          <w:tcPr>
            <w:tcW w:type="dxa" w:w="3600"/>
          </w:tcPr>
          <w:p>
            <w:pPr>
              <w:spacing w:after="0" w:before="0" w:line="240" w:lineRule="auto"/>
              <w:jc w:val="left"/>
            </w:pPr>
            <w:r>
              <w:t>Test the interface before design freeze</w:t>
            </w:r>
          </w:p>
        </w:tc>
      </w:tr>
      <w:tr>
        <w:tc>
          <w:tcPr>
            <w:tcW w:type="dxa" w:w="3600"/>
          </w:tcPr>
          <w:p>
            <w:pPr>
              <w:spacing w:after="0" w:before="0" w:line="240" w:lineRule="auto"/>
              <w:jc w:val="left"/>
            </w:pPr>
            <w:r>
              <w:t>Uncertain cable routes</w:t>
            </w:r>
          </w:p>
        </w:tc>
        <w:tc>
          <w:tcPr>
            <w:tcW w:type="dxa" w:w="3600"/>
          </w:tcPr>
          <w:p>
            <w:pPr>
              <w:spacing w:after="0" w:before="0" w:line="240" w:lineRule="auto"/>
              <w:jc w:val="left"/>
            </w:pPr>
            <w:r>
              <w:t>Additional cable and installation cost</w:t>
            </w:r>
          </w:p>
        </w:tc>
        <w:tc>
          <w:tcPr>
            <w:tcW w:type="dxa" w:w="3600"/>
          </w:tcPr>
          <w:p>
            <w:pPr>
              <w:spacing w:after="0" w:before="0" w:line="240" w:lineRule="auto"/>
              <w:jc w:val="left"/>
            </w:pPr>
            <w:r>
              <w:t>Survey and measure routes</w:t>
            </w:r>
          </w:p>
        </w:tc>
      </w:tr>
      <w:tr>
        <w:tc>
          <w:tcPr>
            <w:tcW w:type="dxa" w:w="3600"/>
          </w:tcPr>
          <w:p>
            <w:pPr>
              <w:spacing w:after="0" w:before="0" w:line="240" w:lineRule="auto"/>
              <w:jc w:val="left"/>
            </w:pPr>
            <w:r>
              <w:t>Safety design changes</w:t>
            </w:r>
          </w:p>
        </w:tc>
        <w:tc>
          <w:tcPr>
            <w:tcW w:type="dxa" w:w="3600"/>
          </w:tcPr>
          <w:p>
            <w:pPr>
              <w:spacing w:after="0" w:before="0" w:line="240" w:lineRule="auto"/>
              <w:jc w:val="left"/>
            </w:pPr>
            <w:r>
              <w:t>Additional hardware and validation</w:t>
            </w:r>
          </w:p>
        </w:tc>
        <w:tc>
          <w:tcPr>
            <w:tcW w:type="dxa" w:w="3600"/>
          </w:tcPr>
          <w:p>
            <w:pPr>
              <w:spacing w:after="0" w:before="0" w:line="240" w:lineRule="auto"/>
              <w:jc w:val="left"/>
            </w:pPr>
            <w:r>
              <w:t>Complete risk assessment early</w:t>
            </w:r>
          </w:p>
        </w:tc>
      </w:tr>
      <w:tr>
        <w:tc>
          <w:tcPr>
            <w:tcW w:type="dxa" w:w="3600"/>
          </w:tcPr>
          <w:p>
            <w:pPr>
              <w:spacing w:after="0" w:before="0" w:line="240" w:lineRule="auto"/>
              <w:jc w:val="left"/>
            </w:pPr>
            <w:r>
              <w:t>Long-lead robot component</w:t>
            </w:r>
          </w:p>
        </w:tc>
        <w:tc>
          <w:tcPr>
            <w:tcW w:type="dxa" w:w="3600"/>
          </w:tcPr>
          <w:p>
            <w:pPr>
              <w:spacing w:after="0" w:before="0" w:line="240" w:lineRule="auto"/>
              <w:jc w:val="left"/>
            </w:pPr>
            <w:r>
              <w:t>Expediting or schedule impact</w:t>
            </w:r>
          </w:p>
        </w:tc>
        <w:tc>
          <w:tcPr>
            <w:tcW w:type="dxa" w:w="3600"/>
          </w:tcPr>
          <w:p>
            <w:pPr>
              <w:spacing w:after="0" w:before="0" w:line="240" w:lineRule="auto"/>
              <w:jc w:val="left"/>
            </w:pPr>
            <w:r>
              <w:t>Confirm supplier lead time</w:t>
            </w:r>
          </w:p>
        </w:tc>
      </w:tr>
      <w:tr>
        <w:tc>
          <w:tcPr>
            <w:tcW w:type="dxa" w:w="3600"/>
          </w:tcPr>
          <w:p>
            <w:pPr>
              <w:spacing w:after="0" w:before="0" w:line="240" w:lineRule="auto"/>
              <w:jc w:val="left"/>
            </w:pPr>
            <w:r>
              <w:t>Production shutdown restriction</w:t>
            </w:r>
          </w:p>
        </w:tc>
        <w:tc>
          <w:tcPr>
            <w:tcW w:type="dxa" w:w="3600"/>
          </w:tcPr>
          <w:p>
            <w:pPr>
              <w:spacing w:after="0" w:before="0" w:line="240" w:lineRule="auto"/>
              <w:jc w:val="left"/>
            </w:pPr>
            <w:r>
              <w:t>Overtime and extra commissioning cost</w:t>
            </w:r>
          </w:p>
        </w:tc>
        <w:tc>
          <w:tcPr>
            <w:tcW w:type="dxa" w:w="3600"/>
          </w:tcPr>
          <w:p>
            <w:pPr>
              <w:spacing w:after="0" w:before="0" w:line="240" w:lineRule="auto"/>
              <w:jc w:val="left"/>
            </w:pPr>
            <w:r>
              <w:t>Plan and approve shutdown windows</w:t>
            </w:r>
          </w:p>
        </w:tc>
      </w:tr>
      <w:tr>
        <w:tc>
          <w:tcPr>
            <w:tcW w:type="dxa" w:w="3600"/>
          </w:tcPr>
          <w:p>
            <w:pPr>
              <w:spacing w:after="0" w:before="0" w:line="240" w:lineRule="auto"/>
              <w:jc w:val="left"/>
            </w:pPr>
            <w:r>
              <w:t>Software license omission</w:t>
            </w:r>
          </w:p>
        </w:tc>
        <w:tc>
          <w:tcPr>
            <w:tcW w:type="dxa" w:w="3600"/>
          </w:tcPr>
          <w:p>
            <w:pPr>
              <w:spacing w:after="0" w:before="0" w:line="240" w:lineRule="auto"/>
              <w:jc w:val="left"/>
            </w:pPr>
            <w:r>
              <w:t>Additional procurement cost</w:t>
            </w:r>
          </w:p>
        </w:tc>
        <w:tc>
          <w:tcPr>
            <w:tcW w:type="dxa" w:w="3600"/>
          </w:tcPr>
          <w:p>
            <w:pPr>
              <w:spacing w:after="0" w:before="0" w:line="240" w:lineRule="auto"/>
              <w:jc w:val="left"/>
            </w:pPr>
            <w:r>
              <w:t>Verify license scope and quantities</w:t>
            </w:r>
          </w:p>
        </w:tc>
      </w:tr>
    </w:tbl>
    <w:p/>
    <w:p>
      <w:r>
        <w:t>A risk's financial exposure can be estimated using probability and impact:</w:t>
      </w:r>
    </w:p>
    <w:p>
      <w:pPr>
        <w:spacing w:before="120" w:after="160"/>
        <w:jc w:val="center"/>
      </w:pPr>
      <m:oMathPara>
        <m:oMath>
          <m:sSub>
            <m:e>
              <m:r>
                <m:t>E</m:t>
              </m:r>
            </m:e>
            <m:sub>
              <m:r>
                <m:rPr>
                  <m:nor/>
                </m:rPr>
                <m:t>risk</m:t>
              </m:r>
            </m:sub>
          </m:sSub>
          <m:r>
            <m:t>=p×I</m:t>
          </m:r>
        </m:oMath>
      </m:oMathPara>
    </w:p>
    <w:p>
      <w:r>
        <w:t xml:space="preserve">Where </w:t>
      </w:r>
      <m:oMath>
        <m:r>
          <m:t>p</m:t>
        </m:r>
      </m:oMath>
      <w:r>
        <w:t xml:space="preserve"> is the probability expressed as a fraction and </w:t>
      </w:r>
      <m:oMath>
        <m:r>
          <m:t>I</m:t>
        </m:r>
      </m:oMath>
      <w:r>
        <w:t xml:space="preserve"> is the estimated financial impact.</w:t>
      </w:r>
    </w:p>
    <w:p>
      <w:r>
        <w:t>For a risk with a 30% probability and a potential impact of ₹200,000:</w:t>
      </w:r>
    </w:p>
    <w:p>
      <w:pPr>
        <w:spacing w:before="120" w:after="160"/>
        <w:jc w:val="center"/>
      </w:pPr>
      <m:oMathPara>
        <m:oMath>
          <m:sSub>
            <m:e>
              <m:r>
                <m:t>E</m:t>
              </m:r>
            </m:e>
            <m:sub>
              <m:r>
                <m:rPr>
                  <m:nor/>
                </m:rPr>
                <m:t>risk</m:t>
              </m:r>
            </m:sub>
          </m:sSub>
          <m:r>
            <m:t>=0.30×200</m:t>
          </m:r>
          <m:r>
            <m:t>,</m:t>
          </m:r>
          <m:r>
            <m:t>000=</m:t>
          </m:r>
          <m:r>
            <m:rPr>
              <m:nor/>
            </m:rPr>
            <m:t>₹</m:t>
          </m:r>
          <m:r>
            <m:t>60</m:t>
          </m:r>
          <m:r>
            <m:t>,</m:t>
          </m:r>
          <m:r>
            <m:t>000</m:t>
          </m:r>
        </m:oMath>
      </m:oMathPara>
    </w:p>
    <w:p>
      <w:r>
        <w:t>This is an expected-value estimate. It does not describe the full range of possible outcomes and should not be treated as a guaranteed loss or automatically added to contingency without considering other risk estimates.</w:t>
      </w:r>
    </w:p>
    <w:p>
      <w:pPr>
        <w:pStyle w:val="Heading2"/>
      </w:pPr>
      <w:r>
        <w:t>19. Cost baseline and cost control</w:t>
      </w:r>
    </w:p>
    <w:p>
      <w:r>
        <w:t>Once the project estimate is approved, it becomes a reference for tracking expenditure and forecast cost.</w:t>
      </w:r>
    </w:p>
    <w:p>
      <w:r>
        <w:t>Important measures include:</w:t>
      </w:r>
    </w:p>
    <w:p>
      <w:pPr>
        <w:pStyle w:val="ListBullet"/>
      </w:pPr>
      <w:r>
        <w:t>Approved baseline.</w:t>
      </w:r>
    </w:p>
    <w:p>
      <w:pPr>
        <w:pStyle w:val="ListBullet"/>
      </w:pPr>
      <w:r>
        <w:t>Actual cost to date.</w:t>
      </w:r>
    </w:p>
    <w:p>
      <w:pPr>
        <w:pStyle w:val="ListBullet"/>
      </w:pPr>
      <w:r>
        <w:t>Committed cost from purchase orders and contracts.</w:t>
      </w:r>
    </w:p>
    <w:p>
      <w:pPr>
        <w:pStyle w:val="ListBullet"/>
      </w:pPr>
      <w:r>
        <w:t>Remaining forecast cost.</w:t>
      </w:r>
    </w:p>
    <w:p>
      <w:pPr>
        <w:pStyle w:val="ListBullet"/>
      </w:pPr>
      <w:r>
        <w:t>Estimated cost at completion.</w:t>
      </w:r>
    </w:p>
    <w:p>
      <w:pPr>
        <w:pStyle w:val="ListBullet"/>
      </w:pPr>
      <w:r>
        <w:t>Cost variance.</w:t>
      </w:r>
    </w:p>
    <w:p>
      <w:pPr>
        <w:pStyle w:val="ListBullet"/>
      </w:pPr>
      <w:r>
        <w:t>Approved changes.</w:t>
      </w:r>
    </w:p>
    <w:p>
      <w:pPr>
        <w:pStyle w:val="ListBullet"/>
      </w:pPr>
      <w:r>
        <w:t>Unapproved potential changes.</w:t>
      </w:r>
    </w:p>
    <w:p>
      <w:r>
        <w:t>A simple cost variance definition is:</w:t>
      </w:r>
    </w:p>
    <w:p>
      <w:pPr>
        <w:spacing w:before="120" w:after="160"/>
        <w:jc w:val="center"/>
      </w:pPr>
      <m:oMathPara>
        <m:oMath>
          <m:r>
            <m:t>CV=</m:t>
          </m:r>
          <m:sSub>
            <m:e>
              <m:r>
                <m:t>C</m:t>
              </m:r>
            </m:e>
            <m:sub>
              <m:r>
                <m:rPr>
                  <m:nor/>
                </m:rPr>
                <m:t>baseline</m:t>
              </m:r>
            </m:sub>
          </m:sSub>
          <m:r>
            <m:t>−</m:t>
          </m:r>
          <m:sSub>
            <m:e>
              <m:r>
                <m:t>C</m:t>
              </m:r>
            </m:e>
            <m:sub>
              <m:r>
                <m:rPr>
                  <m:nor/>
                </m:rPr>
                <m:t>actual</m:t>
              </m:r>
            </m:sub>
          </m:sSub>
        </m:oMath>
      </m:oMathPara>
    </w:p>
    <w:p>
      <w:r>
        <w:t>Under this convention, a positive result indicates actual spending is below the baseline, while a negative result indicates an overrun. The organization should define the convention consistently.</w:t>
      </w:r>
    </w:p>
    <w:p>
      <w:r>
        <w:t>Forecast cost at completion can be estimated as:</w:t>
      </w:r>
    </w:p>
    <w:p>
      <w:pPr>
        <w:spacing w:before="120" w:after="160"/>
        <w:jc w:val="center"/>
      </w:pPr>
      <m:oMathPara>
        <m:oMath>
          <m:r>
            <m:t>EAC=</m:t>
          </m:r>
          <m:sSub>
            <m:e>
              <m:r>
                <m:t>C</m:t>
              </m:r>
            </m:e>
            <m:sub>
              <m:r>
                <m:rPr>
                  <m:nor/>
                </m:rPr>
                <m:t>actual</m:t>
              </m:r>
            </m:sub>
          </m:sSub>
          <m:r>
            <m:t>+</m:t>
          </m:r>
          <m:sSub>
            <m:e>
              <m:r>
                <m:t>C</m:t>
              </m:r>
            </m:e>
            <m:sub>
              <m:r>
                <m:rPr>
                  <m:nor/>
                </m:rPr>
                <m:t>remaining forecast</m:t>
              </m:r>
            </m:sub>
          </m:sSub>
        </m:oMath>
      </m:oMathPara>
    </w:p>
    <w:p>
      <w:r>
        <w:t>For example, if ₹600,000 has been spent and the current forecast for remaining work is ₹250,000:</w:t>
      </w:r>
    </w:p>
    <w:p>
      <w:pPr>
        <w:spacing w:before="120" w:after="160"/>
        <w:jc w:val="center"/>
      </w:pPr>
      <m:oMathPara>
        <m:oMath>
          <m:r>
            <m:t>EAC=600</m:t>
          </m:r>
          <m:r>
            <m:t>,</m:t>
          </m:r>
          <m:r>
            <m:t>000+250</m:t>
          </m:r>
          <m:r>
            <m:t>,</m:t>
          </m:r>
          <m:r>
            <m:t>000=</m:t>
          </m:r>
          <m:r>
            <m:rPr>
              <m:nor/>
            </m:rPr>
            <m:t>₹</m:t>
          </m:r>
          <m:r>
            <m:t>850</m:t>
          </m:r>
          <m:r>
            <m:t>,</m:t>
          </m:r>
          <m:r>
            <m:t>000</m:t>
          </m:r>
        </m:oMath>
      </m:oMathPara>
    </w:p>
    <w:p>
      <w:r>
        <w:t>A project can be under budget at the midpoint but still forecast an overrun if significant procurement, installation, or commissioning costs remain.</w:t>
      </w:r>
    </w:p>
    <w:p>
      <w:pPr>
        <w:pStyle w:val="Heading3"/>
      </w:pPr>
      <w:r>
        <w:t>19.1 Scope change control</w:t>
      </w:r>
    </w:p>
    <w:p>
      <w:r>
        <w:t>Any change to the design or scope should be evaluated for its effect on:</w:t>
      </w:r>
    </w:p>
    <w:p>
      <w:pPr>
        <w:pStyle w:val="ListBullet"/>
      </w:pPr>
      <w:r>
        <w:t>Material quantities.</w:t>
      </w:r>
    </w:p>
    <w:p>
      <w:pPr>
        <w:pStyle w:val="ListBullet"/>
      </w:pPr>
      <w:r>
        <w:t>Engineering hours.</w:t>
      </w:r>
    </w:p>
    <w:p>
      <w:pPr>
        <w:pStyle w:val="ListBullet"/>
      </w:pPr>
      <w:r>
        <w:t>Software licenses.</w:t>
      </w:r>
    </w:p>
    <w:p>
      <w:pPr>
        <w:pStyle w:val="ListBullet"/>
      </w:pPr>
      <w:r>
        <w:t>Supplier quotations.</w:t>
      </w:r>
    </w:p>
    <w:p>
      <w:pPr>
        <w:pStyle w:val="ListBullet"/>
      </w:pPr>
      <w:r>
        <w:t>Installation labor.</w:t>
      </w:r>
    </w:p>
    <w:p>
      <w:pPr>
        <w:pStyle w:val="ListBullet"/>
      </w:pPr>
      <w:r>
        <w:t>Testing and commissioning.</w:t>
      </w:r>
    </w:p>
    <w:p>
      <w:pPr>
        <w:pStyle w:val="ListBullet"/>
      </w:pPr>
      <w:r>
        <w:t>Production downtime.</w:t>
      </w:r>
    </w:p>
    <w:p>
      <w:pPr>
        <w:pStyle w:val="ListBullet"/>
      </w:pPr>
      <w:r>
        <w:t>Schedule and delivery commitments.</w:t>
      </w:r>
    </w:p>
    <w:p>
      <w:pPr>
        <w:pStyle w:val="ListBullet"/>
      </w:pPr>
      <w:r>
        <w:t>Safety validation.</w:t>
      </w:r>
    </w:p>
    <w:p>
      <w:pPr>
        <w:pStyle w:val="ListBullet"/>
      </w:pPr>
      <w:r>
        <w:t>Warranty and support obligations.</w:t>
      </w:r>
    </w:p>
    <w:p>
      <w:r>
        <w:t>The change should be approved under the project's control process before it is treated as part of the authorized baseline.</w:t>
      </w:r>
    </w:p>
    <w:p>
      <w:pPr>
        <w:pStyle w:val="Heading2"/>
      </w:pPr>
      <w:r>
        <w:t>20. Practical example: industrial retrofit costing</w:t>
      </w:r>
    </w:p>
    <w:p>
      <w:r>
        <w:t>Consider a retrofit involving a new PLC, HMI, selected sensors, and integration with an existing drive and robot.</w:t>
      </w:r>
    </w:p>
    <w:p>
      <w:r>
        <w:t>The estimate should separate:</w:t>
      </w:r>
    </w:p>
    <w:p>
      <w:pPr>
        <w:tabs>
          <w:tab w:pos="403" w:val="left"/>
        </w:tabs>
        <w:spacing w:after="40" w:line="276" w:lineRule="auto"/>
        <w:ind w:left="403" w:hanging="403"/>
        <w:jc w:val="left"/>
      </w:pPr>
      <w:r>
        <w:rPr>
          <w:color w:val="1A2E4A"/>
        </w:rPr>
        <w:t>1.</w:t>
        <w:tab/>
      </w:r>
      <w:r>
        <w:t>New equipment and material.</w:t>
      </w:r>
    </w:p>
    <w:p>
      <w:pPr>
        <w:tabs>
          <w:tab w:pos="403" w:val="left"/>
        </w:tabs>
        <w:spacing w:after="40" w:line="276" w:lineRule="auto"/>
        <w:ind w:left="403" w:hanging="403"/>
        <w:jc w:val="left"/>
      </w:pPr>
      <w:r>
        <w:rPr>
          <w:color w:val="1A2E4A"/>
        </w:rPr>
        <w:t>2.</w:t>
        <w:tab/>
      </w:r>
      <w:r>
        <w:t>Reuse assessment and any refurbishment.</w:t>
      </w:r>
    </w:p>
    <w:p>
      <w:pPr>
        <w:tabs>
          <w:tab w:pos="403" w:val="left"/>
        </w:tabs>
        <w:spacing w:after="40" w:line="276" w:lineRule="auto"/>
        <w:ind w:left="403" w:hanging="403"/>
        <w:jc w:val="left"/>
      </w:pPr>
      <w:r>
        <w:rPr>
          <w:color w:val="1A2E4A"/>
        </w:rPr>
        <w:t>3.</w:t>
        <w:tab/>
      </w:r>
      <w:r>
        <w:t>PLC programming and I/O migration.</w:t>
      </w:r>
    </w:p>
    <w:p>
      <w:pPr>
        <w:tabs>
          <w:tab w:pos="403" w:val="left"/>
        </w:tabs>
        <w:spacing w:after="40" w:line="276" w:lineRule="auto"/>
        <w:ind w:left="403" w:hanging="403"/>
        <w:jc w:val="left"/>
      </w:pPr>
      <w:r>
        <w:rPr>
          <w:color w:val="1A2E4A"/>
        </w:rPr>
        <w:t>4.</w:t>
        <w:tab/>
      </w:r>
      <w:r>
        <w:t>HMI modification.</w:t>
      </w:r>
    </w:p>
    <w:p>
      <w:pPr>
        <w:tabs>
          <w:tab w:pos="403" w:val="left"/>
        </w:tabs>
        <w:spacing w:after="40" w:line="276" w:lineRule="auto"/>
        <w:ind w:left="403" w:hanging="403"/>
        <w:jc w:val="left"/>
      </w:pPr>
      <w:r>
        <w:rPr>
          <w:color w:val="1A2E4A"/>
        </w:rPr>
        <w:t>5.</w:t>
        <w:tab/>
      </w:r>
      <w:r>
        <w:t>Drive and robot interface testing.</w:t>
      </w:r>
    </w:p>
    <w:p>
      <w:pPr>
        <w:tabs>
          <w:tab w:pos="403" w:val="left"/>
        </w:tabs>
        <w:spacing w:after="40" w:line="276" w:lineRule="auto"/>
        <w:ind w:left="403" w:hanging="403"/>
        <w:jc w:val="left"/>
      </w:pPr>
      <w:r>
        <w:rPr>
          <w:color w:val="1A2E4A"/>
        </w:rPr>
        <w:t>6.</w:t>
        <w:tab/>
      </w:r>
      <w:r>
        <w:t>Network changes.</w:t>
      </w:r>
    </w:p>
    <w:p>
      <w:pPr>
        <w:tabs>
          <w:tab w:pos="403" w:val="left"/>
        </w:tabs>
        <w:spacing w:after="40" w:line="276" w:lineRule="auto"/>
        <w:ind w:left="403" w:hanging="403"/>
        <w:jc w:val="left"/>
      </w:pPr>
      <w:r>
        <w:rPr>
          <w:color w:val="1A2E4A"/>
        </w:rPr>
        <w:t>7.</w:t>
        <w:tab/>
      </w:r>
      <w:r>
        <w:t>Panel modification and wiring.</w:t>
      </w:r>
    </w:p>
    <w:p>
      <w:pPr>
        <w:tabs>
          <w:tab w:pos="403" w:val="left"/>
        </w:tabs>
        <w:spacing w:after="40" w:line="276" w:lineRule="auto"/>
        <w:ind w:left="403" w:hanging="403"/>
        <w:jc w:val="left"/>
      </w:pPr>
      <w:r>
        <w:rPr>
          <w:color w:val="1A2E4A"/>
        </w:rPr>
        <w:t>8.</w:t>
        <w:tab/>
      </w:r>
      <w:r>
        <w:t>Safety assessment and validation work.</w:t>
      </w:r>
    </w:p>
    <w:p>
      <w:pPr>
        <w:tabs>
          <w:tab w:pos="403" w:val="left"/>
        </w:tabs>
        <w:spacing w:after="40" w:line="276" w:lineRule="auto"/>
        <w:ind w:left="403" w:hanging="403"/>
        <w:jc w:val="left"/>
      </w:pPr>
      <w:r>
        <w:rPr>
          <w:color w:val="1A2E4A"/>
        </w:rPr>
        <w:t>9.</w:t>
        <w:tab/>
      </w:r>
      <w:r>
        <w:t>Backup and rollback preparation.</w:t>
      </w:r>
    </w:p>
    <w:p>
      <w:pPr>
        <w:tabs>
          <w:tab w:pos="403" w:val="left"/>
        </w:tabs>
        <w:spacing w:after="40" w:line="276" w:lineRule="auto"/>
        <w:ind w:left="403" w:hanging="403"/>
        <w:jc w:val="left"/>
      </w:pPr>
      <w:r>
        <w:rPr>
          <w:color w:val="1A2E4A"/>
        </w:rPr>
        <w:t>10.</w:t>
        <w:tab/>
      </w:r>
      <w:r>
        <w:t>Shutdown, installation, and commissioning.</w:t>
      </w:r>
    </w:p>
    <w:p>
      <w:pPr>
        <w:tabs>
          <w:tab w:pos="403" w:val="left"/>
        </w:tabs>
        <w:spacing w:after="40" w:line="276" w:lineRule="auto"/>
        <w:ind w:left="403" w:hanging="403"/>
        <w:jc w:val="left"/>
      </w:pPr>
      <w:r>
        <w:rPr>
          <w:color w:val="1A2E4A"/>
        </w:rPr>
        <w:t>11.</w:t>
        <w:tab/>
      </w:r>
      <w:r>
        <w:t>Production trial and acceptance testing.</w:t>
      </w:r>
    </w:p>
    <w:p>
      <w:pPr>
        <w:tabs>
          <w:tab w:pos="403" w:val="left"/>
        </w:tabs>
        <w:spacing w:after="40" w:line="276" w:lineRule="auto"/>
        <w:ind w:left="403" w:hanging="403"/>
        <w:jc w:val="left"/>
      </w:pPr>
      <w:r>
        <w:rPr>
          <w:color w:val="1A2E4A"/>
        </w:rPr>
        <w:t>12.</w:t>
        <w:tab/>
      </w:r>
      <w:r>
        <w:t>Documentation, training, and handover.</w:t>
      </w:r>
    </w:p>
    <w:p>
      <w:pPr>
        <w:tabs>
          <w:tab w:pos="403" w:val="left"/>
        </w:tabs>
        <w:spacing w:after="40" w:line="276" w:lineRule="auto"/>
        <w:ind w:left="403" w:hanging="403"/>
        <w:jc w:val="left"/>
      </w:pPr>
      <w:r>
        <w:rPr>
          <w:color w:val="1A2E4A"/>
        </w:rPr>
        <w:t>13.</w:t>
        <w:tab/>
      </w:r>
      <w:r>
        <w:t>Contingency for documented residual uncertainty.</w:t>
      </w:r>
    </w:p>
    <w:p>
      <w:r>
        <w:t>The existing drive and robot may reduce the purchase cost, but they can increase engineering effort if their protocols, firmware, interface behavior, or documentation are poorly understood.</w:t>
      </w:r>
    </w:p>
    <w:p>
      <w:r>
        <w:t>The estimate should compare at least two credible options where practical:</w:t>
      </w:r>
    </w:p>
    <w:p>
      <w:pPr>
        <w:pStyle w:val="ListBullet"/>
      </w:pPr>
      <w:r>
        <w:t>Retain and integrate existing equipment.</w:t>
      </w:r>
    </w:p>
    <w:p>
      <w:pPr>
        <w:pStyle w:val="ListBullet"/>
      </w:pPr>
      <w:r>
        <w:t>Replace the existing equipment with a more standardized configuration.</w:t>
      </w:r>
    </w:p>
    <w:p>
      <w:r>
        <w:t>The cheaper option should not be selected until compatibility, downtime, reliability, lifecycle support, and future maintenance have been considered.</w:t>
      </w:r>
    </w:p>
    <w:p>
      <w:pPr>
        <w:pStyle w:val="Heading2"/>
      </w:pPr>
      <w:r>
        <w:t>21. Costing with Excel and SAP</w:t>
      </w:r>
    </w:p>
    <w:p>
      <w:pPr>
        <w:pStyle w:val="Heading3"/>
      </w:pPr>
      <w:r>
        <w:t>21.1 Excel cost model</w:t>
      </w:r>
    </w:p>
    <w:p>
      <w:r>
        <w:t>An Excel estimate can contain separate sheets for:</w:t>
      </w:r>
    </w:p>
    <w:p>
      <w:pPr>
        <w:pStyle w:val="ListBullet"/>
      </w:pPr>
      <w:r>
        <w:t>BOM and material costs.</w:t>
      </w:r>
    </w:p>
    <w:p>
      <w:pPr>
        <w:pStyle w:val="ListBullet"/>
      </w:pPr>
      <w:r>
        <w:t>Engineering hours and labor rates.</w:t>
      </w:r>
    </w:p>
    <w:p>
      <w:pPr>
        <w:pStyle w:val="ListBullet"/>
      </w:pPr>
      <w:r>
        <w:t>Fabrication and installation.</w:t>
      </w:r>
    </w:p>
    <w:p>
      <w:pPr>
        <w:pStyle w:val="ListBullet"/>
      </w:pPr>
      <w:r>
        <w:t>Software licenses.</w:t>
      </w:r>
    </w:p>
    <w:p>
      <w:pPr>
        <w:pStyle w:val="ListBullet"/>
      </w:pPr>
      <w:r>
        <w:t>Supplier quotations.</w:t>
      </w:r>
    </w:p>
    <w:p>
      <w:pPr>
        <w:pStyle w:val="ListBullet"/>
      </w:pPr>
      <w:r>
        <w:t>Risk and contingency.</w:t>
      </w:r>
    </w:p>
    <w:p>
      <w:pPr>
        <w:pStyle w:val="ListBullet"/>
      </w:pPr>
      <w:r>
        <w:t>Cost summary.</w:t>
      </w:r>
    </w:p>
    <w:p>
      <w:pPr>
        <w:pStyle w:val="ListBullet"/>
      </w:pPr>
      <w:r>
        <w:t>Assumptions and exclusions.</w:t>
      </w:r>
    </w:p>
    <w:p>
      <w:pPr>
        <w:pStyle w:val="ListBullet"/>
      </w:pPr>
      <w:r>
        <w:t>Revision history.</w:t>
      </w:r>
    </w:p>
    <w:p>
      <w:r>
        <w:t>Useful controls include:</w:t>
      </w:r>
    </w:p>
    <w:p>
      <w:pPr>
        <w:pStyle w:val="ListBullet"/>
      </w:pPr>
      <w:r>
        <w:t>Structured tables.</w:t>
      </w:r>
    </w:p>
    <w:p>
      <w:pPr>
        <w:pStyle w:val="ListBullet"/>
      </w:pPr>
      <w:r>
        <w:t>Formula-driven extended costs.</w:t>
      </w:r>
    </w:p>
    <w:p>
      <w:pPr>
        <w:pStyle w:val="ListBullet"/>
      </w:pPr>
      <w:r>
        <w:t>Data validation for units and categories.</w:t>
      </w:r>
    </w:p>
    <w:p>
      <w:pPr>
        <w:pStyle w:val="ListBullet"/>
      </w:pPr>
      <w:r>
        <w:t>Duplicate-item checks.</w:t>
      </w:r>
    </w:p>
    <w:p>
      <w:pPr>
        <w:pStyle w:val="ListBullet"/>
      </w:pPr>
      <w:r>
        <w:t>Currency and quote-date fields.</w:t>
      </w:r>
    </w:p>
    <w:p>
      <w:pPr>
        <w:pStyle w:val="ListBullet"/>
      </w:pPr>
      <w:r>
        <w:t>Separate tax and freight treatment.</w:t>
      </w:r>
    </w:p>
    <w:p>
      <w:pPr>
        <w:pStyle w:val="ListBullet"/>
      </w:pPr>
      <w:r>
        <w:t>Locked formula cells.</w:t>
      </w:r>
    </w:p>
    <w:p>
      <w:pPr>
        <w:pStyle w:val="ListBullet"/>
      </w:pPr>
      <w:r>
        <w:t>Revision and approval tracking.</w:t>
      </w:r>
    </w:p>
    <w:p>
      <w:r>
        <w:t xml:space="preserve">For an Excel Table with </w:t>
      </w:r>
      <w:r>
        <w:rPr>
          <w:rFonts w:ascii="Consolas" w:hAnsi="Consolas"/>
          <w:color w:val="333333"/>
          <w:sz w:val="19"/>
          <w:shd w:val="clear" w:color="auto" w:fill="EFEFEF"/>
        </w:rPr>
        <w:t>Quantity</w:t>
      </w:r>
      <w:r>
        <w:t xml:space="preserve">, </w:t>
      </w:r>
      <w:r>
        <w:rPr>
          <w:rFonts w:ascii="Consolas" w:hAnsi="Consolas"/>
          <w:color w:val="333333"/>
          <w:sz w:val="19"/>
          <w:shd w:val="clear" w:color="auto" w:fill="EFEFEF"/>
        </w:rPr>
        <w:t>Unit Cost</w:t>
      </w:r>
      <w:r>
        <w:t xml:space="preserve">, and </w:t>
      </w:r>
      <w:r>
        <w:rPr>
          <w:rFonts w:ascii="Consolas" w:hAnsi="Consolas"/>
          <w:color w:val="333333"/>
          <w:sz w:val="19"/>
          <w:shd w:val="clear" w:color="auto" w:fill="EFEFEF"/>
        </w:rPr>
        <w:t>Extended Cost</w:t>
      </w:r>
      <w:r>
        <w:t xml:space="preserve"> columns:</w:t>
      </w:r>
    </w:p>
    <w:p>
      <w:pPr>
        <w:shd w:val="clear" w:color="auto" w:fill="F4F4F4"/>
        <w:spacing w:before="0" w:after="0" w:line="240" w:lineRule="auto"/>
        <w:ind w:left="216" w:right="216"/>
        <w:jc w:val="left"/>
      </w:pPr>
      <w:r>
        <w:rPr>
          <w:rFonts w:ascii="Consolas" w:hAnsi="Consolas"/>
          <w:color w:val="202020"/>
          <w:sz w:val="18"/>
        </w:rPr>
        <w:t>=[@Quantity]*[@[Unit Cost]]</w:t>
      </w:r>
    </w:p>
    <w:p/>
    <w:p>
      <w:r>
        <w:t>A subtotal can be calculated with:</w:t>
      </w:r>
    </w:p>
    <w:p>
      <w:pPr>
        <w:shd w:val="clear" w:color="auto" w:fill="F4F4F4"/>
        <w:spacing w:before="0" w:after="0" w:line="240" w:lineRule="auto"/>
        <w:ind w:left="216" w:right="216"/>
        <w:jc w:val="left"/>
      </w:pPr>
      <w:r>
        <w:rPr>
          <w:rFonts w:ascii="Consolas" w:hAnsi="Consolas"/>
          <w:color w:val="202020"/>
          <w:sz w:val="18"/>
        </w:rPr>
        <w:t>=SUM(CostTable[Extended Cost])</w:t>
      </w:r>
    </w:p>
    <w:p/>
    <w:p>
      <w:r>
        <w:t>These formulas assume the table and column names match exactly.</w:t>
      </w:r>
    </w:p>
    <w:p>
      <w:pPr>
        <w:pStyle w:val="Heading3"/>
      </w:pPr>
      <w:r>
        <w:t>21.2 SAP and enterprise costing</w:t>
      </w:r>
    </w:p>
    <w:p>
      <w:r>
        <w:t>Depending on company configuration, SAP may support material pricing, purchasing, cost estimates, internal orders, project-system planning, purchase commitments, and actual-cost tracking.</w:t>
      </w:r>
    </w:p>
    <w:p>
      <w:r>
        <w:t>Relevant checks may include:</w:t>
      </w:r>
    </w:p>
    <w:p>
      <w:pPr>
        <w:pStyle w:val="ListBullet"/>
      </w:pPr>
      <w:r>
        <w:t>Material master and valuation data.</w:t>
      </w:r>
    </w:p>
    <w:p>
      <w:pPr>
        <w:pStyle w:val="ListBullet"/>
      </w:pPr>
      <w:r>
        <w:t>Plant-specific purchasing information.</w:t>
      </w:r>
    </w:p>
    <w:p>
      <w:pPr>
        <w:pStyle w:val="ListBullet"/>
      </w:pPr>
      <w:r>
        <w:t>Vendor quotation and purchase-order values.</w:t>
      </w:r>
    </w:p>
    <w:p>
      <w:pPr>
        <w:pStyle w:val="ListBullet"/>
      </w:pPr>
      <w:r>
        <w:t>Stock availability and existing reservations.</w:t>
      </w:r>
    </w:p>
    <w:p>
      <w:pPr>
        <w:pStyle w:val="ListBullet"/>
      </w:pPr>
      <w:r>
        <w:t>Cost center or internal-order assignment.</w:t>
      </w:r>
    </w:p>
    <w:p>
      <w:pPr>
        <w:pStyle w:val="ListBullet"/>
      </w:pPr>
      <w:r>
        <w:t>Planned versus actual cost.</w:t>
      </w:r>
    </w:p>
    <w:p>
      <w:pPr>
        <w:pStyle w:val="ListBullet"/>
      </w:pPr>
      <w:r>
        <w:t>Project commitments.</w:t>
      </w:r>
    </w:p>
    <w:p>
      <w:pPr>
        <w:pStyle w:val="ListBullet"/>
      </w:pPr>
      <w:r>
        <w:t>Approved material substitutions.</w:t>
      </w:r>
    </w:p>
    <w:p>
      <w:pPr>
        <w:pStyle w:val="ListBullet"/>
      </w:pPr>
      <w:r>
        <w:t>Relevant tax and currency conditions.</w:t>
      </w:r>
    </w:p>
    <w:p>
      <w:r>
        <w:t>An engineering estimate and an SAP cost estimate may use different costing rules or valuation assumptions. Reconcile the scope and cost basis before comparing the totals.</w:t>
      </w:r>
    </w:p>
    <w:p>
      <w:pPr>
        <w:pStyle w:val="Heading2"/>
      </w:pPr>
      <w:r>
        <w:t>22. Costing deliverables</w:t>
      </w:r>
    </w:p>
    <w:p>
      <w:r>
        <w:t>A well-prepared costing package may include:</w:t>
      </w:r>
    </w:p>
    <w:p>
      <w:pPr>
        <w:pStyle w:val="ListBullet"/>
      </w:pPr>
      <w:r>
        <w:t>Cost-estimation report.</w:t>
      </w:r>
    </w:p>
    <w:p>
      <w:pPr>
        <w:pStyle w:val="ListBullet"/>
      </w:pPr>
      <w:r>
        <w:t>Cost summary by category.</w:t>
      </w:r>
    </w:p>
    <w:p>
      <w:pPr>
        <w:pStyle w:val="ListBullet"/>
      </w:pPr>
      <w:r>
        <w:t>Preliminary BOM with unit rates.</w:t>
      </w:r>
    </w:p>
    <w:p>
      <w:pPr>
        <w:pStyle w:val="ListBullet"/>
      </w:pPr>
      <w:r>
        <w:t>Engineering labor estimate.</w:t>
      </w:r>
    </w:p>
    <w:p>
      <w:pPr>
        <w:pStyle w:val="ListBullet"/>
      </w:pPr>
      <w:r>
        <w:t>Supplier quotations and quote dates.</w:t>
      </w:r>
    </w:p>
    <w:p>
      <w:pPr>
        <w:pStyle w:val="ListBullet"/>
      </w:pPr>
      <w:r>
        <w:t>Installation and commissioning estimate.</w:t>
      </w:r>
    </w:p>
    <w:p>
      <w:pPr>
        <w:pStyle w:val="ListBullet"/>
      </w:pPr>
      <w:r>
        <w:t>Software and license estimate.</w:t>
      </w:r>
    </w:p>
    <w:p>
      <w:pPr>
        <w:pStyle w:val="ListBullet"/>
      </w:pPr>
      <w:r>
        <w:t>Risk and contingency assumptions.</w:t>
      </w:r>
    </w:p>
    <w:p>
      <w:pPr>
        <w:pStyle w:val="ListBullet"/>
      </w:pPr>
      <w:r>
        <w:t>CAPEX/OPEX classification where required.</w:t>
      </w:r>
    </w:p>
    <w:p>
      <w:pPr>
        <w:pStyle w:val="ListBullet"/>
      </w:pPr>
      <w:r>
        <w:t>Commercial assumptions and exclusions.</w:t>
      </w:r>
    </w:p>
    <w:p>
      <w:pPr>
        <w:pStyle w:val="ListBullet"/>
      </w:pPr>
      <w:r>
        <w:t>Sensitivity analysis for major uncertainties.</w:t>
      </w:r>
    </w:p>
    <w:p>
      <w:pPr>
        <w:pStyle w:val="ListBullet"/>
      </w:pPr>
      <w:r>
        <w:t>Expected benefits and payback estimate, where applicable.</w:t>
      </w:r>
    </w:p>
    <w:p>
      <w:pPr>
        <w:pStyle w:val="ListBullet"/>
      </w:pPr>
      <w:r>
        <w:t>Approved cost baseline.</w:t>
      </w:r>
    </w:p>
    <w:p>
      <w:pPr>
        <w:pStyle w:val="ListBullet"/>
      </w:pPr>
      <w:r>
        <w:t>Revision and approval record.</w:t>
      </w:r>
    </w:p>
    <w:p>
      <w:r>
        <w:t>The costing package should state what is not included. Examples may include civil work, plant utility upgrades, production losses, taxes, travel, customer-supplied equipment, or long-term support. These exclusions must be explicit rather than silently assumed.</w:t>
      </w:r>
    </w:p>
    <w:p>
      <w:pPr>
        <w:pStyle w:val="Heading2"/>
      </w:pPr>
      <w:r>
        <w:t>23. Common costing mistakes</w:t>
      </w:r>
    </w:p>
    <w:p>
      <w:pPr>
        <w:pStyle w:val="ListBullet"/>
      </w:pPr>
      <w:r>
        <w:t>Estimating only hardware purchase cost.</w:t>
      </w:r>
    </w:p>
    <w:p>
      <w:pPr>
        <w:pStyle w:val="ListBullet"/>
      </w:pPr>
      <w:r>
        <w:t>Ignoring programming, testing, and commissioning hours.</w:t>
      </w:r>
    </w:p>
    <w:p>
      <w:pPr>
        <w:pStyle w:val="ListBullet"/>
      </w:pPr>
      <w:r>
        <w:t>Using outdated supplier prices.</w:t>
      </w:r>
    </w:p>
    <w:p>
      <w:pPr>
        <w:pStyle w:val="ListBullet"/>
      </w:pPr>
      <w:r>
        <w:t>Failing to define the currency and tax basis.</w:t>
      </w:r>
    </w:p>
    <w:p>
      <w:pPr>
        <w:pStyle w:val="ListBullet"/>
      </w:pPr>
      <w:r>
        <w:t>Counting the same engineering effort twice.</w:t>
      </w:r>
    </w:p>
    <w:p>
      <w:pPr>
        <w:pStyle w:val="ListBullet"/>
      </w:pPr>
      <w:r>
        <w:t>Treating all estimated benefits as guaranteed savings.</w:t>
      </w:r>
    </w:p>
    <w:p>
      <w:pPr>
        <w:pStyle w:val="ListBullet"/>
      </w:pPr>
      <w:r>
        <w:t>Using contingency to cover known omissions.</w:t>
      </w:r>
    </w:p>
    <w:p>
      <w:pPr>
        <w:pStyle w:val="ListBullet"/>
      </w:pPr>
      <w:r>
        <w:t>Ignoring obsolescence and migration cost.</w:t>
      </w:r>
    </w:p>
    <w:p>
      <w:pPr>
        <w:pStyle w:val="ListBullet"/>
      </w:pPr>
      <w:r>
        <w:t>Underestimating production downtime.</w:t>
      </w:r>
    </w:p>
    <w:p>
      <w:pPr>
        <w:pStyle w:val="ListBullet"/>
      </w:pPr>
      <w:r>
        <w:t>Ignoring long-lead components.</w:t>
      </w:r>
    </w:p>
    <w:p>
      <w:pPr>
        <w:pStyle w:val="ListBullet"/>
      </w:pPr>
      <w:r>
        <w:t>Comparing different options with inconsistent scopes.</w:t>
      </w:r>
    </w:p>
    <w:p>
      <w:pPr>
        <w:pStyle w:val="ListBullet"/>
      </w:pPr>
      <w:r>
        <w:t>Confusing markup with profit margin.</w:t>
      </w:r>
    </w:p>
    <w:p>
      <w:pPr>
        <w:pStyle w:val="ListBullet"/>
      </w:pPr>
      <w:r>
        <w:t>Ignoring software licenses and support contracts.</w:t>
      </w:r>
    </w:p>
    <w:p>
      <w:pPr>
        <w:pStyle w:val="ListBullet"/>
      </w:pPr>
      <w:r>
        <w:t>Treating a preliminary estimate as a committed purchase price.</w:t>
      </w:r>
    </w:p>
    <w:p>
      <w:pPr>
        <w:pStyle w:val="ListBullet"/>
      </w:pPr>
      <w:r>
        <w:t>Failing to revise the estimate after approved scope changes.</w:t>
      </w:r>
    </w:p>
    <w:p>
      <w:pPr>
        <w:pStyle w:val="ListBullet"/>
      </w:pPr>
      <w:r>
        <w:t>Reporting a favorable current spend while ignoring the forecast cost to completion.</w:t>
      </w:r>
    </w:p>
    <w:p>
      <w:pPr>
        <w:pStyle w:val="Heading2"/>
      </w:pPr>
      <w:r>
        <w:t>24. Interview questions and answers</w:t>
      </w:r>
    </w:p>
    <w:p>
      <w:r>
        <w:t>Q1. What is costing in an automation project?</w:t>
      </w:r>
    </w:p>
    <w:p>
      <w:r>
        <w:t>It is the process of estimating and analyzing the financial resources required to design, procure, fabricate, integrate, install, test, commission, and support the automation system.</w:t>
      </w:r>
    </w:p>
    <w:p>
      <w:r>
        <w:t>Q2. What is the difference between costing and budgeting?</w:t>
      </w:r>
    </w:p>
    <w:p>
      <w:r>
        <w:t>Costing estimates the required expenditure. Budgeting establishes the authorized financial allowance and allocates it to the project or its activities.</w:t>
      </w:r>
    </w:p>
    <w:p>
      <w:r>
        <w:t>Q3. What are the major cost elements in an automation project?</w:t>
      </w:r>
    </w:p>
    <w:p>
      <w:r>
        <w:t>Equipment and materials, engineering, software licenses, fabrication, installation, testing, commissioning, project management, logistics, and relevant indirect costs.</w:t>
      </w:r>
    </w:p>
    <w:p>
      <w:r>
        <w:t>Q4. Why is engineering labor important in retrofit costing?</w:t>
      </w:r>
    </w:p>
    <w:p>
      <w:r>
        <w:t>Existing equipment may have incomplete documentation, legacy interfaces, unknown program behavior, or limited support. These conditions can significantly increase survey, integration, troubleshooting, and validation effort.</w:t>
      </w:r>
    </w:p>
    <w:p>
      <w:r>
        <w:t>Q5. What is contingency?</w:t>
      </w:r>
    </w:p>
    <w:p>
      <w:r>
        <w:t>An allowance for residual uncertainty and risk within the project's defined scope, calculated according to the applicable estimating method and project rules.</w:t>
      </w:r>
    </w:p>
    <w:p>
      <w:r>
        <w:t>Q6. What is the difference between markup and margin?</w:t>
      </w:r>
    </w:p>
    <w:p>
      <w:r>
        <w:t>Markup is calculated relative to cost. Margin is calculated relative to selling price. The two percentages are not equivalent.</w:t>
      </w:r>
    </w:p>
    <w:p>
      <w:r>
        <w:t>Q7. What is total cost of ownership?</w:t>
      </w:r>
    </w:p>
    <w:p>
      <w:r>
        <w:t>It is the cost of acquiring, operating, maintaining, supporting, replacing, and eventually retiring a system over a defined period.</w:t>
      </w:r>
    </w:p>
    <w:p>
      <w:r>
        <w:t>Q8. What is a payback period?</w:t>
      </w:r>
    </w:p>
    <w:p>
      <w:r>
        <w:t>The estimated time required for the net financial benefits of an investment to recover its initial cost under the assumptions used.</w:t>
      </w:r>
    </w:p>
    <w:p>
      <w:r>
        <w:t>Q9. Why is sensitivity analysis used?</w:t>
      </w:r>
    </w:p>
    <w:p>
      <w:r>
        <w:t>It identifies which uncertain assumptions have the greatest effect on total cost or expected benefits and helps prioritize risk reduction.</w:t>
      </w:r>
    </w:p>
    <w:p>
      <w:r>
        <w:t>Q10. What is a cost baseline?</w:t>
      </w:r>
    </w:p>
    <w:p>
      <w:r>
        <w:t>An approved cost reference used to compare actual and forecast project expenditure against the authorized plan.</w:t>
      </w:r>
    </w:p>
    <w:p>
      <w:r>
        <w:t>Q11. Why can a cheaper technology have a higher total cost?</w:t>
      </w:r>
    </w:p>
    <w:p>
      <w:r>
        <w:t>It may require more engineering, additional interfaces, greater maintenance effort, longer downtime, more expensive licensing, or earlier replacement.</w:t>
      </w:r>
    </w:p>
    <w:p>
      <w:r>
        <w:t>Q12. How should a design change be handled from a costing perspective?</w:t>
      </w:r>
    </w:p>
    <w:p>
      <w:r>
        <w:t>Assess its effect on materials, labor, licenses, schedule, commissioning, downtime, and risk, then obtain approval and update the estimate and baseline according to the change-control process.</w:t>
      </w:r>
    </w:p>
    <w:p>
      <w:pPr>
        <w:pStyle w:val="Heading2"/>
      </w:pPr>
      <w:r>
        <w:t>25. Final costing checklist</w:t>
      </w:r>
    </w:p>
    <w:p>
      <w:pPr>
        <w:pStyle w:val="ListBullet"/>
      </w:pPr>
      <w:r>
        <w:t>Scope, boundaries, assumptions, and exclusions defined.</w:t>
      </w:r>
    </w:p>
    <w:p>
      <w:pPr>
        <w:pStyle w:val="ListBullet"/>
      </w:pPr>
      <w:r>
        <w:t>Preliminary BOM reviewed for missing and duplicate items.</w:t>
      </w:r>
    </w:p>
    <w:p>
      <w:pPr>
        <w:pStyle w:val="ListBullet"/>
      </w:pPr>
      <w:r>
        <w:t>Equipment rates verified or marked as provisional.</w:t>
      </w:r>
    </w:p>
    <w:p>
      <w:pPr>
        <w:pStyle w:val="ListBullet"/>
      </w:pPr>
      <w:r>
        <w:t>Engineering hours estimated by work package.</w:t>
      </w:r>
    </w:p>
    <w:p>
      <w:pPr>
        <w:pStyle w:val="ListBullet"/>
      </w:pPr>
      <w:r>
        <w:t>Software and license costs included.</w:t>
      </w:r>
    </w:p>
    <w:p>
      <w:pPr>
        <w:pStyle w:val="ListBullet"/>
      </w:pPr>
      <w:r>
        <w:t>Fabrication, installation, testing, and commissioning included.</w:t>
      </w:r>
    </w:p>
    <w:p>
      <w:pPr>
        <w:pStyle w:val="ListBullet"/>
      </w:pPr>
      <w:r>
        <w:t>Direct and indirect cost treatment defined.</w:t>
      </w:r>
    </w:p>
    <w:p>
      <w:pPr>
        <w:pStyle w:val="ListBullet"/>
      </w:pPr>
      <w:r>
        <w:t>Taxes, freight, currency, and commercial conditions checked.</w:t>
      </w:r>
    </w:p>
    <w:p>
      <w:pPr>
        <w:pStyle w:val="ListBullet"/>
      </w:pPr>
      <w:r>
        <w:t>Risks and contingency justified.</w:t>
      </w:r>
    </w:p>
    <w:p>
      <w:pPr>
        <w:pStyle w:val="ListBullet"/>
      </w:pPr>
      <w:r>
        <w:t>CAPEX, OPEX, and lifecycle implications considered.</w:t>
      </w:r>
    </w:p>
    <w:p>
      <w:pPr>
        <w:pStyle w:val="ListBullet"/>
      </w:pPr>
      <w:r>
        <w:t>Benefits and payback calculated only where supported by evidence.</w:t>
      </w:r>
    </w:p>
    <w:p>
      <w:pPr>
        <w:pStyle w:val="ListBullet"/>
      </w:pPr>
      <w:r>
        <w:t>Sensitivity analysis completed for major uncertainties.</w:t>
      </w:r>
    </w:p>
    <w:p>
      <w:pPr>
        <w:pStyle w:val="ListBullet"/>
      </w:pPr>
      <w:r>
        <w:t>Long-lead and obsolete items identified.</w:t>
      </w:r>
    </w:p>
    <w:p>
      <w:pPr>
        <w:pStyle w:val="ListBullet"/>
      </w:pPr>
      <w:r>
        <w:t>Cost summary reconciled against the defined scope.</w:t>
      </w:r>
    </w:p>
    <w:p>
      <w:pPr>
        <w:pStyle w:val="ListBullet"/>
      </w:pPr>
      <w:r>
        <w:t>Estimate maturity and confidence documented.</w:t>
      </w:r>
    </w:p>
    <w:p>
      <w:pPr>
        <w:pStyle w:val="ListBullet"/>
      </w:pPr>
      <w:r>
        <w:t>Cost baseline and approval status recorded.</w:t>
      </w:r>
    </w:p>
    <w:p>
      <w:pPr>
        <w:pStyle w:val="ListBullet"/>
      </w:pPr>
      <w:r>
        <w:t>Change-control process established for future revisions.</w:t>
      </w:r>
    </w:p>
    <w:p>
      <w:pPr>
        <w:pStyle w:val="Heading2"/>
      </w:pPr>
      <w:r>
        <w:t>NEXT TOPIC</w:t>
      </w:r>
    </w:p>
    <w:p>
      <w:r>
        <w:rPr>
          <w:rFonts w:ascii="Consolas" w:hAnsi="Consolas"/>
          <w:color w:val="333333"/>
          <w:sz w:val="19"/>
          <w:shd w:val="clear" w:color="auto" w:fill="EFEFEF"/>
        </w:rPr>
        <w:t>02_PLAN_WISE_2026\02_INDUSTRY3_0\07_Lifecycle\01_Concept\10_Feasibility - Feasibility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02_PLAN_WISE_2026\02_INDUSTRY3_0\07_Lifecycle\01_Concept\09_Costing - Costing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