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02_PLAN_WISE_2026\02_INDUSTRY3_0\07_Lifecycle\03_Procurement\01_RFQ - RFQ</w:t>
      </w:r>
    </w:p>
    <w:p>
      <w:pPr>
        <w:pStyle w:val="Heading2"/>
      </w:pPr>
      <w:r>
        <w:t>1. What is an RFQ?</w:t>
      </w:r>
    </w:p>
    <w:p>
      <w:r>
        <w:t>RFQ stands for Request for Quotation. It is a formal procurement document used to invite suppliers to submit quotations for clearly defined products, equipment, services, or engineering work.</w:t>
      </w:r>
    </w:p>
    <w:p>
      <w:r>
        <w:t>In industrial automation, an RFQ may be issued for a PLC system, CNC machine, robot, control panel, VFD, sensor package, electrical installation, machine retrofit, testing equipment, or complete automated production line.</w:t>
      </w:r>
    </w:p>
    <w:p>
      <w:r>
        <w:t>The purpose is to communicate the requirement consistently so that suppliers can quote on a comparable technical and commercial basis.</w:t>
      </w:r>
    </w:p>
    <w:p>
      <w:r>
        <w:t>An RFQ should answer these questions:</w:t>
      </w:r>
    </w:p>
    <w:p>
      <w:pPr>
        <w:pStyle w:val="ListBullet"/>
      </w:pPr>
      <w:r>
        <w:t>What exactly must be supplied?</w:t>
      </w:r>
    </w:p>
    <w:p>
      <w:pPr>
        <w:pStyle w:val="ListBullet"/>
      </w:pPr>
      <w:r>
        <w:t>What technical specifications must be met?</w:t>
      </w:r>
    </w:p>
    <w:p>
      <w:pPr>
        <w:pStyle w:val="ListBullet"/>
      </w:pPr>
      <w:r>
        <w:t>What is the quantity and scope of supply?</w:t>
      </w:r>
    </w:p>
    <w:p>
      <w:pPr>
        <w:pStyle w:val="ListBullet"/>
      </w:pPr>
      <w:r>
        <w:t>What supporting documents and services are required?</w:t>
      </w:r>
    </w:p>
    <w:p>
      <w:pPr>
        <w:pStyle w:val="ListBullet"/>
      </w:pPr>
      <w:r>
        <w:t>When and where must the goods or services be delivered?</w:t>
      </w:r>
    </w:p>
    <w:p>
      <w:pPr>
        <w:pStyle w:val="ListBullet"/>
      </w:pPr>
      <w:r>
        <w:t>What commercial terms apply?</w:t>
      </w:r>
    </w:p>
    <w:p>
      <w:pPr>
        <w:pStyle w:val="ListBullet"/>
      </w:pPr>
      <w:r>
        <w:t>How will technical compliance and commercial offers be evaluated?</w:t>
      </w:r>
    </w:p>
    <w:p>
      <w:r>
        <w:t>A quotation is only as reliable as the requirement on which it is based. If the RFQ is vague, suppliers may quote different products, omit necessary services, or make assumptions that become expensive problems later.</w:t>
      </w:r>
    </w:p>
    <w:p>
      <w:pPr>
        <w:pStyle w:val="Heading2"/>
      </w:pPr>
      <w:r>
        <w:t>2. Where RFQ fits in the procurement lifecycle</w:t>
      </w:r>
    </w:p>
    <w:p>
      <w:pPr>
        <w:shd w:val="clear" w:color="auto" w:fill="F4F4F4"/>
        <w:spacing w:before="0" w:after="0" w:line="240" w:lineRule="auto"/>
        <w:ind w:left="216" w:right="216"/>
        <w:jc w:val="left"/>
      </w:pPr>
      <w:r>
        <w:rPr>
          <w:rFonts w:ascii="Consolas" w:hAnsi="Consolas"/>
          <w:color w:val="202020"/>
          <w:sz w:val="18"/>
        </w:rPr>
        <w:t>Identify Business or Engineering Need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 Technical Scope and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Purchase Requisition / Procurement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RFQ Package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and Invite Suitable Suppliers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Receive Supplier Quotations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Commercial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Clarifications and Negotiation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Selection and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 / Contract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Delivery, Inspection, Acceptance, and Closure</w:t>
      </w:r>
    </w:p>
    <w:p/>
    <w:p>
      <w:r>
        <w:t>The exact sequence varies by company. Some organizations identify suppliers before finalizing the RFQ, and others use formal sourcing events or e-procurement systems.</w:t>
      </w:r>
    </w:p>
    <w:p>
      <w:r>
        <w:t>An RFQ is not the same as a purchase order. The RFQ asks suppliers to quote; the purchase order or contract establishes the approved purchasing commitment under the applicable terms.</w:t>
      </w:r>
    </w:p>
    <w:p>
      <w:pPr>
        <w:pStyle w:val="Heading2"/>
      </w:pPr>
      <w:r>
        <w:t>3. RFQ versus RFI, RFP, and purchase order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Document</w:t>
            </w:r>
          </w:p>
        </w:tc>
        <w:tc>
          <w:tcPr>
            <w:tcW w:type="dxa" w:w="2700"/>
            <w:shd w:val="clear" w:color="auto" w:fill="EEF2F7"/>
          </w:tcPr>
          <w:p>
            <w:pPr>
              <w:spacing w:after="0" w:before="0" w:line="240" w:lineRule="auto"/>
              <w:jc w:val="left"/>
            </w:pPr>
            <w:r>
              <w:rPr>
                <w:b/>
                <w:color w:val="1A2E4A"/>
              </w:rPr>
              <w:t>Full form</w:t>
            </w:r>
          </w:p>
        </w:tc>
        <w:tc>
          <w:tcPr>
            <w:tcW w:type="dxa" w:w="2700"/>
            <w:shd w:val="clear" w:color="auto" w:fill="EEF2F7"/>
          </w:tcPr>
          <w:p>
            <w:pPr>
              <w:spacing w:after="0" w:before="0" w:line="240" w:lineRule="auto"/>
              <w:jc w:val="left"/>
            </w:pPr>
            <w:r>
              <w:rPr>
                <w:b/>
                <w:color w:val="1A2E4A"/>
              </w:rPr>
              <w:t>Main purpose</w:t>
            </w:r>
          </w:p>
        </w:tc>
        <w:tc>
          <w:tcPr>
            <w:tcW w:type="dxa" w:w="2700"/>
            <w:shd w:val="clear" w:color="auto" w:fill="EEF2F7"/>
          </w:tcPr>
          <w:p>
            <w:pPr>
              <w:spacing w:after="0" w:before="0" w:line="240" w:lineRule="auto"/>
              <w:jc w:val="left"/>
            </w:pPr>
            <w:r>
              <w:rPr>
                <w:b/>
                <w:color w:val="1A2E4A"/>
              </w:rPr>
              <w:t>Typical use</w:t>
            </w:r>
          </w:p>
        </w:tc>
      </w:tr>
      <w:tr>
        <w:tc>
          <w:tcPr>
            <w:tcW w:type="dxa" w:w="2700"/>
          </w:tcPr>
          <w:p>
            <w:pPr>
              <w:spacing w:after="0" w:before="0" w:line="240" w:lineRule="auto"/>
              <w:jc w:val="left"/>
            </w:pPr>
            <w:r>
              <w:t>RFI</w:t>
            </w:r>
          </w:p>
        </w:tc>
        <w:tc>
          <w:tcPr>
            <w:tcW w:type="dxa" w:w="2700"/>
          </w:tcPr>
          <w:p>
            <w:pPr>
              <w:spacing w:after="0" w:before="0" w:line="240" w:lineRule="auto"/>
              <w:jc w:val="left"/>
            </w:pPr>
            <w:r>
              <w:t>Request for Information</w:t>
            </w:r>
          </w:p>
        </w:tc>
        <w:tc>
          <w:tcPr>
            <w:tcW w:type="dxa" w:w="2700"/>
          </w:tcPr>
          <w:p>
            <w:pPr>
              <w:spacing w:after="0" w:before="0" w:line="240" w:lineRule="auto"/>
              <w:jc w:val="left"/>
            </w:pPr>
            <w:r>
              <w:t>Gather information about suppliers, products, or available technologies</w:t>
            </w:r>
          </w:p>
        </w:tc>
        <w:tc>
          <w:tcPr>
            <w:tcW w:type="dxa" w:w="2700"/>
          </w:tcPr>
          <w:p>
            <w:pPr>
              <w:spacing w:after="0" w:before="0" w:line="240" w:lineRule="auto"/>
              <w:jc w:val="left"/>
            </w:pPr>
            <w:r>
              <w:t>Early market research</w:t>
            </w:r>
          </w:p>
        </w:tc>
      </w:tr>
      <w:tr>
        <w:tc>
          <w:tcPr>
            <w:tcW w:type="dxa" w:w="2700"/>
          </w:tcPr>
          <w:p>
            <w:pPr>
              <w:spacing w:after="0" w:before="0" w:line="240" w:lineRule="auto"/>
              <w:jc w:val="left"/>
            </w:pPr>
            <w:r>
              <w:t>RFP</w:t>
            </w:r>
          </w:p>
        </w:tc>
        <w:tc>
          <w:tcPr>
            <w:tcW w:type="dxa" w:w="2700"/>
          </w:tcPr>
          <w:p>
            <w:pPr>
              <w:spacing w:after="0" w:before="0" w:line="240" w:lineRule="auto"/>
              <w:jc w:val="left"/>
            </w:pPr>
            <w:r>
              <w:t>Request for Proposal</w:t>
            </w:r>
          </w:p>
        </w:tc>
        <w:tc>
          <w:tcPr>
            <w:tcW w:type="dxa" w:w="2700"/>
          </w:tcPr>
          <w:p>
            <w:pPr>
              <w:spacing w:after="0" w:before="0" w:line="240" w:lineRule="auto"/>
              <w:jc w:val="left"/>
            </w:pPr>
            <w:r>
              <w:t>Request a proposed solution, technical approach, and commercial offer</w:t>
            </w:r>
          </w:p>
        </w:tc>
        <w:tc>
          <w:tcPr>
            <w:tcW w:type="dxa" w:w="2700"/>
          </w:tcPr>
          <w:p>
            <w:pPr>
              <w:spacing w:after="0" w:before="0" w:line="240" w:lineRule="auto"/>
              <w:jc w:val="left"/>
            </w:pPr>
            <w:r>
              <w:t>Complex or solution-oriented projects</w:t>
            </w:r>
          </w:p>
        </w:tc>
      </w:tr>
      <w:tr>
        <w:tc>
          <w:tcPr>
            <w:tcW w:type="dxa" w:w="2700"/>
          </w:tcPr>
          <w:p>
            <w:pPr>
              <w:spacing w:after="0" w:before="0" w:line="240" w:lineRule="auto"/>
              <w:jc w:val="left"/>
            </w:pPr>
            <w:r>
              <w:t>RFQ</w:t>
            </w:r>
          </w:p>
        </w:tc>
        <w:tc>
          <w:tcPr>
            <w:tcW w:type="dxa" w:w="2700"/>
          </w:tcPr>
          <w:p>
            <w:pPr>
              <w:spacing w:after="0" w:before="0" w:line="240" w:lineRule="auto"/>
              <w:jc w:val="left"/>
            </w:pPr>
            <w:r>
              <w:t>Request for Quotation</w:t>
            </w:r>
          </w:p>
        </w:tc>
        <w:tc>
          <w:tcPr>
            <w:tcW w:type="dxa" w:w="2700"/>
          </w:tcPr>
          <w:p>
            <w:pPr>
              <w:spacing w:after="0" w:before="0" w:line="240" w:lineRule="auto"/>
              <w:jc w:val="left"/>
            </w:pPr>
            <w:r>
              <w:t>Request pricing and terms for a defined scope</w:t>
            </w:r>
          </w:p>
        </w:tc>
        <w:tc>
          <w:tcPr>
            <w:tcW w:type="dxa" w:w="2700"/>
          </w:tcPr>
          <w:p>
            <w:pPr>
              <w:spacing w:after="0" w:before="0" w:line="240" w:lineRule="auto"/>
              <w:jc w:val="left"/>
            </w:pPr>
            <w:r>
              <w:t>Standard equipment or specified engineering work</w:t>
            </w:r>
          </w:p>
        </w:tc>
      </w:tr>
      <w:tr>
        <w:tc>
          <w:tcPr>
            <w:tcW w:type="dxa" w:w="2700"/>
          </w:tcPr>
          <w:p>
            <w:pPr>
              <w:spacing w:after="0" w:before="0" w:line="240" w:lineRule="auto"/>
              <w:jc w:val="left"/>
            </w:pPr>
            <w:r>
              <w:t>Purchase Requisition</w:t>
            </w:r>
          </w:p>
        </w:tc>
        <w:tc>
          <w:tcPr>
            <w:tcW w:type="dxa" w:w="2700"/>
          </w:tcPr>
          <w:p>
            <w:pPr>
              <w:spacing w:after="0" w:before="0" w:line="240" w:lineRule="auto"/>
              <w:jc w:val="left"/>
            </w:pPr>
            <w:r>
              <w:t>Internal purchase request</w:t>
            </w:r>
          </w:p>
        </w:tc>
        <w:tc>
          <w:tcPr>
            <w:tcW w:type="dxa" w:w="2700"/>
          </w:tcPr>
          <w:p>
            <w:pPr>
              <w:spacing w:after="0" w:before="0" w:line="240" w:lineRule="auto"/>
              <w:jc w:val="left"/>
            </w:pPr>
            <w:r>
              <w:t>Obtain internal authorization to procure</w:t>
            </w:r>
          </w:p>
        </w:tc>
        <w:tc>
          <w:tcPr>
            <w:tcW w:type="dxa" w:w="2700"/>
          </w:tcPr>
          <w:p>
            <w:pPr>
              <w:spacing w:after="0" w:before="0" w:line="240" w:lineRule="auto"/>
              <w:jc w:val="left"/>
            </w:pPr>
            <w:r>
              <w:t>Starting or approving the buying process</w:t>
            </w:r>
          </w:p>
        </w:tc>
      </w:tr>
      <w:tr>
        <w:tc>
          <w:tcPr>
            <w:tcW w:type="dxa" w:w="2700"/>
          </w:tcPr>
          <w:p>
            <w:pPr>
              <w:spacing w:after="0" w:before="0" w:line="240" w:lineRule="auto"/>
              <w:jc w:val="left"/>
            </w:pPr>
            <w:r>
              <w:t>Purchase Order</w:t>
            </w:r>
          </w:p>
        </w:tc>
        <w:tc>
          <w:tcPr>
            <w:tcW w:type="dxa" w:w="2700"/>
          </w:tcPr>
          <w:p>
            <w:pPr>
              <w:spacing w:after="0" w:before="0" w:line="240" w:lineRule="auto"/>
              <w:jc w:val="left"/>
            </w:pPr>
            <w:r>
              <w:t>Formal purchasing document</w:t>
            </w:r>
          </w:p>
        </w:tc>
        <w:tc>
          <w:tcPr>
            <w:tcW w:type="dxa" w:w="2700"/>
          </w:tcPr>
          <w:p>
            <w:pPr>
              <w:spacing w:after="0" w:before="0" w:line="240" w:lineRule="auto"/>
              <w:jc w:val="left"/>
            </w:pPr>
            <w:r>
              <w:t>Place an approved order under stated terms</w:t>
            </w:r>
          </w:p>
        </w:tc>
        <w:tc>
          <w:tcPr>
            <w:tcW w:type="dxa" w:w="2700"/>
          </w:tcPr>
          <w:p>
            <w:pPr>
              <w:spacing w:after="0" w:before="0" w:line="240" w:lineRule="auto"/>
              <w:jc w:val="left"/>
            </w:pPr>
            <w:r>
              <w:t>Authorizing supply or services</w:t>
            </w:r>
          </w:p>
        </w:tc>
      </w:tr>
      <w:tr>
        <w:tc>
          <w:tcPr>
            <w:tcW w:type="dxa" w:w="2700"/>
          </w:tcPr>
          <w:p>
            <w:pPr>
              <w:spacing w:after="0" w:before="0" w:line="240" w:lineRule="auto"/>
              <w:jc w:val="left"/>
            </w:pPr>
            <w:r>
              <w:t>Technical Bid</w:t>
            </w:r>
          </w:p>
        </w:tc>
        <w:tc>
          <w:tcPr>
            <w:tcW w:type="dxa" w:w="2700"/>
          </w:tcPr>
          <w:p>
            <w:pPr>
              <w:spacing w:after="0" w:before="0" w:line="240" w:lineRule="auto"/>
              <w:jc w:val="left"/>
            </w:pPr>
            <w:r>
              <w:t>Supplier's technical submission</w:t>
            </w:r>
          </w:p>
        </w:tc>
        <w:tc>
          <w:tcPr>
            <w:tcW w:type="dxa" w:w="2700"/>
          </w:tcPr>
          <w:p>
            <w:pPr>
              <w:spacing w:after="0" w:before="0" w:line="240" w:lineRule="auto"/>
              <w:jc w:val="left"/>
            </w:pPr>
            <w:r>
              <w:t>Demonstrate how the offer meets requirements</w:t>
            </w:r>
          </w:p>
        </w:tc>
        <w:tc>
          <w:tcPr>
            <w:tcW w:type="dxa" w:w="2700"/>
          </w:tcPr>
          <w:p>
            <w:pPr>
              <w:spacing w:after="0" w:before="0" w:line="240" w:lineRule="auto"/>
              <w:jc w:val="left"/>
            </w:pPr>
            <w:r>
              <w:t>Technical compliance evaluation</w:t>
            </w:r>
          </w:p>
        </w:tc>
      </w:tr>
      <w:tr>
        <w:tc>
          <w:tcPr>
            <w:tcW w:type="dxa" w:w="2700"/>
          </w:tcPr>
          <w:p>
            <w:pPr>
              <w:spacing w:after="0" w:before="0" w:line="240" w:lineRule="auto"/>
              <w:jc w:val="left"/>
            </w:pPr>
            <w:r>
              <w:t>Commercial Bid</w:t>
            </w:r>
          </w:p>
        </w:tc>
        <w:tc>
          <w:tcPr>
            <w:tcW w:type="dxa" w:w="2700"/>
          </w:tcPr>
          <w:p>
            <w:pPr>
              <w:spacing w:after="0" w:before="0" w:line="240" w:lineRule="auto"/>
              <w:jc w:val="left"/>
            </w:pPr>
            <w:r>
              <w:t>Supplier's commercial submission</w:t>
            </w:r>
          </w:p>
        </w:tc>
        <w:tc>
          <w:tcPr>
            <w:tcW w:type="dxa" w:w="2700"/>
          </w:tcPr>
          <w:p>
            <w:pPr>
              <w:spacing w:after="0" w:before="0" w:line="240" w:lineRule="auto"/>
              <w:jc w:val="left"/>
            </w:pPr>
            <w:r>
              <w:t>Present pricing and commercial conditions</w:t>
            </w:r>
          </w:p>
        </w:tc>
        <w:tc>
          <w:tcPr>
            <w:tcW w:type="dxa" w:w="2700"/>
          </w:tcPr>
          <w:p>
            <w:pPr>
              <w:spacing w:after="0" w:before="0" w:line="240" w:lineRule="auto"/>
              <w:jc w:val="left"/>
            </w:pPr>
            <w:r>
              <w:t>Commercial evaluation</w:t>
            </w:r>
          </w:p>
        </w:tc>
      </w:tr>
    </w:tbl>
    <w:p/>
    <w:p>
      <w:r>
        <w:t>An RFQ works best when the required outcome and technical scope are sufficiently defined. If suppliers must first develop fundamentally different solutions, an RFP or an initial RFI may be more appropriate.</w:t>
      </w:r>
    </w:p>
    <w:p>
      <w:pPr>
        <w:pStyle w:val="Heading2"/>
      </w:pPr>
      <w:r>
        <w:t>4. Types of RFQs in industrial automation</w:t>
      </w:r>
    </w:p>
    <w:p>
      <w:pPr>
        <w:pStyle w:val="Heading3"/>
      </w:pPr>
      <w:r>
        <w:t>4.1 Equipment RFQ</w:t>
      </w:r>
    </w:p>
    <w:p>
      <w:r>
        <w:t>Used to purchase defined equipment, such as:</w:t>
      </w:r>
    </w:p>
    <w:p>
      <w:pPr>
        <w:pStyle w:val="ListBullet"/>
      </w:pPr>
      <w:r>
        <w:t>PLCs and remote I/O modules.</w:t>
      </w:r>
    </w:p>
    <w:p>
      <w:pPr>
        <w:pStyle w:val="ListBullet"/>
      </w:pPr>
      <w:r>
        <w:t>HMIs and industrial PCs.</w:t>
      </w:r>
    </w:p>
    <w:p>
      <w:pPr>
        <w:pStyle w:val="ListBullet"/>
      </w:pPr>
      <w:r>
        <w:t>VFDs and servo drives.</w:t>
      </w:r>
    </w:p>
    <w:p>
      <w:pPr>
        <w:pStyle w:val="ListBullet"/>
      </w:pPr>
      <w:r>
        <w:t>Sensors, scanners, and measurement devices.</w:t>
      </w:r>
    </w:p>
    <w:p>
      <w:pPr>
        <w:pStyle w:val="ListBullet"/>
      </w:pPr>
      <w:r>
        <w:t>Industrial switches and communication hardware.</w:t>
      </w:r>
    </w:p>
    <w:p>
      <w:pPr>
        <w:pStyle w:val="ListBullet"/>
      </w:pPr>
      <w:r>
        <w:t>CNC machines and robots.</w:t>
      </w:r>
    </w:p>
    <w:p>
      <w:pPr>
        <w:pStyle w:val="ListBullet"/>
      </w:pPr>
      <w:r>
        <w:t>Test benches and inspection equipment.</w:t>
      </w:r>
    </w:p>
    <w:p>
      <w:r>
        <w:t>The RFQ should identify exact specifications, required accessories, quantities, and any mandatory compatibility constraints.</w:t>
      </w:r>
    </w:p>
    <w:p>
      <w:pPr>
        <w:pStyle w:val="Heading3"/>
      </w:pPr>
      <w:r>
        <w:t>4.2 Control-panel RFQ</w:t>
      </w:r>
    </w:p>
    <w:p>
      <w:r>
        <w:t>Used for manufacturing or supplying electrical control panels.</w:t>
      </w:r>
    </w:p>
    <w:p>
      <w:r>
        <w:t>The scope may include:</w:t>
      </w:r>
    </w:p>
    <w:p>
      <w:pPr>
        <w:pStyle w:val="ListBullet"/>
      </w:pPr>
      <w:r>
        <w:t>Panel design and engineering.</w:t>
      </w:r>
    </w:p>
    <w:p>
      <w:pPr>
        <w:pStyle w:val="ListBullet"/>
      </w:pPr>
      <w:r>
        <w:t>Enclosure and component supply.</w:t>
      </w:r>
    </w:p>
    <w:p>
      <w:pPr>
        <w:pStyle w:val="ListBullet"/>
      </w:pPr>
      <w:r>
        <w:t>Wiring and assembly.</w:t>
      </w:r>
    </w:p>
    <w:p>
      <w:pPr>
        <w:pStyle w:val="ListBullet"/>
      </w:pPr>
      <w:r>
        <w:t>PLC and drive installation.</w:t>
      </w:r>
    </w:p>
    <w:p>
      <w:pPr>
        <w:pStyle w:val="ListBullet"/>
      </w:pPr>
      <w:r>
        <w:t>Labels and terminal identification.</w:t>
      </w:r>
    </w:p>
    <w:p>
      <w:pPr>
        <w:pStyle w:val="ListBullet"/>
      </w:pPr>
      <w:r>
        <w:t>Inspection and factory testing.</w:t>
      </w:r>
    </w:p>
    <w:p>
      <w:pPr>
        <w:pStyle w:val="ListBullet"/>
      </w:pPr>
      <w:r>
        <w:t>Drawings, BOM, and test reports.</w:t>
      </w:r>
    </w:p>
    <w:p>
      <w:pPr>
        <w:pStyle w:val="ListBullet"/>
      </w:pPr>
      <w:r>
        <w:t>Packing, delivery, and installation support.</w:t>
      </w:r>
    </w:p>
    <w:p>
      <w:r>
        <w:t>The buyer must state which activities are included and which remain the buyer's responsibility.</w:t>
      </w:r>
    </w:p>
    <w:p>
      <w:pPr>
        <w:pStyle w:val="Heading3"/>
      </w:pPr>
      <w:r>
        <w:t>4.3 Engineering-services RFQ</w:t>
      </w:r>
    </w:p>
    <w:p>
      <w:r>
        <w:t>Used for services such as PLC programming, robot integration, machine commissioning, electrical installation, or CNC retrofit.</w:t>
      </w:r>
    </w:p>
    <w:p>
      <w:r>
        <w:t>The RFQ should define deliverables, working hours, site conditions, access requirements, software ownership, acceptance criteria, and the responsibilities of each party.</w:t>
      </w:r>
    </w:p>
    <w:p>
      <w:pPr>
        <w:pStyle w:val="Heading3"/>
      </w:pPr>
      <w:r>
        <w:t>4.4 Retrofit RFQ</w:t>
      </w:r>
    </w:p>
    <w:p>
      <w:r>
        <w:t>Used when modifying an existing machine or system.</w:t>
      </w:r>
    </w:p>
    <w:p>
      <w:r>
        <w:t>The RFQ should identify:</w:t>
      </w:r>
    </w:p>
    <w:p>
      <w:pPr>
        <w:pStyle w:val="ListBullet"/>
      </w:pPr>
      <w:r>
        <w:t>Existing equipment and installed configuration.</w:t>
      </w:r>
    </w:p>
    <w:p>
      <w:pPr>
        <w:pStyle w:val="ListBullet"/>
      </w:pPr>
      <w:r>
        <w:t>Required modifications.</w:t>
      </w:r>
    </w:p>
    <w:p>
      <w:pPr>
        <w:pStyle w:val="ListBullet"/>
      </w:pPr>
      <w:r>
        <w:t>Compatibility constraints.</w:t>
      </w:r>
    </w:p>
    <w:p>
      <w:pPr>
        <w:pStyle w:val="ListBullet"/>
      </w:pPr>
      <w:r>
        <w:t>Required production availability.</w:t>
      </w:r>
    </w:p>
    <w:p>
      <w:pPr>
        <w:pStyle w:val="ListBullet"/>
      </w:pPr>
      <w:r>
        <w:t>Obsolete components and replacement requirements.</w:t>
      </w:r>
    </w:p>
    <w:p>
      <w:pPr>
        <w:pStyle w:val="ListBullet"/>
      </w:pPr>
      <w:r>
        <w:t>Backup and restoration expectations.</w:t>
      </w:r>
    </w:p>
    <w:p>
      <w:pPr>
        <w:pStyle w:val="ListBullet"/>
      </w:pPr>
      <w:r>
        <w:t>Testing and validation.</w:t>
      </w:r>
    </w:p>
    <w:p>
      <w:pPr>
        <w:pStyle w:val="ListBullet"/>
      </w:pPr>
      <w:r>
        <w:t>Required downtime and installation windows.</w:t>
      </w:r>
    </w:p>
    <w:p>
      <w:pPr>
        <w:pStyle w:val="ListBullet"/>
      </w:pPr>
      <w:r>
        <w:t>Documentation updates and handover.</w:t>
      </w:r>
    </w:p>
    <w:p>
      <w:r>
        <w:t>Retrofit RFQs require special attention because the supplier must work within an existing system whose undocumented behavior may be as important as its drawings.</w:t>
      </w:r>
    </w:p>
    <w:p>
      <w:pPr>
        <w:pStyle w:val="Heading3"/>
      </w:pPr>
      <w:r>
        <w:t>4.5 Complete automation-system RFQ</w:t>
      </w:r>
    </w:p>
    <w:p>
      <w:r>
        <w:t>Used for a machine, test cell, production line, or integrated automation solution.</w:t>
      </w:r>
    </w:p>
    <w:p>
      <w:r>
        <w:t>The scope may cover mechanical design, electrical design, PLC/HMI software, robots, safety systems, networking, commissioning, training, and production acceptance.</w:t>
      </w:r>
    </w:p>
    <w:p>
      <w:r>
        <w:t>For such projects, an RFQ often includes technical specifications, a scope-of-supply matrix, performance guarantees, project milestones, and formal acceptance criteria.</w:t>
      </w:r>
    </w:p>
    <w:p>
      <w:pPr>
        <w:pStyle w:val="Heading2"/>
      </w:pPr>
      <w:r>
        <w:t>5. Inputs required before preparing an RFQ</w:t>
      </w:r>
    </w:p>
    <w:p>
      <w:r>
        <w:t>An RFQ should be prepared from approved engineering information rather than informal assumptions.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Input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User Requirement Specification</w:t>
            </w:r>
          </w:p>
        </w:tc>
        <w:tc>
          <w:tcPr>
            <w:tcW w:type="dxa" w:w="5400"/>
          </w:tcPr>
          <w:p>
            <w:pPr>
              <w:spacing w:after="0" w:before="0" w:line="240" w:lineRule="auto"/>
              <w:jc w:val="left"/>
            </w:pPr>
            <w:r>
              <w:t>Defines the business and operational need</w:t>
            </w:r>
          </w:p>
        </w:tc>
      </w:tr>
      <w:tr>
        <w:tc>
          <w:tcPr>
            <w:tcW w:type="dxa" w:w="5400"/>
          </w:tcPr>
          <w:p>
            <w:pPr>
              <w:spacing w:after="0" w:before="0" w:line="240" w:lineRule="auto"/>
              <w:jc w:val="left"/>
            </w:pPr>
            <w:r>
              <w:t>Functional requirements</w:t>
            </w:r>
          </w:p>
        </w:tc>
        <w:tc>
          <w:tcPr>
            <w:tcW w:type="dxa" w:w="5400"/>
          </w:tcPr>
          <w:p>
            <w:pPr>
              <w:spacing w:after="0" w:before="0" w:line="240" w:lineRule="auto"/>
              <w:jc w:val="left"/>
            </w:pPr>
            <w:r>
              <w:t>Defines the required system behavior</w:t>
            </w:r>
          </w:p>
        </w:tc>
      </w:tr>
      <w:tr>
        <w:tc>
          <w:tcPr>
            <w:tcW w:type="dxa" w:w="5400"/>
          </w:tcPr>
          <w:p>
            <w:pPr>
              <w:spacing w:after="0" w:before="0" w:line="240" w:lineRule="auto"/>
              <w:jc w:val="left"/>
            </w:pPr>
            <w:r>
              <w:t>Electrical drawings</w:t>
            </w:r>
          </w:p>
        </w:tc>
        <w:tc>
          <w:tcPr>
            <w:tcW w:type="dxa" w:w="5400"/>
          </w:tcPr>
          <w:p>
            <w:pPr>
              <w:spacing w:after="0" w:before="0" w:line="240" w:lineRule="auto"/>
              <w:jc w:val="left"/>
            </w:pPr>
            <w:r>
              <w:t>Defines power and electrical interfaces</w:t>
            </w:r>
          </w:p>
        </w:tc>
      </w:tr>
      <w:tr>
        <w:tc>
          <w:tcPr>
            <w:tcW w:type="dxa" w:w="5400"/>
          </w:tcPr>
          <w:p>
            <w:pPr>
              <w:spacing w:after="0" w:before="0" w:line="240" w:lineRule="auto"/>
              <w:jc w:val="left"/>
            </w:pPr>
            <w:r>
              <w:t>I/O list</w:t>
            </w:r>
          </w:p>
        </w:tc>
        <w:tc>
          <w:tcPr>
            <w:tcW w:type="dxa" w:w="5400"/>
          </w:tcPr>
          <w:p>
            <w:pPr>
              <w:spacing w:after="0" w:before="0" w:line="240" w:lineRule="auto"/>
              <w:jc w:val="left"/>
            </w:pPr>
            <w:r>
              <w:t>Defines required signals and controller interfaces</w:t>
            </w:r>
          </w:p>
        </w:tc>
      </w:tr>
      <w:tr>
        <w:tc>
          <w:tcPr>
            <w:tcW w:type="dxa" w:w="5400"/>
          </w:tcPr>
          <w:p>
            <w:pPr>
              <w:spacing w:after="0" w:before="0" w:line="240" w:lineRule="auto"/>
              <w:jc w:val="left"/>
            </w:pPr>
            <w:r>
              <w:t>Mechanical drawings</w:t>
            </w:r>
          </w:p>
        </w:tc>
        <w:tc>
          <w:tcPr>
            <w:tcW w:type="dxa" w:w="5400"/>
          </w:tcPr>
          <w:p>
            <w:pPr>
              <w:spacing w:after="0" w:before="0" w:line="240" w:lineRule="auto"/>
              <w:jc w:val="left"/>
            </w:pPr>
            <w:r>
              <w:t>Defines mounting, dimensions, and physical interfaces</w:t>
            </w:r>
          </w:p>
        </w:tc>
      </w:tr>
      <w:tr>
        <w:tc>
          <w:tcPr>
            <w:tcW w:type="dxa" w:w="5400"/>
          </w:tcPr>
          <w:p>
            <w:pPr>
              <w:spacing w:after="0" w:before="0" w:line="240" w:lineRule="auto"/>
              <w:jc w:val="left"/>
            </w:pPr>
            <w:r>
              <w:t>Control philosophy</w:t>
            </w:r>
          </w:p>
        </w:tc>
        <w:tc>
          <w:tcPr>
            <w:tcW w:type="dxa" w:w="5400"/>
          </w:tcPr>
          <w:p>
            <w:pPr>
              <w:spacing w:after="0" w:before="0" w:line="240" w:lineRule="auto"/>
              <w:jc w:val="left"/>
            </w:pPr>
            <w:r>
              <w:t>Defines modes, sequence, and control responsibilities</w:t>
            </w:r>
          </w:p>
        </w:tc>
      </w:tr>
      <w:tr>
        <w:tc>
          <w:tcPr>
            <w:tcW w:type="dxa" w:w="5400"/>
          </w:tcPr>
          <w:p>
            <w:pPr>
              <w:spacing w:after="0" w:before="0" w:line="240" w:lineRule="auto"/>
              <w:jc w:val="left"/>
            </w:pPr>
            <w:r>
              <w:t>Safety concept</w:t>
            </w:r>
          </w:p>
        </w:tc>
        <w:tc>
          <w:tcPr>
            <w:tcW w:type="dxa" w:w="5400"/>
          </w:tcPr>
          <w:p>
            <w:pPr>
              <w:spacing w:after="0" w:before="0" w:line="240" w:lineRule="auto"/>
              <w:jc w:val="left"/>
            </w:pPr>
            <w:r>
              <w:t>Defines required safety functions and constraints</w:t>
            </w:r>
          </w:p>
        </w:tc>
      </w:tr>
      <w:tr>
        <w:tc>
          <w:tcPr>
            <w:tcW w:type="dxa" w:w="5400"/>
          </w:tcPr>
          <w:p>
            <w:pPr>
              <w:spacing w:after="0" w:before="0" w:line="240" w:lineRule="auto"/>
              <w:jc w:val="left"/>
            </w:pPr>
            <w:r>
              <w:t>Network architecture</w:t>
            </w:r>
          </w:p>
        </w:tc>
        <w:tc>
          <w:tcPr>
            <w:tcW w:type="dxa" w:w="5400"/>
          </w:tcPr>
          <w:p>
            <w:pPr>
              <w:spacing w:after="0" w:before="0" w:line="240" w:lineRule="auto"/>
              <w:jc w:val="left"/>
            </w:pPr>
            <w:r>
              <w:t>Defines communication requirements</w:t>
            </w:r>
          </w:p>
        </w:tc>
      </w:tr>
      <w:tr>
        <w:tc>
          <w:tcPr>
            <w:tcW w:type="dxa" w:w="5400"/>
          </w:tcPr>
          <w:p>
            <w:pPr>
              <w:spacing w:after="0" w:before="0" w:line="240" w:lineRule="auto"/>
              <w:jc w:val="left"/>
            </w:pPr>
            <w:r>
              <w:t>Bill of materials</w:t>
            </w:r>
          </w:p>
        </w:tc>
        <w:tc>
          <w:tcPr>
            <w:tcW w:type="dxa" w:w="5400"/>
          </w:tcPr>
          <w:p>
            <w:pPr>
              <w:spacing w:after="0" w:before="0" w:line="240" w:lineRule="auto"/>
              <w:jc w:val="left"/>
            </w:pPr>
            <w:r>
              <w:t>Identifies components when the design is already established</w:t>
            </w:r>
          </w:p>
        </w:tc>
      </w:tr>
      <w:tr>
        <w:tc>
          <w:tcPr>
            <w:tcW w:type="dxa" w:w="5400"/>
          </w:tcPr>
          <w:p>
            <w:pPr>
              <w:spacing w:after="0" w:before="0" w:line="240" w:lineRule="auto"/>
              <w:jc w:val="left"/>
            </w:pPr>
            <w:r>
              <w:t>Installation requirements</w:t>
            </w:r>
          </w:p>
        </w:tc>
        <w:tc>
          <w:tcPr>
            <w:tcW w:type="dxa" w:w="5400"/>
          </w:tcPr>
          <w:p>
            <w:pPr>
              <w:spacing w:after="0" w:before="0" w:line="240" w:lineRule="auto"/>
              <w:jc w:val="left"/>
            </w:pPr>
            <w:r>
              <w:t>Defines site conditions and installation responsibilities</w:t>
            </w:r>
          </w:p>
        </w:tc>
      </w:tr>
      <w:tr>
        <w:tc>
          <w:tcPr>
            <w:tcW w:type="dxa" w:w="5400"/>
          </w:tcPr>
          <w:p>
            <w:pPr>
              <w:spacing w:after="0" w:before="0" w:line="240" w:lineRule="auto"/>
              <w:jc w:val="left"/>
            </w:pPr>
            <w:r>
              <w:t>Project schedule</w:t>
            </w:r>
          </w:p>
        </w:tc>
        <w:tc>
          <w:tcPr>
            <w:tcW w:type="dxa" w:w="5400"/>
          </w:tcPr>
          <w:p>
            <w:pPr>
              <w:spacing w:after="0" w:before="0" w:line="240" w:lineRule="auto"/>
              <w:jc w:val="left"/>
            </w:pPr>
            <w:r>
              <w:t>Defines milestones and delivery expectations</w:t>
            </w:r>
          </w:p>
        </w:tc>
      </w:tr>
      <w:tr>
        <w:tc>
          <w:tcPr>
            <w:tcW w:type="dxa" w:w="5400"/>
          </w:tcPr>
          <w:p>
            <w:pPr>
              <w:spacing w:after="0" w:before="0" w:line="240" w:lineRule="auto"/>
              <w:jc w:val="left"/>
            </w:pPr>
            <w:r>
              <w:t>Budget or cost estimate</w:t>
            </w:r>
          </w:p>
        </w:tc>
        <w:tc>
          <w:tcPr>
            <w:tcW w:type="dxa" w:w="5400"/>
          </w:tcPr>
          <w:p>
            <w:pPr>
              <w:spacing w:after="0" w:before="0" w:line="240" w:lineRule="auto"/>
              <w:jc w:val="left"/>
            </w:pPr>
            <w:r>
              <w:t>Supports internal financial approval where required</w:t>
            </w:r>
          </w:p>
        </w:tc>
      </w:tr>
    </w:tbl>
    <w:p/>
    <w:p>
      <w:r>
        <w:t>If an essential input is missing, the RFQ should identify the open item, request supplier clarification, or establish a controlled assumption. It should not quietly convert uncertainty into a mandatory specification.</w:t>
      </w:r>
    </w:p>
    <w:p>
      <w:pPr>
        <w:pStyle w:val="Heading2"/>
      </w:pPr>
      <w:r>
        <w:t>6. Structure of a professional RFQ package</w:t>
      </w:r>
    </w:p>
    <w:p>
      <w:r>
        <w:t>A complete RFQ package may contain the following sections.</w:t>
      </w:r>
    </w:p>
    <w:p>
      <w:pPr>
        <w:pStyle w:val="Heading3"/>
      </w:pPr>
      <w:r>
        <w:t>6.1 RFQ identification</w:t>
      </w:r>
    </w:p>
    <w:p>
      <w:r>
        <w:t>Include:</w:t>
      </w:r>
    </w:p>
    <w:p>
      <w:pPr>
        <w:pStyle w:val="ListBullet"/>
      </w:pPr>
      <w:r>
        <w:t>RFQ number.</w:t>
      </w:r>
    </w:p>
    <w:p>
      <w:pPr>
        <w:pStyle w:val="ListBullet"/>
      </w:pPr>
      <w:r>
        <w:t>Project name.</w:t>
      </w:r>
    </w:p>
    <w:p>
      <w:pPr>
        <w:pStyle w:val="ListBullet"/>
      </w:pPr>
      <w:r>
        <w:t>Department or plant.</w:t>
      </w:r>
    </w:p>
    <w:p>
      <w:pPr>
        <w:pStyle w:val="ListBullet"/>
      </w:pPr>
      <w:r>
        <w:t>Issue date and revision.</w:t>
      </w:r>
    </w:p>
    <w:p>
      <w:pPr>
        <w:pStyle w:val="ListBullet"/>
      </w:pPr>
      <w:r>
        <w:t>Quotation submission deadline.</w:t>
      </w:r>
    </w:p>
    <w:p>
      <w:pPr>
        <w:pStyle w:val="ListBullet"/>
      </w:pPr>
      <w:r>
        <w:t>Procurement contact.</w:t>
      </w:r>
    </w:p>
    <w:p>
      <w:pPr>
        <w:pStyle w:val="ListBullet"/>
      </w:pPr>
      <w:r>
        <w:t>Technical contact.</w:t>
      </w:r>
    </w:p>
    <w:p>
      <w:pPr>
        <w:pStyle w:val="ListBullet"/>
      </w:pPr>
      <w:r>
        <w:t>Required quotation validity period.</w:t>
      </w:r>
    </w:p>
    <w:p>
      <w:pPr>
        <w:pStyle w:val="ListBullet"/>
      </w:pPr>
      <w:r>
        <w:t>Delivery location.</w:t>
      </w:r>
    </w:p>
    <w:p>
      <w:pPr>
        <w:pStyle w:val="ListBullet"/>
      </w:pPr>
      <w:r>
        <w:t>Instructions for submission.</w:t>
      </w:r>
    </w:p>
    <w:p>
      <w:r>
        <w:t>Use a controlled RFQ number and revision so that all invited suppliers quote against the same requirement.</w:t>
      </w:r>
    </w:p>
    <w:p>
      <w:pPr>
        <w:pStyle w:val="Heading3"/>
      </w:pPr>
      <w:r>
        <w:t>6.2 Scope of supply</w:t>
      </w:r>
    </w:p>
    <w:p>
      <w:r>
        <w:t>Define precisely what the supplier must provide.</w:t>
      </w:r>
    </w:p>
    <w:p>
      <w:r>
        <w:t>For a control-panel RFQ, the scope might include the enclosure, PLC, I/O modules, HMI, protective devices, terminals, wiring, engineering, inspection, FAT, and final documentation.</w:t>
      </w:r>
    </w:p>
    <w:p>
      <w:r>
        <w:t>Also identify exclusions, optional items, and buyer-supplied components.</w:t>
      </w:r>
    </w:p>
    <w:p>
      <w:pPr>
        <w:pStyle w:val="Heading3"/>
      </w:pPr>
      <w:r>
        <w:t>6.3 Technical specifications</w:t>
      </w:r>
    </w:p>
    <w:p>
      <w:r>
        <w:t>Specify applicable requirements such as:</w:t>
      </w:r>
    </w:p>
    <w:p>
      <w:pPr>
        <w:pStyle w:val="ListBullet"/>
      </w:pPr>
      <w:r>
        <w:t>Electrical supply.</w:t>
      </w:r>
    </w:p>
    <w:p>
      <w:pPr>
        <w:pStyle w:val="ListBullet"/>
      </w:pPr>
      <w:r>
        <w:t>Environmental conditions.</w:t>
      </w:r>
    </w:p>
    <w:p>
      <w:pPr>
        <w:pStyle w:val="ListBullet"/>
      </w:pPr>
      <w:r>
        <w:t>Required equipment and performance.</w:t>
      </w:r>
    </w:p>
    <w:p>
      <w:pPr>
        <w:pStyle w:val="ListBullet"/>
      </w:pPr>
      <w:r>
        <w:t>Communication protocols.</w:t>
      </w:r>
    </w:p>
    <w:p>
      <w:pPr>
        <w:pStyle w:val="ListBullet"/>
      </w:pPr>
      <w:r>
        <w:t>Mechanical interfaces.</w:t>
      </w:r>
    </w:p>
    <w:p>
      <w:pPr>
        <w:pStyle w:val="ListBullet"/>
      </w:pPr>
      <w:r>
        <w:t>Safety requirements.</w:t>
      </w:r>
    </w:p>
    <w:p>
      <w:pPr>
        <w:pStyle w:val="ListBullet"/>
      </w:pPr>
      <w:r>
        <w:t>Applicable standards.</w:t>
      </w:r>
    </w:p>
    <w:p>
      <w:pPr>
        <w:pStyle w:val="ListBullet"/>
      </w:pPr>
      <w:r>
        <w:t>Approved makes or compatibility constraints, where justified.</w:t>
      </w:r>
    </w:p>
    <w:p>
      <w:pPr>
        <w:pStyle w:val="ListBullet"/>
      </w:pPr>
      <w:r>
        <w:t>Testing and inspection requirements.</w:t>
      </w:r>
    </w:p>
    <w:p>
      <w:pPr>
        <w:pStyle w:val="ListBullet"/>
      </w:pPr>
      <w:r>
        <w:t>Documentation requirements.</w:t>
      </w:r>
    </w:p>
    <w:p>
      <w:r>
        <w:t>Avoid unnecessarily specifying proprietary features when an equivalent solution would meet the requirement. If a specific make or model is mandatory because of compatibility or standardization, state the reason and approval requirements for alternatives.</w:t>
      </w:r>
    </w:p>
    <w:p>
      <w:pPr>
        <w:pStyle w:val="Heading3"/>
      </w:pPr>
      <w:r>
        <w:t>6.4 Commercial requirements</w:t>
      </w:r>
    </w:p>
    <w:p>
      <w:r>
        <w:t>Include the information needed for a comparable commercial offer:</w:t>
      </w:r>
    </w:p>
    <w:p>
      <w:pPr>
        <w:pStyle w:val="ListBullet"/>
      </w:pPr>
      <w:r>
        <w:t>Item-wise price.</w:t>
      </w:r>
    </w:p>
    <w:p>
      <w:pPr>
        <w:pStyle w:val="ListBullet"/>
      </w:pPr>
      <w:r>
        <w:t>Engineering and service charges.</w:t>
      </w:r>
    </w:p>
    <w:p>
      <w:pPr>
        <w:pStyle w:val="ListBullet"/>
      </w:pPr>
      <w:r>
        <w:t>Installation and commissioning charges.</w:t>
      </w:r>
    </w:p>
    <w:p>
      <w:pPr>
        <w:pStyle w:val="ListBullet"/>
      </w:pPr>
      <w:r>
        <w:t>Packing and transportation.</w:t>
      </w:r>
    </w:p>
    <w:p>
      <w:pPr>
        <w:pStyle w:val="ListBullet"/>
      </w:pPr>
      <w:r>
        <w:t>Applicable taxes and duties.</w:t>
      </w:r>
    </w:p>
    <w:p>
      <w:pPr>
        <w:pStyle w:val="ListBullet"/>
      </w:pPr>
      <w:r>
        <w:t>Payment terms.</w:t>
      </w:r>
    </w:p>
    <w:p>
      <w:pPr>
        <w:pStyle w:val="ListBullet"/>
      </w:pPr>
      <w:r>
        <w:t>Delivery lead time.</w:t>
      </w:r>
    </w:p>
    <w:p>
      <w:pPr>
        <w:pStyle w:val="ListBullet"/>
      </w:pPr>
      <w:r>
        <w:t>Quotation validity.</w:t>
      </w:r>
    </w:p>
    <w:p>
      <w:pPr>
        <w:pStyle w:val="ListBullet"/>
      </w:pPr>
      <w:r>
        <w:t>Warranty.</w:t>
      </w:r>
    </w:p>
    <w:p>
      <w:pPr>
        <w:pStyle w:val="ListBullet"/>
      </w:pPr>
      <w:r>
        <w:t>Price escalation conditions, if any.</w:t>
      </w:r>
    </w:p>
    <w:p>
      <w:pPr>
        <w:pStyle w:val="ListBullet"/>
      </w:pPr>
      <w:r>
        <w:t>Optional items and exclusions.</w:t>
      </w:r>
    </w:p>
    <w:p>
      <w:r>
        <w:t>Commercial terms must be consistent with the organization's purchasing policy and applicable law.</w:t>
      </w:r>
    </w:p>
    <w:p>
      <w:pPr>
        <w:pStyle w:val="Heading3"/>
      </w:pPr>
      <w:r>
        <w:t>6.5 Delivery and acceptance</w:t>
      </w:r>
    </w:p>
    <w:p>
      <w:r>
        <w:t>Define:</w:t>
      </w:r>
    </w:p>
    <w:p>
      <w:pPr>
        <w:pStyle w:val="ListBullet"/>
      </w:pPr>
      <w:r>
        <w:t>Required delivery date or milestone schedule.</w:t>
      </w:r>
    </w:p>
    <w:p>
      <w:pPr>
        <w:pStyle w:val="ListBullet"/>
      </w:pPr>
      <w:r>
        <w:t>Delivery location and delivery terms.</w:t>
      </w:r>
    </w:p>
    <w:p>
      <w:pPr>
        <w:pStyle w:val="ListBullet"/>
      </w:pPr>
      <w:r>
        <w:t>Inspection requirements.</w:t>
      </w:r>
    </w:p>
    <w:p>
      <w:pPr>
        <w:pStyle w:val="ListBullet"/>
      </w:pPr>
      <w:r>
        <w:t>FAT and SAT obligations.</w:t>
      </w:r>
    </w:p>
    <w:p>
      <w:pPr>
        <w:pStyle w:val="ListBullet"/>
      </w:pPr>
      <w:r>
        <w:t>Acceptance criteria.</w:t>
      </w:r>
    </w:p>
    <w:p>
      <w:pPr>
        <w:pStyle w:val="ListBullet"/>
      </w:pPr>
      <w:r>
        <w:t>Required certificates and reports.</w:t>
      </w:r>
    </w:p>
    <w:p>
      <w:pPr>
        <w:pStyle w:val="ListBullet"/>
      </w:pPr>
      <w:r>
        <w:t>Handover documents.</w:t>
      </w:r>
    </w:p>
    <w:p>
      <w:pPr>
        <w:pStyle w:val="ListBullet"/>
      </w:pPr>
      <w:r>
        <w:t>Warranty commencement conditions.</w:t>
      </w:r>
    </w:p>
    <w:p>
      <w:r>
        <w:t>A supplier should not be left to guess whether delivery means arrival at the plant, completion of installation, successful commissioning, or final acceptance.</w:t>
      </w:r>
    </w:p>
    <w:p>
      <w:pPr>
        <w:pStyle w:val="Heading2"/>
      </w:pPr>
      <w:r>
        <w:t>7. Writing technical specifications for automation equipment</w:t>
      </w:r>
    </w:p>
    <w:p>
      <w:r>
        <w:t>Technical specifications should be measurable, unambiguous, and verifiable.</w:t>
      </w:r>
    </w:p>
    <w:p>
      <w:pPr>
        <w:pStyle w:val="Heading3"/>
      </w:pPr>
      <w:r>
        <w:t>7.1 Weak versus strong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Weak requirement</w:t>
            </w:r>
          </w:p>
        </w:tc>
        <w:tc>
          <w:tcPr>
            <w:tcW w:type="dxa" w:w="5400"/>
            <w:shd w:val="clear" w:color="auto" w:fill="EEF2F7"/>
          </w:tcPr>
          <w:p>
            <w:pPr>
              <w:spacing w:after="0" w:before="0" w:line="240" w:lineRule="auto"/>
              <w:jc w:val="left"/>
            </w:pPr>
            <w:r>
              <w:rPr>
                <w:b/>
                <w:color w:val="1A2E4A"/>
              </w:rPr>
              <w:t>Better requirement</w:t>
            </w:r>
          </w:p>
        </w:tc>
      </w:tr>
      <w:tr>
        <w:tc>
          <w:tcPr>
            <w:tcW w:type="dxa" w:w="5400"/>
          </w:tcPr>
          <w:p>
            <w:pPr>
              <w:spacing w:after="0" w:before="0" w:line="240" w:lineRule="auto"/>
              <w:jc w:val="left"/>
            </w:pPr>
            <w:r>
              <w:t>Supply a suitable PLC</w:t>
            </w:r>
          </w:p>
        </w:tc>
        <w:tc>
          <w:tcPr>
            <w:tcW w:type="dxa" w:w="5400"/>
          </w:tcPr>
          <w:p>
            <w:pPr>
              <w:spacing w:after="0" w:before="0" w:line="240" w:lineRule="auto"/>
              <w:jc w:val="left"/>
            </w:pPr>
            <w:r>
              <w:t>Supply a PLC meeting the specified I/O, processing, communication, environmental, and compatibility requirements</w:t>
            </w:r>
          </w:p>
        </w:tc>
      </w:tr>
      <w:tr>
        <w:tc>
          <w:tcPr>
            <w:tcW w:type="dxa" w:w="5400"/>
          </w:tcPr>
          <w:p>
            <w:pPr>
              <w:spacing w:after="0" w:before="0" w:line="240" w:lineRule="auto"/>
              <w:jc w:val="left"/>
            </w:pPr>
            <w:r>
              <w:t>Provide a fast machine</w:t>
            </w:r>
          </w:p>
        </w:tc>
        <w:tc>
          <w:tcPr>
            <w:tcW w:type="dxa" w:w="5400"/>
          </w:tcPr>
          <w:p>
            <w:pPr>
              <w:spacing w:after="0" w:before="0" w:line="240" w:lineRule="auto"/>
              <w:jc w:val="left"/>
            </w:pPr>
            <w:r>
              <w:t>Define required cycle time, operating conditions, measurement method, and acceptance tolerance</w:t>
            </w:r>
          </w:p>
        </w:tc>
      </w:tr>
      <w:tr>
        <w:tc>
          <w:tcPr>
            <w:tcW w:type="dxa" w:w="5400"/>
          </w:tcPr>
          <w:p>
            <w:pPr>
              <w:spacing w:after="0" w:before="0" w:line="240" w:lineRule="auto"/>
              <w:jc w:val="left"/>
            </w:pPr>
            <w:r>
              <w:t>Provide sufficient spare capacity</w:t>
            </w:r>
          </w:p>
        </w:tc>
        <w:tc>
          <w:tcPr>
            <w:tcW w:type="dxa" w:w="5400"/>
          </w:tcPr>
          <w:p>
            <w:pPr>
              <w:spacing w:after="0" w:before="0" w:line="240" w:lineRule="auto"/>
              <w:jc w:val="left"/>
            </w:pPr>
            <w:r>
              <w:t>State required spare I/O, expansion capability, panel space, and power allowance</w:t>
            </w:r>
          </w:p>
        </w:tc>
      </w:tr>
      <w:tr>
        <w:tc>
          <w:tcPr>
            <w:tcW w:type="dxa" w:w="5400"/>
          </w:tcPr>
          <w:p>
            <w:pPr>
              <w:spacing w:after="0" w:before="0" w:line="240" w:lineRule="auto"/>
              <w:jc w:val="left"/>
            </w:pPr>
            <w:r>
              <w:t>Use a reliable sensor</w:t>
            </w:r>
          </w:p>
        </w:tc>
        <w:tc>
          <w:tcPr>
            <w:tcW w:type="dxa" w:w="5400"/>
          </w:tcPr>
          <w:p>
            <w:pPr>
              <w:spacing w:after="0" w:before="0" w:line="240" w:lineRule="auto"/>
              <w:jc w:val="left"/>
            </w:pPr>
            <w:r>
              <w:t>Define detection target, sensing range, response time, repeatability, environment, and interface</w:t>
            </w:r>
          </w:p>
        </w:tc>
      </w:tr>
      <w:tr>
        <w:tc>
          <w:tcPr>
            <w:tcW w:type="dxa" w:w="5400"/>
          </w:tcPr>
          <w:p>
            <w:pPr>
              <w:spacing w:after="0" w:before="0" w:line="240" w:lineRule="auto"/>
              <w:jc w:val="left"/>
            </w:pPr>
            <w:r>
              <w:t>Provide complete documentation</w:t>
            </w:r>
          </w:p>
        </w:tc>
        <w:tc>
          <w:tcPr>
            <w:tcW w:type="dxa" w:w="5400"/>
          </w:tcPr>
          <w:p>
            <w:pPr>
              <w:spacing w:after="0" w:before="0" w:line="240" w:lineRule="auto"/>
              <w:jc w:val="left"/>
            </w:pPr>
            <w:r>
              <w:t>List required drawings, software backups, parameter files, manuals, test reports, and file formats</w:t>
            </w:r>
          </w:p>
        </w:tc>
      </w:tr>
      <w:tr>
        <w:tc>
          <w:tcPr>
            <w:tcW w:type="dxa" w:w="5400"/>
          </w:tcPr>
          <w:p>
            <w:pPr>
              <w:spacing w:after="0" w:before="0" w:line="240" w:lineRule="auto"/>
              <w:jc w:val="left"/>
            </w:pPr>
            <w:r>
              <w:t>Machine should be safe</w:t>
            </w:r>
          </w:p>
        </w:tc>
        <w:tc>
          <w:tcPr>
            <w:tcW w:type="dxa" w:w="5400"/>
          </w:tcPr>
          <w:p>
            <w:pPr>
              <w:spacing w:after="0" w:before="0" w:line="240" w:lineRule="auto"/>
              <w:jc w:val="left"/>
            </w:pPr>
            <w:r>
              <w:t>Specify required safety functions, applicable design requirements, validation evidence, and acceptance process</w:t>
            </w:r>
          </w:p>
        </w:tc>
      </w:tr>
    </w:tbl>
    <w:p/>
    <w:p>
      <w:r>
        <w:t>The better requirement does not necessarily need to specify a particular model. It specifies what the equipment must achieve and how compliance will be verified.</w:t>
      </w:r>
    </w:p>
    <w:p>
      <w:pPr>
        <w:pStyle w:val="Heading3"/>
      </w:pPr>
      <w:r>
        <w:t>7.2 Example: PLC RFQ specification</w:t>
      </w:r>
    </w:p>
    <w:p>
      <w:r>
        <w:t>A PLC RFQ might require:</w:t>
      </w:r>
    </w:p>
    <w:p>
      <w:pPr>
        <w:pStyle w:val="ListBullet"/>
      </w:pPr>
      <w:r>
        <w:t>Required number and type of digital inputs and outputs.</w:t>
      </w:r>
    </w:p>
    <w:p>
      <w:pPr>
        <w:pStyle w:val="ListBullet"/>
      </w:pPr>
      <w:r>
        <w:t>Required analog input and output ranges.</w:t>
      </w:r>
    </w:p>
    <w:p>
      <w:pPr>
        <w:pStyle w:val="ListBullet"/>
      </w:pPr>
      <w:r>
        <w:t>Expected I/O expansion capacity.</w:t>
      </w:r>
    </w:p>
    <w:p>
      <w:pPr>
        <w:pStyle w:val="ListBullet"/>
      </w:pPr>
      <w:r>
        <w:t>Communication interfaces and protocols.</w:t>
      </w:r>
    </w:p>
    <w:p>
      <w:pPr>
        <w:pStyle w:val="ListBullet"/>
      </w:pPr>
      <w:r>
        <w:t>Compatibility with the plant's existing automation system.</w:t>
      </w:r>
    </w:p>
    <w:p>
      <w:pPr>
        <w:pStyle w:val="ListBullet"/>
      </w:pPr>
      <w:r>
        <w:t>Required programming software and supported versions.</w:t>
      </w:r>
    </w:p>
    <w:p>
      <w:pPr>
        <w:pStyle w:val="ListBullet"/>
      </w:pPr>
      <w:r>
        <w:t>Required diagnostics and fault reporting.</w:t>
      </w:r>
    </w:p>
    <w:p>
      <w:pPr>
        <w:pStyle w:val="ListBullet"/>
      </w:pPr>
      <w:r>
        <w:t>Environmental and installation conditions.</w:t>
      </w:r>
    </w:p>
    <w:p>
      <w:pPr>
        <w:pStyle w:val="ListBullet"/>
      </w:pPr>
      <w:r>
        <w:t>Spare-capacity requirements.</w:t>
      </w:r>
    </w:p>
    <w:p>
      <w:pPr>
        <w:pStyle w:val="ListBullet"/>
      </w:pPr>
      <w:r>
        <w:t>Engineering files, source program, and backup deliverables.</w:t>
      </w:r>
    </w:p>
    <w:p>
      <w:pPr>
        <w:pStyle w:val="ListBullet"/>
      </w:pPr>
      <w:r>
        <w:t>Testing, commissioning, and training obligations.</w:t>
      </w:r>
    </w:p>
    <w:p>
      <w:r>
        <w:t>The exact quantities and performance requirements must come from the approved project design.</w:t>
      </w:r>
    </w:p>
    <w:p>
      <w:pPr>
        <w:pStyle w:val="Heading3"/>
      </w:pPr>
      <w:r>
        <w:t>7.3 Example: VFD RFQ specification</w:t>
      </w:r>
    </w:p>
    <w:p>
      <w:r>
        <w:t>Define:</w:t>
      </w:r>
    </w:p>
    <w:p>
      <w:pPr>
        <w:pStyle w:val="ListBullet"/>
      </w:pPr>
      <w:r>
        <w:t>Motor rated power and current.</w:t>
      </w:r>
    </w:p>
    <w:p>
      <w:pPr>
        <w:pStyle w:val="ListBullet"/>
      </w:pPr>
      <w:r>
        <w:t>Supply voltage and frequency.</w:t>
      </w:r>
    </w:p>
    <w:p>
      <w:pPr>
        <w:pStyle w:val="ListBullet"/>
      </w:pPr>
      <w:r>
        <w:t>Required speed range.</w:t>
      </w:r>
    </w:p>
    <w:p>
      <w:pPr>
        <w:pStyle w:val="ListBullet"/>
      </w:pPr>
      <w:r>
        <w:t>Load and overload duty.</w:t>
      </w:r>
    </w:p>
    <w:p>
      <w:pPr>
        <w:pStyle w:val="ListBullet"/>
      </w:pPr>
      <w:r>
        <w:t>Control method.</w:t>
      </w:r>
    </w:p>
    <w:p>
      <w:pPr>
        <w:pStyle w:val="ListBullet"/>
      </w:pPr>
      <w:r>
        <w:t>Required communication interface.</w:t>
      </w:r>
    </w:p>
    <w:p>
      <w:pPr>
        <w:pStyle w:val="ListBullet"/>
      </w:pPr>
      <w:r>
        <w:t>Required safety functions.</w:t>
      </w:r>
    </w:p>
    <w:p>
      <w:pPr>
        <w:pStyle w:val="ListBullet"/>
      </w:pPr>
      <w:r>
        <w:t>EMC and installation constraints.</w:t>
      </w:r>
    </w:p>
    <w:p>
      <w:pPr>
        <w:pStyle w:val="ListBullet"/>
      </w:pPr>
      <w:r>
        <w:t>Required accessories.</w:t>
      </w:r>
    </w:p>
    <w:p>
      <w:pPr>
        <w:pStyle w:val="ListBullet"/>
      </w:pPr>
      <w:r>
        <w:t>Commissioning and parameter backup.</w:t>
      </w:r>
    </w:p>
    <w:p>
      <w:pPr>
        <w:pStyle w:val="ListBullet"/>
      </w:pPr>
      <w:r>
        <w:t>Documentation and warranty.</w:t>
      </w:r>
    </w:p>
    <w:p>
      <w:r>
        <w:t>A VFD should not be selected on motor kilowatts alone. Motor current, application duty, load behavior, installation conditions, and manufacturer requirements also matter.</w:t>
      </w:r>
    </w:p>
    <w:p>
      <w:pPr>
        <w:pStyle w:val="Heading2"/>
      </w:pPr>
      <w:r>
        <w:t>8. Bill of quantities and bill of materials</w:t>
      </w:r>
    </w:p>
    <w:p>
      <w:r>
        <w:t>A Bill of Quantities (BOQ) lists the items or work quantities being requested or priced. A Bill of Materials (BOM) identifies the components required to build an assembly or system.</w:t>
      </w:r>
    </w:p>
    <w:p>
      <w:r>
        <w:t>The exact usage varies between organizations, but the distinction is useful.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Item</w:t>
            </w:r>
          </w:p>
        </w:tc>
        <w:tc>
          <w:tcPr>
            <w:tcW w:type="dxa" w:w="2160"/>
            <w:shd w:val="clear" w:color="auto" w:fill="EEF2F7"/>
          </w:tcPr>
          <w:p>
            <w:pPr>
              <w:spacing w:after="0" w:before="0" w:line="240" w:lineRule="auto"/>
              <w:jc w:val="left"/>
            </w:pPr>
            <w:r>
              <w:rPr>
                <w:b/>
                <w:color w:val="1A2E4A"/>
              </w:rPr>
              <w:t>Description</w:t>
            </w:r>
          </w:p>
        </w:tc>
        <w:tc>
          <w:tcPr>
            <w:tcW w:type="dxa" w:w="2160"/>
            <w:shd w:val="clear" w:color="auto" w:fill="EEF2F7"/>
          </w:tcPr>
          <w:p>
            <w:pPr>
              <w:spacing w:after="0" w:before="0" w:line="240" w:lineRule="auto"/>
              <w:jc w:val="left"/>
            </w:pPr>
            <w:r>
              <w:rPr>
                <w:b/>
                <w:color w:val="1A2E4A"/>
              </w:rPr>
              <w:t>Quantity</w:t>
            </w:r>
          </w:p>
        </w:tc>
        <w:tc>
          <w:tcPr>
            <w:tcW w:type="dxa" w:w="2160"/>
            <w:shd w:val="clear" w:color="auto" w:fill="EEF2F7"/>
          </w:tcPr>
          <w:p>
            <w:pPr>
              <w:spacing w:after="0" w:before="0" w:line="240" w:lineRule="auto"/>
              <w:jc w:val="left"/>
            </w:pPr>
            <w:r>
              <w:rPr>
                <w:b/>
                <w:color w:val="1A2E4A"/>
              </w:rPr>
              <w:t>Unit</w:t>
            </w:r>
          </w:p>
        </w:tc>
        <w:tc>
          <w:tcPr>
            <w:tcW w:type="dxa" w:w="2160"/>
            <w:shd w:val="clear" w:color="auto" w:fill="EEF2F7"/>
          </w:tcPr>
          <w:p>
            <w:pPr>
              <w:spacing w:after="0" w:before="0" w:line="240" w:lineRule="auto"/>
              <w:jc w:val="left"/>
            </w:pPr>
            <w:r>
              <w:rPr>
                <w:b/>
                <w:color w:val="1A2E4A"/>
              </w:rPr>
              <w:t>Technical requirement</w:t>
            </w:r>
          </w:p>
        </w:tc>
      </w:tr>
      <w:tr>
        <w:tc>
          <w:tcPr>
            <w:tcW w:type="dxa" w:w="2160"/>
          </w:tcPr>
          <w:p>
            <w:pPr>
              <w:spacing w:after="0" w:before="0" w:line="240" w:lineRule="auto"/>
              <w:jc w:val="left"/>
            </w:pPr>
            <w:r>
              <w:t>1</w:t>
            </w:r>
          </w:p>
        </w:tc>
        <w:tc>
          <w:tcPr>
            <w:tcW w:type="dxa" w:w="2160"/>
          </w:tcPr>
          <w:p>
            <w:pPr>
              <w:spacing w:after="0" w:before="0" w:line="240" w:lineRule="auto"/>
              <w:jc w:val="left"/>
            </w:pPr>
            <w:r>
              <w:t>PLC CPU</w:t>
            </w:r>
          </w:p>
        </w:tc>
        <w:tc>
          <w:tcPr>
            <w:tcW w:type="dxa" w:w="2160"/>
          </w:tcPr>
          <w:p>
            <w:pPr>
              <w:spacing w:after="0" w:before="0" w:line="240" w:lineRule="auto"/>
              <w:jc w:val="left"/>
            </w:pPr>
            <w:r>
              <w:t>1</w:t>
            </w:r>
          </w:p>
        </w:tc>
        <w:tc>
          <w:tcPr>
            <w:tcW w:type="dxa" w:w="2160"/>
          </w:tcPr>
          <w:p>
            <w:pPr>
              <w:spacing w:after="0" w:before="0" w:line="240" w:lineRule="auto"/>
              <w:jc w:val="left"/>
            </w:pPr>
            <w:r>
              <w:t>No.</w:t>
            </w:r>
          </w:p>
        </w:tc>
        <w:tc>
          <w:tcPr>
            <w:tcW w:type="dxa" w:w="2160"/>
          </w:tcPr>
          <w:p>
            <w:pPr>
              <w:spacing w:after="0" w:before="0" w:line="240" w:lineRule="auto"/>
              <w:jc w:val="left"/>
            </w:pPr>
            <w:r>
              <w:t>Approved controller family and required interfaces</w:t>
            </w:r>
          </w:p>
        </w:tc>
      </w:tr>
      <w:tr>
        <w:tc>
          <w:tcPr>
            <w:tcW w:type="dxa" w:w="2160"/>
          </w:tcPr>
          <w:p>
            <w:pPr>
              <w:spacing w:after="0" w:before="0" w:line="240" w:lineRule="auto"/>
              <w:jc w:val="left"/>
            </w:pPr>
            <w:r>
              <w:t>2</w:t>
            </w:r>
          </w:p>
        </w:tc>
        <w:tc>
          <w:tcPr>
            <w:tcW w:type="dxa" w:w="2160"/>
          </w:tcPr>
          <w:p>
            <w:pPr>
              <w:spacing w:after="0" w:before="0" w:line="240" w:lineRule="auto"/>
              <w:jc w:val="left"/>
            </w:pPr>
            <w:r>
              <w:t>Digital input module</w:t>
            </w:r>
          </w:p>
        </w:tc>
        <w:tc>
          <w:tcPr>
            <w:tcW w:type="dxa" w:w="2160"/>
          </w:tcPr>
          <w:p>
            <w:pPr>
              <w:spacing w:after="0" w:before="0" w:line="240" w:lineRule="auto"/>
              <w:jc w:val="left"/>
            </w:pPr>
            <w:r>
              <w:t>2</w:t>
            </w:r>
          </w:p>
        </w:tc>
        <w:tc>
          <w:tcPr>
            <w:tcW w:type="dxa" w:w="2160"/>
          </w:tcPr>
          <w:p>
            <w:pPr>
              <w:spacing w:after="0" w:before="0" w:line="240" w:lineRule="auto"/>
              <w:jc w:val="left"/>
            </w:pPr>
            <w:r>
              <w:t>No.</w:t>
            </w:r>
          </w:p>
        </w:tc>
        <w:tc>
          <w:tcPr>
            <w:tcW w:type="dxa" w:w="2160"/>
          </w:tcPr>
          <w:p>
            <w:pPr>
              <w:spacing w:after="0" w:before="0" w:line="240" w:lineRule="auto"/>
              <w:jc w:val="left"/>
            </w:pPr>
            <w:r>
              <w:t>Required voltage and channel count</w:t>
            </w:r>
          </w:p>
        </w:tc>
      </w:tr>
      <w:tr>
        <w:tc>
          <w:tcPr>
            <w:tcW w:type="dxa" w:w="2160"/>
          </w:tcPr>
          <w:p>
            <w:pPr>
              <w:spacing w:after="0" w:before="0" w:line="240" w:lineRule="auto"/>
              <w:jc w:val="left"/>
            </w:pPr>
            <w:r>
              <w:t>3</w:t>
            </w:r>
          </w:p>
        </w:tc>
        <w:tc>
          <w:tcPr>
            <w:tcW w:type="dxa" w:w="2160"/>
          </w:tcPr>
          <w:p>
            <w:pPr>
              <w:spacing w:after="0" w:before="0" w:line="240" w:lineRule="auto"/>
              <w:jc w:val="left"/>
            </w:pPr>
            <w:r>
              <w:t>Digital output module</w:t>
            </w:r>
          </w:p>
        </w:tc>
        <w:tc>
          <w:tcPr>
            <w:tcW w:type="dxa" w:w="2160"/>
          </w:tcPr>
          <w:p>
            <w:pPr>
              <w:spacing w:after="0" w:before="0" w:line="240" w:lineRule="auto"/>
              <w:jc w:val="left"/>
            </w:pPr>
            <w:r>
              <w:t>2</w:t>
            </w:r>
          </w:p>
        </w:tc>
        <w:tc>
          <w:tcPr>
            <w:tcW w:type="dxa" w:w="2160"/>
          </w:tcPr>
          <w:p>
            <w:pPr>
              <w:spacing w:after="0" w:before="0" w:line="240" w:lineRule="auto"/>
              <w:jc w:val="left"/>
            </w:pPr>
            <w:r>
              <w:t>No.</w:t>
            </w:r>
          </w:p>
        </w:tc>
        <w:tc>
          <w:tcPr>
            <w:tcW w:type="dxa" w:w="2160"/>
          </w:tcPr>
          <w:p>
            <w:pPr>
              <w:spacing w:after="0" w:before="0" w:line="240" w:lineRule="auto"/>
              <w:jc w:val="left"/>
            </w:pPr>
            <w:r>
              <w:t>Required output type and channel count</w:t>
            </w:r>
          </w:p>
        </w:tc>
      </w:tr>
      <w:tr>
        <w:tc>
          <w:tcPr>
            <w:tcW w:type="dxa" w:w="2160"/>
          </w:tcPr>
          <w:p>
            <w:pPr>
              <w:spacing w:after="0" w:before="0" w:line="240" w:lineRule="auto"/>
              <w:jc w:val="left"/>
            </w:pPr>
            <w:r>
              <w:t>4</w:t>
            </w:r>
          </w:p>
        </w:tc>
        <w:tc>
          <w:tcPr>
            <w:tcW w:type="dxa" w:w="2160"/>
          </w:tcPr>
          <w:p>
            <w:pPr>
              <w:spacing w:after="0" w:before="0" w:line="240" w:lineRule="auto"/>
              <w:jc w:val="left"/>
            </w:pPr>
            <w:r>
              <w:t>Industrial Ethernet switch</w:t>
            </w:r>
          </w:p>
        </w:tc>
        <w:tc>
          <w:tcPr>
            <w:tcW w:type="dxa" w:w="2160"/>
          </w:tcPr>
          <w:p>
            <w:pPr>
              <w:spacing w:after="0" w:before="0" w:line="240" w:lineRule="auto"/>
              <w:jc w:val="left"/>
            </w:pPr>
            <w:r>
              <w:t>1</w:t>
            </w:r>
          </w:p>
        </w:tc>
        <w:tc>
          <w:tcPr>
            <w:tcW w:type="dxa" w:w="2160"/>
          </w:tcPr>
          <w:p>
            <w:pPr>
              <w:spacing w:after="0" w:before="0" w:line="240" w:lineRule="auto"/>
              <w:jc w:val="left"/>
            </w:pPr>
            <w:r>
              <w:t>No.</w:t>
            </w:r>
          </w:p>
        </w:tc>
        <w:tc>
          <w:tcPr>
            <w:tcW w:type="dxa" w:w="2160"/>
          </w:tcPr>
          <w:p>
            <w:pPr>
              <w:spacing w:after="0" w:before="0" w:line="240" w:lineRule="auto"/>
              <w:jc w:val="left"/>
            </w:pPr>
            <w:r>
              <w:t>Required ports and network capabilities</w:t>
            </w:r>
          </w:p>
        </w:tc>
      </w:tr>
      <w:tr>
        <w:tc>
          <w:tcPr>
            <w:tcW w:type="dxa" w:w="2160"/>
          </w:tcPr>
          <w:p>
            <w:pPr>
              <w:spacing w:after="0" w:before="0" w:line="240" w:lineRule="auto"/>
              <w:jc w:val="left"/>
            </w:pPr>
            <w:r>
              <w:t>5</w:t>
            </w:r>
          </w:p>
        </w:tc>
        <w:tc>
          <w:tcPr>
            <w:tcW w:type="dxa" w:w="2160"/>
          </w:tcPr>
          <w:p>
            <w:pPr>
              <w:spacing w:after="0" w:before="0" w:line="240" w:lineRule="auto"/>
              <w:jc w:val="left"/>
            </w:pPr>
            <w:r>
              <w:t>Control power supply</w:t>
            </w:r>
          </w:p>
        </w:tc>
        <w:tc>
          <w:tcPr>
            <w:tcW w:type="dxa" w:w="2160"/>
          </w:tcPr>
          <w:p>
            <w:pPr>
              <w:spacing w:after="0" w:before="0" w:line="240" w:lineRule="auto"/>
              <w:jc w:val="left"/>
            </w:pPr>
            <w:r>
              <w:t>1</w:t>
            </w:r>
          </w:p>
        </w:tc>
        <w:tc>
          <w:tcPr>
            <w:tcW w:type="dxa" w:w="2160"/>
          </w:tcPr>
          <w:p>
            <w:pPr>
              <w:spacing w:after="0" w:before="0" w:line="240" w:lineRule="auto"/>
              <w:jc w:val="left"/>
            </w:pPr>
            <w:r>
              <w:t>No.</w:t>
            </w:r>
          </w:p>
        </w:tc>
        <w:tc>
          <w:tcPr>
            <w:tcW w:type="dxa" w:w="2160"/>
          </w:tcPr>
          <w:p>
            <w:pPr>
              <w:spacing w:after="0" w:before="0" w:line="240" w:lineRule="auto"/>
              <w:jc w:val="left"/>
            </w:pPr>
            <w:r>
              <w:t>Required output voltage and current capacity</w:t>
            </w:r>
          </w:p>
        </w:tc>
      </w:tr>
      <w:tr>
        <w:tc>
          <w:tcPr>
            <w:tcW w:type="dxa" w:w="2160"/>
          </w:tcPr>
          <w:p>
            <w:pPr>
              <w:spacing w:after="0" w:before="0" w:line="240" w:lineRule="auto"/>
              <w:jc w:val="left"/>
            </w:pPr>
            <w:r>
              <w:t>6</w:t>
            </w:r>
          </w:p>
        </w:tc>
        <w:tc>
          <w:tcPr>
            <w:tcW w:type="dxa" w:w="2160"/>
          </w:tcPr>
          <w:p>
            <w:pPr>
              <w:spacing w:after="0" w:before="0" w:line="240" w:lineRule="auto"/>
              <w:jc w:val="left"/>
            </w:pPr>
            <w:r>
              <w:t>Engineering and commissioning</w:t>
            </w:r>
          </w:p>
        </w:tc>
        <w:tc>
          <w:tcPr>
            <w:tcW w:type="dxa" w:w="2160"/>
          </w:tcPr>
          <w:p>
            <w:pPr>
              <w:spacing w:after="0" w:before="0" w:line="240" w:lineRule="auto"/>
              <w:jc w:val="left"/>
            </w:pPr>
            <w:r>
              <w:t>1</w:t>
            </w:r>
          </w:p>
        </w:tc>
        <w:tc>
          <w:tcPr>
            <w:tcW w:type="dxa" w:w="2160"/>
          </w:tcPr>
          <w:p>
            <w:pPr>
              <w:spacing w:after="0" w:before="0" w:line="240" w:lineRule="auto"/>
              <w:jc w:val="left"/>
            </w:pPr>
            <w:r>
              <w:t>Lot</w:t>
            </w:r>
          </w:p>
        </w:tc>
        <w:tc>
          <w:tcPr>
            <w:tcW w:type="dxa" w:w="2160"/>
          </w:tcPr>
          <w:p>
            <w:pPr>
              <w:spacing w:after="0" w:before="0" w:line="240" w:lineRule="auto"/>
              <w:jc w:val="left"/>
            </w:pPr>
            <w:r>
              <w:t>Defined deliverables and acceptance criteria</w:t>
            </w:r>
          </w:p>
        </w:tc>
      </w:tr>
    </w:tbl>
    <w:p/>
    <w:p>
      <w:r>
        <w:t>This is an illustrative structure, not a final purchasing specification.</w:t>
      </w:r>
    </w:p>
    <w:p>
      <w:pPr>
        <w:pStyle w:val="Heading3"/>
      </w:pPr>
      <w:r>
        <w:t>Important BOQ practices</w:t>
      </w:r>
    </w:p>
    <w:p>
      <w:pPr>
        <w:pStyle w:val="ListBullet"/>
      </w:pPr>
      <w:r>
        <w:t>Use consistent units.</w:t>
      </w:r>
    </w:p>
    <w:p>
      <w:pPr>
        <w:pStyle w:val="ListBullet"/>
      </w:pPr>
      <w:r>
        <w:t>Define whether quantities are fixed or estimated.</w:t>
      </w:r>
    </w:p>
    <w:p>
      <w:pPr>
        <w:pStyle w:val="ListBullet"/>
      </w:pPr>
      <w:r>
        <w:t>Identify optional items separately.</w:t>
      </w:r>
    </w:p>
    <w:p>
      <w:pPr>
        <w:pStyle w:val="ListBullet"/>
      </w:pPr>
      <w:r>
        <w:t>Include engineering and services as explicit line items.</w:t>
      </w:r>
    </w:p>
    <w:p>
      <w:pPr>
        <w:pStyle w:val="ListBullet"/>
      </w:pPr>
      <w:r>
        <w:t>State whether consumables, spares, and accessories are included.</w:t>
      </w:r>
    </w:p>
    <w:p>
      <w:pPr>
        <w:pStyle w:val="ListBullet"/>
      </w:pPr>
      <w:r>
        <w:t>Avoid duplicate charging for items already included in a package.</w:t>
      </w:r>
    </w:p>
    <w:p>
      <w:pPr>
        <w:pStyle w:val="ListBullet"/>
      </w:pPr>
      <w:r>
        <w:t>Require suppliers to disclose deviations and exclusions.</w:t>
      </w:r>
    </w:p>
    <w:p>
      <w:pPr>
        <w:pStyle w:val="ListBullet"/>
      </w:pPr>
      <w:r>
        <w:t>Specify how substitutions must be approved.</w:t>
      </w:r>
    </w:p>
    <w:p>
      <w:pPr>
        <w:pStyle w:val="Heading2"/>
      </w:pPr>
      <w:r>
        <w:t>9. Supplier quotation instructions</w:t>
      </w:r>
    </w:p>
    <w:p>
      <w:r>
        <w:t>The RFQ should tell suppliers how to structure their quotations.</w:t>
      </w:r>
    </w:p>
    <w:p>
      <w:r>
        <w:t>Request, where relevant:</w:t>
      </w:r>
    </w:p>
    <w:p>
      <w:pPr>
        <w:pStyle w:val="ListBullet"/>
      </w:pPr>
      <w:r>
        <w:t>Technical compliance statement.</w:t>
      </w:r>
    </w:p>
    <w:p>
      <w:pPr>
        <w:pStyle w:val="ListBullet"/>
      </w:pPr>
      <w:r>
        <w:t>Item-wise pricing.</w:t>
      </w:r>
    </w:p>
    <w:p>
      <w:pPr>
        <w:pStyle w:val="ListBullet"/>
      </w:pPr>
      <w:r>
        <w:t>Product make, model, and datasheet.</w:t>
      </w:r>
    </w:p>
    <w:p>
      <w:pPr>
        <w:pStyle w:val="ListBullet"/>
      </w:pPr>
      <w:r>
        <w:t>Delivery lead time.</w:t>
      </w:r>
    </w:p>
    <w:p>
      <w:pPr>
        <w:pStyle w:val="ListBullet"/>
      </w:pPr>
      <w:r>
        <w:t>Warranty details.</w:t>
      </w:r>
    </w:p>
    <w:p>
      <w:pPr>
        <w:pStyle w:val="ListBullet"/>
      </w:pPr>
      <w:r>
        <w:t>Scope inclusions and exclusions.</w:t>
      </w:r>
    </w:p>
    <w:p>
      <w:pPr>
        <w:pStyle w:val="ListBullet"/>
      </w:pPr>
      <w:r>
        <w:t>Deviations from the RFQ.</w:t>
      </w:r>
    </w:p>
    <w:p>
      <w:pPr>
        <w:pStyle w:val="ListBullet"/>
      </w:pPr>
      <w:r>
        <w:t>Optional items.</w:t>
      </w:r>
    </w:p>
    <w:p>
      <w:pPr>
        <w:pStyle w:val="ListBullet"/>
      </w:pPr>
      <w:r>
        <w:t>Installation and commissioning charges.</w:t>
      </w:r>
    </w:p>
    <w:p>
      <w:pPr>
        <w:pStyle w:val="ListBullet"/>
      </w:pPr>
      <w:r>
        <w:t>Required documentation.</w:t>
      </w:r>
    </w:p>
    <w:p>
      <w:pPr>
        <w:pStyle w:val="ListBullet"/>
      </w:pPr>
      <w:r>
        <w:t>Proposed payment terms.</w:t>
      </w:r>
    </w:p>
    <w:p>
      <w:pPr>
        <w:pStyle w:val="ListBullet"/>
      </w:pPr>
      <w:r>
        <w:t>Quotation validity.</w:t>
      </w:r>
    </w:p>
    <w:p>
      <w:pPr>
        <w:pStyle w:val="ListBullet"/>
      </w:pPr>
      <w:r>
        <w:t>Relevant experience or qualifications.</w:t>
      </w:r>
    </w:p>
    <w:p>
      <w:r>
        <w:t>For complex procurements, the buyer may require separate technical and commercial submissions. This helps the technical evaluation proceed according to the organization's procurement process without prematurely mixing technical compliance with price.</w:t>
      </w:r>
    </w:p>
    <w:p>
      <w:pPr>
        <w:pStyle w:val="Heading2"/>
      </w:pPr>
      <w:r>
        <w:t>10. Technical compliance matrix</w:t>
      </w:r>
    </w:p>
    <w:p>
      <w:r>
        <w:t>A compliance matrix records whether each supplier's offer meets the RFQ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Requirement ID</w:t>
            </w:r>
          </w:p>
        </w:tc>
        <w:tc>
          <w:tcPr>
            <w:tcW w:type="dxa" w:w="2160"/>
            <w:shd w:val="clear" w:color="auto" w:fill="EEF2F7"/>
          </w:tcPr>
          <w:p>
            <w:pPr>
              <w:spacing w:after="0" w:before="0" w:line="240" w:lineRule="auto"/>
              <w:jc w:val="left"/>
            </w:pPr>
            <w:r>
              <w:rPr>
                <w:b/>
                <w:color w:val="1A2E4A"/>
              </w:rPr>
              <w:t>Requirement</w:t>
            </w:r>
          </w:p>
        </w:tc>
        <w:tc>
          <w:tcPr>
            <w:tcW w:type="dxa" w:w="2160"/>
            <w:shd w:val="clear" w:color="auto" w:fill="EEF2F7"/>
          </w:tcPr>
          <w:p>
            <w:pPr>
              <w:spacing w:after="0" w:before="0" w:line="240" w:lineRule="auto"/>
              <w:jc w:val="left"/>
            </w:pPr>
            <w:r>
              <w:rPr>
                <w:b/>
                <w:color w:val="1A2E4A"/>
              </w:rPr>
              <w:t>Supplier response</w:t>
            </w:r>
          </w:p>
        </w:tc>
        <w:tc>
          <w:tcPr>
            <w:tcW w:type="dxa" w:w="2160"/>
            <w:shd w:val="clear" w:color="auto" w:fill="EEF2F7"/>
          </w:tcPr>
          <w:p>
            <w:pPr>
              <w:spacing w:after="0" w:before="0" w:line="240" w:lineRule="auto"/>
              <w:jc w:val="left"/>
            </w:pPr>
            <w:r>
              <w:rPr>
                <w:b/>
                <w:color w:val="1A2E4A"/>
              </w:rPr>
              <w:t>Evidence</w:t>
            </w:r>
          </w:p>
        </w:tc>
        <w:tc>
          <w:tcPr>
            <w:tcW w:type="dxa" w:w="2160"/>
            <w:shd w:val="clear" w:color="auto" w:fill="EEF2F7"/>
          </w:tcPr>
          <w:p>
            <w:pPr>
              <w:spacing w:after="0" w:before="0" w:line="240" w:lineRule="auto"/>
              <w:jc w:val="left"/>
            </w:pPr>
            <w:r>
              <w:rPr>
                <w:b/>
                <w:color w:val="1A2E4A"/>
              </w:rPr>
              <w:t>Evaluation</w:t>
            </w:r>
          </w:p>
        </w:tc>
      </w:tr>
      <w:tr>
        <w:tc>
          <w:tcPr>
            <w:tcW w:type="dxa" w:w="2160"/>
          </w:tcPr>
          <w:p>
            <w:pPr>
              <w:spacing w:after="0" w:before="0" w:line="240" w:lineRule="auto"/>
              <w:jc w:val="left"/>
            </w:pPr>
            <w:r>
              <w:t>TR-01</w:t>
            </w:r>
          </w:p>
        </w:tc>
        <w:tc>
          <w:tcPr>
            <w:tcW w:type="dxa" w:w="2160"/>
          </w:tcPr>
          <w:p>
            <w:pPr>
              <w:spacing w:after="0" w:before="0" w:line="240" w:lineRule="auto"/>
              <w:jc w:val="left"/>
            </w:pPr>
            <w:r>
              <w:t>Required supply voltage</w:t>
            </w:r>
          </w:p>
        </w:tc>
        <w:tc>
          <w:tcPr>
            <w:tcW w:type="dxa" w:w="2160"/>
          </w:tcPr>
          <w:p>
            <w:pPr>
              <w:spacing w:after="0" w:before="0" w:line="240" w:lineRule="auto"/>
              <w:jc w:val="left"/>
            </w:pPr>
            <w:r>
              <w:t>Meets requirement</w:t>
            </w:r>
          </w:p>
        </w:tc>
        <w:tc>
          <w:tcPr>
            <w:tcW w:type="dxa" w:w="2160"/>
          </w:tcPr>
          <w:p>
            <w:pPr>
              <w:spacing w:after="0" w:before="0" w:line="240" w:lineRule="auto"/>
              <w:jc w:val="left"/>
            </w:pPr>
            <w:r>
              <w:t>Datasheet</w:t>
            </w:r>
          </w:p>
        </w:tc>
        <w:tc>
          <w:tcPr>
            <w:tcW w:type="dxa" w:w="2160"/>
          </w:tcPr>
          <w:p>
            <w:pPr>
              <w:spacing w:after="0" w:before="0" w:line="240" w:lineRule="auto"/>
              <w:jc w:val="left"/>
            </w:pPr>
            <w:r>
              <w:t>Compliant</w:t>
            </w:r>
          </w:p>
        </w:tc>
      </w:tr>
      <w:tr>
        <w:tc>
          <w:tcPr>
            <w:tcW w:type="dxa" w:w="2160"/>
          </w:tcPr>
          <w:p>
            <w:pPr>
              <w:spacing w:after="0" w:before="0" w:line="240" w:lineRule="auto"/>
              <w:jc w:val="left"/>
            </w:pPr>
            <w:r>
              <w:t>TR-02</w:t>
            </w:r>
          </w:p>
        </w:tc>
        <w:tc>
          <w:tcPr>
            <w:tcW w:type="dxa" w:w="2160"/>
          </w:tcPr>
          <w:p>
            <w:pPr>
              <w:spacing w:after="0" w:before="0" w:line="240" w:lineRule="auto"/>
              <w:jc w:val="left"/>
            </w:pPr>
            <w:r>
              <w:t>Required network protocol</w:t>
            </w:r>
          </w:p>
        </w:tc>
        <w:tc>
          <w:tcPr>
            <w:tcW w:type="dxa" w:w="2160"/>
          </w:tcPr>
          <w:p>
            <w:pPr>
              <w:spacing w:after="0" w:before="0" w:line="240" w:lineRule="auto"/>
              <w:jc w:val="left"/>
            </w:pPr>
            <w:r>
              <w:t>Meets requirement</w:t>
            </w:r>
          </w:p>
        </w:tc>
        <w:tc>
          <w:tcPr>
            <w:tcW w:type="dxa" w:w="2160"/>
          </w:tcPr>
          <w:p>
            <w:pPr>
              <w:spacing w:after="0" w:before="0" w:line="240" w:lineRule="auto"/>
              <w:jc w:val="left"/>
            </w:pPr>
            <w:r>
              <w:t>Product documentation</w:t>
            </w:r>
          </w:p>
        </w:tc>
        <w:tc>
          <w:tcPr>
            <w:tcW w:type="dxa" w:w="2160"/>
          </w:tcPr>
          <w:p>
            <w:pPr>
              <w:spacing w:after="0" w:before="0" w:line="240" w:lineRule="auto"/>
              <w:jc w:val="left"/>
            </w:pPr>
            <w:r>
              <w:t>Compliant</w:t>
            </w:r>
          </w:p>
        </w:tc>
      </w:tr>
      <w:tr>
        <w:tc>
          <w:tcPr>
            <w:tcW w:type="dxa" w:w="2160"/>
          </w:tcPr>
          <w:p>
            <w:pPr>
              <w:spacing w:after="0" w:before="0" w:line="240" w:lineRule="auto"/>
              <w:jc w:val="left"/>
            </w:pPr>
            <w:r>
              <w:t>TR-03</w:t>
            </w:r>
          </w:p>
        </w:tc>
        <w:tc>
          <w:tcPr>
            <w:tcW w:type="dxa" w:w="2160"/>
          </w:tcPr>
          <w:p>
            <w:pPr>
              <w:spacing w:after="0" w:before="0" w:line="240" w:lineRule="auto"/>
              <w:jc w:val="left"/>
            </w:pPr>
            <w:r>
              <w:t>Required spare I/O capacity</w:t>
            </w:r>
          </w:p>
        </w:tc>
        <w:tc>
          <w:tcPr>
            <w:tcW w:type="dxa" w:w="2160"/>
          </w:tcPr>
          <w:p>
            <w:pPr>
              <w:spacing w:after="0" w:before="0" w:line="240" w:lineRule="auto"/>
              <w:jc w:val="left"/>
            </w:pPr>
            <w:r>
              <w:t>Not stated</w:t>
            </w:r>
          </w:p>
        </w:tc>
        <w:tc>
          <w:tcPr>
            <w:tcW w:type="dxa" w:w="2160"/>
          </w:tcPr>
          <w:p>
            <w:pPr>
              <w:spacing w:after="0" w:before="0" w:line="240" w:lineRule="auto"/>
              <w:jc w:val="left"/>
            </w:pPr>
            <w:r>
              <w:t>No evidence supplied</w:t>
            </w:r>
          </w:p>
        </w:tc>
        <w:tc>
          <w:tcPr>
            <w:tcW w:type="dxa" w:w="2160"/>
          </w:tcPr>
          <w:p>
            <w:pPr>
              <w:spacing w:after="0" w:before="0" w:line="240" w:lineRule="auto"/>
              <w:jc w:val="left"/>
            </w:pPr>
            <w:r>
              <w:t>Clarification required</w:t>
            </w:r>
          </w:p>
        </w:tc>
      </w:tr>
      <w:tr>
        <w:tc>
          <w:tcPr>
            <w:tcW w:type="dxa" w:w="2160"/>
          </w:tcPr>
          <w:p>
            <w:pPr>
              <w:spacing w:after="0" w:before="0" w:line="240" w:lineRule="auto"/>
              <w:jc w:val="left"/>
            </w:pPr>
            <w:r>
              <w:t>TR-04</w:t>
            </w:r>
          </w:p>
        </w:tc>
        <w:tc>
          <w:tcPr>
            <w:tcW w:type="dxa" w:w="2160"/>
          </w:tcPr>
          <w:p>
            <w:pPr>
              <w:spacing w:after="0" w:before="0" w:line="240" w:lineRule="auto"/>
              <w:jc w:val="left"/>
            </w:pPr>
            <w:r>
              <w:t>Required source-code handover</w:t>
            </w:r>
          </w:p>
        </w:tc>
        <w:tc>
          <w:tcPr>
            <w:tcW w:type="dxa" w:w="2160"/>
          </w:tcPr>
          <w:p>
            <w:pPr>
              <w:spacing w:after="0" w:before="0" w:line="240" w:lineRule="auto"/>
              <w:jc w:val="left"/>
            </w:pPr>
            <w:r>
              <w:t>Excluded</w:t>
            </w:r>
          </w:p>
        </w:tc>
        <w:tc>
          <w:tcPr>
            <w:tcW w:type="dxa" w:w="2160"/>
          </w:tcPr>
          <w:p>
            <w:pPr>
              <w:spacing w:after="0" w:before="0" w:line="240" w:lineRule="auto"/>
              <w:jc w:val="left"/>
            </w:pPr>
            <w:r>
              <w:t>Commercial deviation</w:t>
            </w:r>
          </w:p>
        </w:tc>
        <w:tc>
          <w:tcPr>
            <w:tcW w:type="dxa" w:w="2160"/>
          </w:tcPr>
          <w:p>
            <w:pPr>
              <w:spacing w:after="0" w:before="0" w:line="240" w:lineRule="auto"/>
              <w:jc w:val="left"/>
            </w:pPr>
            <w:r>
              <w:t>Non-compliant unless approved</w:t>
            </w:r>
          </w:p>
        </w:tc>
      </w:tr>
      <w:tr>
        <w:tc>
          <w:tcPr>
            <w:tcW w:type="dxa" w:w="2160"/>
          </w:tcPr>
          <w:p>
            <w:pPr>
              <w:spacing w:after="0" w:before="0" w:line="240" w:lineRule="auto"/>
              <w:jc w:val="left"/>
            </w:pPr>
            <w:r>
              <w:t>TR-05</w:t>
            </w:r>
          </w:p>
        </w:tc>
        <w:tc>
          <w:tcPr>
            <w:tcW w:type="dxa" w:w="2160"/>
          </w:tcPr>
          <w:p>
            <w:pPr>
              <w:spacing w:after="0" w:before="0" w:line="240" w:lineRule="auto"/>
              <w:jc w:val="left"/>
            </w:pPr>
            <w:r>
              <w:t>Required FAT documentation</w:t>
            </w:r>
          </w:p>
        </w:tc>
        <w:tc>
          <w:tcPr>
            <w:tcW w:type="dxa" w:w="2160"/>
          </w:tcPr>
          <w:p>
            <w:pPr>
              <w:spacing w:after="0" w:before="0" w:line="240" w:lineRule="auto"/>
              <w:jc w:val="left"/>
            </w:pPr>
            <w:r>
              <w:t>Partially included</w:t>
            </w:r>
          </w:p>
        </w:tc>
        <w:tc>
          <w:tcPr>
            <w:tcW w:type="dxa" w:w="2160"/>
          </w:tcPr>
          <w:p>
            <w:pPr>
              <w:spacing w:after="0" w:before="0" w:line="240" w:lineRule="auto"/>
              <w:jc w:val="left"/>
            </w:pPr>
            <w:r>
              <w:t>Supplier offer</w:t>
            </w:r>
          </w:p>
        </w:tc>
        <w:tc>
          <w:tcPr>
            <w:tcW w:type="dxa" w:w="2160"/>
          </w:tcPr>
          <w:p>
            <w:pPr>
              <w:spacing w:after="0" w:before="0" w:line="240" w:lineRule="auto"/>
              <w:jc w:val="left"/>
            </w:pPr>
            <w:r>
              <w:t>Clarification required</w:t>
            </w:r>
          </w:p>
        </w:tc>
      </w:tr>
    </w:tbl>
    <w:p/>
    <w:p>
      <w:r>
        <w:t>Possible evaluation states include compliant, non-compliant, partially compliant, clarification required, and not applicable.</w:t>
      </w:r>
    </w:p>
    <w:p>
      <w:r>
        <w:t>Do not classify an unverified claim as compliant merely because the supplier says the product is suitable. Record the evidence and resolve material gaps before technical approval.</w:t>
      </w:r>
    </w:p>
    <w:p>
      <w:pPr>
        <w:pStyle w:val="Heading2"/>
      </w:pPr>
      <w:r>
        <w:t>11. RFQ commercial comparison</w:t>
      </w:r>
    </w:p>
    <w:p>
      <w:r>
        <w:t>A quotation comparison should evaluate the total cost of the defined scope, not just the headline equipment price.</w:t>
      </w:r>
    </w:p>
    <w:p>
      <w:r>
        <w:t>Potential cost elements include:</w:t>
      </w:r>
    </w:p>
    <w:p>
      <w:pPr>
        <w:pStyle w:val="ListBullet"/>
      </w:pPr>
      <w:r>
        <w:t>Equipment.</w:t>
      </w:r>
    </w:p>
    <w:p>
      <w:pPr>
        <w:pStyle w:val="ListBullet"/>
      </w:pPr>
      <w:r>
        <w:t>Engineering.</w:t>
      </w:r>
    </w:p>
    <w:p>
      <w:pPr>
        <w:pStyle w:val="ListBullet"/>
      </w:pPr>
      <w:r>
        <w:t>Software development.</w:t>
      </w:r>
    </w:p>
    <w:p>
      <w:pPr>
        <w:pStyle w:val="ListBullet"/>
      </w:pPr>
      <w:r>
        <w:t>Panel manufacturing.</w:t>
      </w:r>
    </w:p>
    <w:p>
      <w:pPr>
        <w:pStyle w:val="ListBullet"/>
      </w:pPr>
      <w:r>
        <w:t>Installation.</w:t>
      </w:r>
    </w:p>
    <w:p>
      <w:pPr>
        <w:pStyle w:val="ListBullet"/>
      </w:pPr>
      <w:r>
        <w:t>Commissioning.</w:t>
      </w:r>
    </w:p>
    <w:p>
      <w:pPr>
        <w:pStyle w:val="ListBullet"/>
      </w:pPr>
      <w:r>
        <w:t>Testing.</w:t>
      </w:r>
    </w:p>
    <w:p>
      <w:pPr>
        <w:pStyle w:val="ListBullet"/>
      </w:pPr>
      <w:r>
        <w:t>Training.</w:t>
      </w:r>
    </w:p>
    <w:p>
      <w:pPr>
        <w:pStyle w:val="ListBullet"/>
      </w:pPr>
      <w:r>
        <w:t>Freight and packing.</w:t>
      </w:r>
    </w:p>
    <w:p>
      <w:pPr>
        <w:pStyle w:val="ListBullet"/>
      </w:pPr>
      <w:r>
        <w:t>Taxes and duties.</w:t>
      </w:r>
    </w:p>
    <w:p>
      <w:pPr>
        <w:pStyle w:val="ListBullet"/>
      </w:pPr>
      <w:r>
        <w:t>Required accessories.</w:t>
      </w:r>
    </w:p>
    <w:p>
      <w:pPr>
        <w:pStyle w:val="ListBullet"/>
      </w:pPr>
      <w:r>
        <w:t>Recommended spares.</w:t>
      </w:r>
    </w:p>
    <w:p>
      <w:pPr>
        <w:pStyle w:val="ListBullet"/>
      </w:pPr>
      <w:r>
        <w:t>Warranty extensions.</w:t>
      </w:r>
    </w:p>
    <w:p>
      <w:pPr>
        <w:pStyle w:val="ListBullet"/>
      </w:pPr>
      <w:r>
        <w:t>Ongoing licenses or subscriptions.</w:t>
      </w:r>
    </w:p>
    <w:p>
      <w:pPr>
        <w:pStyle w:val="ListBullet"/>
      </w:pPr>
      <w:r>
        <w:t>Support and maintenance.</w:t>
      </w:r>
    </w:p>
    <w:p>
      <w:pPr>
        <w:pStyle w:val="Heading3"/>
      </w:pPr>
      <w:r>
        <w:t>11.1 Example of total evaluated cost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Cost element</w:t>
            </w:r>
          </w:p>
        </w:tc>
        <w:tc>
          <w:tcPr>
            <w:tcW w:type="dxa" w:w="3600"/>
            <w:shd w:val="clear" w:color="auto" w:fill="EEF2F7"/>
          </w:tcPr>
          <w:p>
            <w:pPr>
              <w:spacing w:after="0" w:before="0" w:line="240" w:lineRule="auto"/>
              <w:jc w:val="left"/>
            </w:pPr>
            <w:r>
              <w:rPr>
                <w:b/>
                <w:color w:val="1A2E4A"/>
              </w:rPr>
              <w:t>Supplier A</w:t>
            </w:r>
          </w:p>
        </w:tc>
        <w:tc>
          <w:tcPr>
            <w:tcW w:type="dxa" w:w="3600"/>
            <w:shd w:val="clear" w:color="auto" w:fill="EEF2F7"/>
          </w:tcPr>
          <w:p>
            <w:pPr>
              <w:spacing w:after="0" w:before="0" w:line="240" w:lineRule="auto"/>
              <w:jc w:val="left"/>
            </w:pPr>
            <w:r>
              <w:rPr>
                <w:b/>
                <w:color w:val="1A2E4A"/>
              </w:rPr>
              <w:t>Supplier B</w:t>
            </w:r>
          </w:p>
        </w:tc>
      </w:tr>
      <w:tr>
        <w:tc>
          <w:tcPr>
            <w:tcW w:type="dxa" w:w="3600"/>
          </w:tcPr>
          <w:p>
            <w:pPr>
              <w:spacing w:after="0" w:before="0" w:line="240" w:lineRule="auto"/>
              <w:jc w:val="left"/>
            </w:pPr>
            <w:r>
              <w:t>Equipment</w:t>
            </w:r>
          </w:p>
        </w:tc>
        <w:tc>
          <w:tcPr>
            <w:tcW w:type="dxa" w:w="3600"/>
          </w:tcPr>
          <w:p>
            <w:pPr>
              <w:spacing w:after="0" w:before="0" w:line="240" w:lineRule="auto"/>
              <w:jc w:val="left"/>
            </w:pPr>
            <w:r>
              <w:t>500,000</w:t>
            </w:r>
          </w:p>
        </w:tc>
        <w:tc>
          <w:tcPr>
            <w:tcW w:type="dxa" w:w="3600"/>
          </w:tcPr>
          <w:p>
            <w:pPr>
              <w:spacing w:after="0" w:before="0" w:line="240" w:lineRule="auto"/>
              <w:jc w:val="left"/>
            </w:pPr>
            <w:r>
              <w:t>450,000</w:t>
            </w:r>
          </w:p>
        </w:tc>
      </w:tr>
      <w:tr>
        <w:tc>
          <w:tcPr>
            <w:tcW w:type="dxa" w:w="3600"/>
          </w:tcPr>
          <w:p>
            <w:pPr>
              <w:spacing w:after="0" w:before="0" w:line="240" w:lineRule="auto"/>
              <w:jc w:val="left"/>
            </w:pPr>
            <w:r>
              <w:t>Engineering</w:t>
            </w:r>
          </w:p>
        </w:tc>
        <w:tc>
          <w:tcPr>
            <w:tcW w:type="dxa" w:w="3600"/>
          </w:tcPr>
          <w:p>
            <w:pPr>
              <w:spacing w:after="0" w:before="0" w:line="240" w:lineRule="auto"/>
              <w:jc w:val="left"/>
            </w:pPr>
            <w:r>
              <w:t>60,000</w:t>
            </w:r>
          </w:p>
        </w:tc>
        <w:tc>
          <w:tcPr>
            <w:tcW w:type="dxa" w:w="3600"/>
          </w:tcPr>
          <w:p>
            <w:pPr>
              <w:spacing w:after="0" w:before="0" w:line="240" w:lineRule="auto"/>
              <w:jc w:val="left"/>
            </w:pPr>
            <w:r>
              <w:t>90,000</w:t>
            </w:r>
          </w:p>
        </w:tc>
      </w:tr>
      <w:tr>
        <w:tc>
          <w:tcPr>
            <w:tcW w:type="dxa" w:w="3600"/>
          </w:tcPr>
          <w:p>
            <w:pPr>
              <w:spacing w:after="0" w:before="0" w:line="240" w:lineRule="auto"/>
              <w:jc w:val="left"/>
            </w:pPr>
            <w:r>
              <w:t>Installation and commissioning</w:t>
            </w:r>
          </w:p>
        </w:tc>
        <w:tc>
          <w:tcPr>
            <w:tcW w:type="dxa" w:w="3600"/>
          </w:tcPr>
          <w:p>
            <w:pPr>
              <w:spacing w:after="0" w:before="0" w:line="240" w:lineRule="auto"/>
              <w:jc w:val="left"/>
            </w:pPr>
            <w:r>
              <w:t>40,000</w:t>
            </w:r>
          </w:p>
        </w:tc>
        <w:tc>
          <w:tcPr>
            <w:tcW w:type="dxa" w:w="3600"/>
          </w:tcPr>
          <w:p>
            <w:pPr>
              <w:spacing w:after="0" w:before="0" w:line="240" w:lineRule="auto"/>
              <w:jc w:val="left"/>
            </w:pPr>
            <w:r>
              <w:t>70,000</w:t>
            </w:r>
          </w:p>
        </w:tc>
      </w:tr>
      <w:tr>
        <w:tc>
          <w:tcPr>
            <w:tcW w:type="dxa" w:w="3600"/>
          </w:tcPr>
          <w:p>
            <w:pPr>
              <w:spacing w:after="0" w:before="0" w:line="240" w:lineRule="auto"/>
              <w:jc w:val="left"/>
            </w:pPr>
            <w:r>
              <w:t>Required accessories</w:t>
            </w:r>
          </w:p>
        </w:tc>
        <w:tc>
          <w:tcPr>
            <w:tcW w:type="dxa" w:w="3600"/>
          </w:tcPr>
          <w:p>
            <w:pPr>
              <w:spacing w:after="0" w:before="0" w:line="240" w:lineRule="auto"/>
              <w:jc w:val="left"/>
            </w:pPr>
            <w:r>
              <w:t>30,000</w:t>
            </w:r>
          </w:p>
        </w:tc>
        <w:tc>
          <w:tcPr>
            <w:tcW w:type="dxa" w:w="3600"/>
          </w:tcPr>
          <w:p>
            <w:pPr>
              <w:spacing w:after="0" w:before="0" w:line="240" w:lineRule="auto"/>
              <w:jc w:val="left"/>
            </w:pPr>
            <w:r>
              <w:t>20,000</w:t>
            </w:r>
          </w:p>
        </w:tc>
      </w:tr>
      <w:tr>
        <w:tc>
          <w:tcPr>
            <w:tcW w:type="dxa" w:w="3600"/>
          </w:tcPr>
          <w:p>
            <w:pPr>
              <w:spacing w:after="0" w:before="0" w:line="240" w:lineRule="auto"/>
              <w:jc w:val="left"/>
            </w:pPr>
            <w:r>
              <w:t>Freight and packing</w:t>
            </w:r>
          </w:p>
        </w:tc>
        <w:tc>
          <w:tcPr>
            <w:tcW w:type="dxa" w:w="3600"/>
          </w:tcPr>
          <w:p>
            <w:pPr>
              <w:spacing w:after="0" w:before="0" w:line="240" w:lineRule="auto"/>
              <w:jc w:val="left"/>
            </w:pPr>
            <w:r>
              <w:t>15,000</w:t>
            </w:r>
          </w:p>
        </w:tc>
        <w:tc>
          <w:tcPr>
            <w:tcW w:type="dxa" w:w="3600"/>
          </w:tcPr>
          <w:p>
            <w:pPr>
              <w:spacing w:after="0" w:before="0" w:line="240" w:lineRule="auto"/>
              <w:jc w:val="left"/>
            </w:pPr>
            <w:r>
              <w:t>25,000</w:t>
            </w:r>
          </w:p>
        </w:tc>
      </w:tr>
      <w:tr>
        <w:tc>
          <w:tcPr>
            <w:tcW w:type="dxa" w:w="3600"/>
          </w:tcPr>
          <w:p>
            <w:pPr>
              <w:spacing w:after="0" w:before="0" w:line="240" w:lineRule="auto"/>
              <w:jc w:val="left"/>
            </w:pPr>
            <w:r>
              <w:t>Total before applicable taxes</w:t>
            </w:r>
          </w:p>
        </w:tc>
        <w:tc>
          <w:tcPr>
            <w:tcW w:type="dxa" w:w="3600"/>
          </w:tcPr>
          <w:p>
            <w:pPr>
              <w:spacing w:after="0" w:before="0" w:line="240" w:lineRule="auto"/>
              <w:jc w:val="left"/>
            </w:pPr>
            <w:r>
              <w:t>645,000</w:t>
            </w:r>
          </w:p>
        </w:tc>
        <w:tc>
          <w:tcPr>
            <w:tcW w:type="dxa" w:w="3600"/>
          </w:tcPr>
          <w:p>
            <w:pPr>
              <w:spacing w:after="0" w:before="0" w:line="240" w:lineRule="auto"/>
              <w:jc w:val="left"/>
            </w:pPr>
            <w:r>
              <w:t>655,000</w:t>
            </w:r>
          </w:p>
        </w:tc>
      </w:tr>
    </w:tbl>
    <w:p/>
    <w:p>
      <w:r>
        <w:t>Supplier B has a lower equipment price, but Supplier A has the lower total in this example. The final evaluation must also consider technical compliance, delivery, warranty, risk, and approved commercial terms.</w:t>
      </w:r>
    </w:p>
    <w:p>
      <w:r>
        <w:t>These figures are illustrative and do not represent actual market prices.</w:t>
      </w:r>
    </w:p>
    <w:p>
      <w:pPr>
        <w:pStyle w:val="Heading3"/>
      </w:pPr>
      <w:r>
        <w:t>11.2 Normalizing quotations</w:t>
      </w:r>
    </w:p>
    <w:p>
      <w:r>
        <w:t>Before comparing suppliers, ensure that all offers use the same:</w:t>
      </w:r>
    </w:p>
    <w:p>
      <w:pPr>
        <w:pStyle w:val="ListBullet"/>
      </w:pPr>
      <w:r>
        <w:t>Scope of supply.</w:t>
      </w:r>
    </w:p>
    <w:p>
      <w:pPr>
        <w:pStyle w:val="ListBullet"/>
      </w:pPr>
      <w:r>
        <w:t>Quantities.</w:t>
      </w:r>
    </w:p>
    <w:p>
      <w:pPr>
        <w:pStyle w:val="ListBullet"/>
      </w:pPr>
      <w:r>
        <w:t>Technical performance.</w:t>
      </w:r>
    </w:p>
    <w:p>
      <w:pPr>
        <w:pStyle w:val="ListBullet"/>
      </w:pPr>
      <w:r>
        <w:t>Delivery location and terms.</w:t>
      </w:r>
    </w:p>
    <w:p>
      <w:pPr>
        <w:pStyle w:val="ListBullet"/>
      </w:pPr>
      <w:r>
        <w:t>Tax treatment.</w:t>
      </w:r>
    </w:p>
    <w:p>
      <w:pPr>
        <w:pStyle w:val="ListBullet"/>
      </w:pPr>
      <w:r>
        <w:t>Warranty assumptions.</w:t>
      </w:r>
    </w:p>
    <w:p>
      <w:pPr>
        <w:pStyle w:val="ListBullet"/>
      </w:pPr>
      <w:r>
        <w:t>Installation responsibilities.</w:t>
      </w:r>
    </w:p>
    <w:p>
      <w:pPr>
        <w:pStyle w:val="ListBullet"/>
      </w:pPr>
      <w:r>
        <w:t>Acceptance criteria.</w:t>
      </w:r>
    </w:p>
    <w:p>
      <w:r>
        <w:t>If one supplier excludes commissioning and another includes it, comparing the totals directly creates a misleading result.</w:t>
      </w:r>
    </w:p>
    <w:p>
      <w:pPr>
        <w:pStyle w:val="Heading2"/>
      </w:pPr>
      <w:r>
        <w:t>12. Total cost of ownership</w:t>
      </w:r>
    </w:p>
    <w:p>
      <w:r>
        <w:t>For industrial automation, purchase price is only one part of the financial decision.</w:t>
      </w:r>
    </w:p>
    <w:p>
      <w:r>
        <w:t>Total cost of ownership (TCO) can include:</w:t>
      </w:r>
    </w:p>
    <w:p>
      <w:pPr>
        <w:pStyle w:val="ListBullet"/>
      </w:pPr>
      <w:r>
        <w:t>Initial purchase and installation.</w:t>
      </w:r>
    </w:p>
    <w:p>
      <w:pPr>
        <w:pStyle w:val="ListBullet"/>
      </w:pPr>
      <w:r>
        <w:t>Engineering and integration.</w:t>
      </w:r>
    </w:p>
    <w:p>
      <w:pPr>
        <w:pStyle w:val="ListBullet"/>
      </w:pPr>
      <w:r>
        <w:t>Energy consumption.</w:t>
      </w:r>
    </w:p>
    <w:p>
      <w:pPr>
        <w:pStyle w:val="ListBullet"/>
      </w:pPr>
      <w:r>
        <w:t>Consumables and replacement parts.</w:t>
      </w:r>
    </w:p>
    <w:p>
      <w:pPr>
        <w:pStyle w:val="ListBullet"/>
      </w:pPr>
      <w:r>
        <w:t>Maintenance labor.</w:t>
      </w:r>
    </w:p>
    <w:p>
      <w:pPr>
        <w:pStyle w:val="ListBullet"/>
      </w:pPr>
      <w:r>
        <w:t>Software licensing.</w:t>
      </w:r>
    </w:p>
    <w:p>
      <w:pPr>
        <w:pStyle w:val="ListBullet"/>
      </w:pPr>
      <w:r>
        <w:t>Calibration and inspection.</w:t>
      </w:r>
    </w:p>
    <w:p>
      <w:pPr>
        <w:pStyle w:val="ListBullet"/>
      </w:pPr>
      <w:r>
        <w:t>Downtime and production losses.</w:t>
      </w:r>
    </w:p>
    <w:p>
      <w:pPr>
        <w:pStyle w:val="ListBullet"/>
      </w:pPr>
      <w:r>
        <w:t>Training.</w:t>
      </w:r>
    </w:p>
    <w:p>
      <w:pPr>
        <w:pStyle w:val="ListBullet"/>
      </w:pPr>
      <w:r>
        <w:t>Obsolescence and migration.</w:t>
      </w:r>
    </w:p>
    <w:p>
      <w:pPr>
        <w:pStyle w:val="ListBullet"/>
      </w:pPr>
      <w:r>
        <w:t>End-of-life disposal.</w:t>
      </w:r>
    </w:p>
    <w:p>
      <w:r>
        <w:t>A lower-cost component may be more expensive over its lifetime if it creates extended downtime, requires specialized service, or cannot be integrated with the installed plant architecture.</w:t>
      </w:r>
    </w:p>
    <w:p>
      <w:r>
        <w:t>TCO estimates should state their assumptions and time horizon. Uncertain future downtime or energy costs should not be presented as exact values.</w:t>
      </w:r>
    </w:p>
    <w:p>
      <w:pPr>
        <w:pStyle w:val="Heading2"/>
      </w:pPr>
      <w:r>
        <w:t>13. RFQ for retrofit and obsolete automation equipment</w:t>
      </w:r>
    </w:p>
    <w:p>
      <w:r>
        <w:t>Retrofit procurement needs special attention to installed-base compatibility and migration risks.</w:t>
      </w:r>
    </w:p>
    <w:p>
      <w:r>
        <w:t>The RFQ should establish:</w:t>
      </w:r>
    </w:p>
    <w:p>
      <w:pPr>
        <w:pStyle w:val="ListBullet"/>
      </w:pPr>
      <w:r>
        <w:t>Existing PLC, HMI, CNC, drive, robot, and network details.</w:t>
      </w:r>
    </w:p>
    <w:p>
      <w:pPr>
        <w:pStyle w:val="ListBullet"/>
      </w:pPr>
      <w:r>
        <w:t>Existing software and backup availability.</w:t>
      </w:r>
    </w:p>
    <w:p>
      <w:pPr>
        <w:pStyle w:val="ListBullet"/>
      </w:pPr>
      <w:r>
        <w:t>Existing communication interfaces.</w:t>
      </w:r>
    </w:p>
    <w:p>
      <w:pPr>
        <w:pStyle w:val="ListBullet"/>
      </w:pPr>
      <w:r>
        <w:t>Required backward compatibility.</w:t>
      </w:r>
    </w:p>
    <w:p>
      <w:pPr>
        <w:pStyle w:val="ListBullet"/>
      </w:pPr>
      <w:r>
        <w:t>Required replacement and migration scope.</w:t>
      </w:r>
    </w:p>
    <w:p>
      <w:pPr>
        <w:pStyle w:val="ListBullet"/>
      </w:pPr>
      <w:r>
        <w:t>Required production downtime window.</w:t>
      </w:r>
    </w:p>
    <w:p>
      <w:pPr>
        <w:pStyle w:val="ListBullet"/>
      </w:pPr>
      <w:r>
        <w:t>Required rollback or restoration strategy.</w:t>
      </w:r>
    </w:p>
    <w:p>
      <w:pPr>
        <w:pStyle w:val="ListBullet"/>
      </w:pPr>
      <w:r>
        <w:t>Required parameter, recipe, and program backups.</w:t>
      </w:r>
    </w:p>
    <w:p>
      <w:pPr>
        <w:pStyle w:val="ListBullet"/>
      </w:pPr>
      <w:r>
        <w:t>Testing and validation requirements.</w:t>
      </w:r>
    </w:p>
    <w:p>
      <w:pPr>
        <w:pStyle w:val="ListBullet"/>
      </w:pPr>
      <w:r>
        <w:t>Updated drawings and software documentation.</w:t>
      </w:r>
    </w:p>
    <w:p>
      <w:pPr>
        <w:pStyle w:val="ListBullet"/>
      </w:pPr>
      <w:r>
        <w:t>Training and maintenance handover.</w:t>
      </w:r>
    </w:p>
    <w:p>
      <w:r>
        <w:t>For example, replacing an obsolete PLC may also require I/O module changes, network modifications, panel wiring changes, software conversion, and revalidation of machine sequences.</w:t>
      </w:r>
    </w:p>
    <w:p>
      <w:r>
        <w:t>A quote that covers only the new CPU may omit much of the actual project cost.</w:t>
      </w:r>
    </w:p>
    <w:p>
      <w:pPr>
        <w:pStyle w:val="Heading2"/>
      </w:pPr>
      <w:r>
        <w:t>14. RFQ risks and common mistakes</w:t>
      </w:r>
    </w:p>
    <w:p>
      <w:pPr>
        <w:pStyle w:val="Heading3"/>
      </w:pPr>
      <w:r>
        <w:t>14.1 Incomplete scope</w:t>
      </w:r>
    </w:p>
    <w:p>
      <w:r>
        <w:t>Problem: Suppliers interpret the requirement differently.</w:t>
      </w:r>
    </w:p>
    <w:p>
      <w:r>
        <w:t>Control: Define inclusions, exclusions, interfaces, deliverables, and acceptance criteria.</w:t>
      </w:r>
    </w:p>
    <w:p>
      <w:pPr>
        <w:pStyle w:val="Heading3"/>
      </w:pPr>
      <w:r>
        <w:t>14.2 Vague performance requirements</w:t>
      </w:r>
    </w:p>
    <w:p>
      <w:r>
        <w:t>Problem: A supplier delivers a system that technically operates but fails to meet the production requirement.</w:t>
      </w:r>
    </w:p>
    <w:p>
      <w:r>
        <w:t>Control: Define measurable performance limits, operating conditions, and test methods.</w:t>
      </w:r>
    </w:p>
    <w:p>
      <w:pPr>
        <w:pStyle w:val="Heading3"/>
      </w:pPr>
      <w:r>
        <w:t>14.3 Missing installation requirements</w:t>
      </w:r>
    </w:p>
    <w:p>
      <w:r>
        <w:t>Problem: Equipment arrives without the necessary mounting accessories, cables, connectors, or environmental protection.</w:t>
      </w:r>
    </w:p>
    <w:p>
      <w:r>
        <w:t>Control: Include installation and interface requirements in the RFQ.</w:t>
      </w:r>
    </w:p>
    <w:p>
      <w:pPr>
        <w:pStyle w:val="Heading3"/>
      </w:pPr>
      <w:r>
        <w:t>14.4 Hidden exclusions</w:t>
      </w:r>
    </w:p>
    <w:p>
      <w:r>
        <w:t>Problem: The initial quote appears competitive, but commissioning, licenses, or accessories are charged separately.</w:t>
      </w:r>
    </w:p>
    <w:p>
      <w:r>
        <w:t>Control: Require itemized pricing and a written statement of inclusions and exclusions.</w:t>
      </w:r>
    </w:p>
    <w:p>
      <w:pPr>
        <w:pStyle w:val="Heading3"/>
      </w:pPr>
      <w:r>
        <w:t>14.5 Incorrect delivery assumptions</w:t>
      </w:r>
    </w:p>
    <w:p>
      <w:r>
        <w:t>Problem: The equipment delivery date is mistaken for a production-ready completion date.</w:t>
      </w:r>
    </w:p>
    <w:p>
      <w:r>
        <w:t>Control: Separate manufacturing, dispatch, delivery, installation, commissioning, and acceptance milestones.</w:t>
      </w:r>
    </w:p>
    <w:p>
      <w:pPr>
        <w:pStyle w:val="Heading3"/>
      </w:pPr>
      <w:r>
        <w:t>14.6 Uncontrolled technical substitutions</w:t>
      </w:r>
    </w:p>
    <w:p>
      <w:r>
        <w:t>Problem: A supplier replaces a specified component with an incompatible alternative.</w:t>
      </w:r>
    </w:p>
    <w:p>
      <w:r>
        <w:t>Control: Require documented deviation disclosure and written approval before substitution.</w:t>
      </w:r>
    </w:p>
    <w:p>
      <w:pPr>
        <w:pStyle w:val="Heading3"/>
      </w:pPr>
      <w:r>
        <w:t>14.7 Missing software and documentation rights</w:t>
      </w:r>
    </w:p>
    <w:p>
      <w:r>
        <w:t>Problem: The plant cannot modify or restore the delivered system without the supplier.</w:t>
      </w:r>
    </w:p>
    <w:p>
      <w:r>
        <w:t>Control: Define the required source code, editable project files, licenses, passwords or access arrangements, backups, and permitted use, subject to applicable security and licensing policies.</w:t>
      </w:r>
    </w:p>
    <w:p>
      <w:pPr>
        <w:pStyle w:val="Heading3"/>
      </w:pPr>
      <w:r>
        <w:t>14.8 Unclear acceptance criteria</w:t>
      </w:r>
    </w:p>
    <w:p>
      <w:r>
        <w:t>Problem: Buyer and supplier disagree about whether the work is complete.</w:t>
      </w:r>
    </w:p>
    <w:p>
      <w:r>
        <w:t>Control: Define measurable FAT/SAT criteria, required evidence, defect handling, and formal acceptance responsibilities.</w:t>
      </w:r>
    </w:p>
    <w:p>
      <w:pPr>
        <w:pStyle w:val="Heading2"/>
      </w:pPr>
      <w:r>
        <w:t>15. RFQ, quality, and compliance requirements</w:t>
      </w:r>
    </w:p>
    <w:p>
      <w:r>
        <w:t>Depending on the product and project, the RFQ may specify:</w:t>
      </w:r>
    </w:p>
    <w:p>
      <w:pPr>
        <w:pStyle w:val="ListBullet"/>
      </w:pPr>
      <w:r>
        <w:t>Applicable IEC, ISO, Indian, or other jurisdictionally relevant standards.</w:t>
      </w:r>
    </w:p>
    <w:p>
      <w:pPr>
        <w:pStyle w:val="ListBullet"/>
      </w:pPr>
      <w:r>
        <w:t>Required conformity declarations or certificates.</w:t>
      </w:r>
    </w:p>
    <w:p>
      <w:pPr>
        <w:pStyle w:val="ListBullet"/>
      </w:pPr>
      <w:r>
        <w:t>Component traceability.</w:t>
      </w:r>
    </w:p>
    <w:p>
      <w:pPr>
        <w:pStyle w:val="ListBullet"/>
      </w:pPr>
      <w:r>
        <w:t>Inspection and test plans.</w:t>
      </w:r>
    </w:p>
    <w:p>
      <w:pPr>
        <w:pStyle w:val="ListBullet"/>
      </w:pPr>
      <w:r>
        <w:t>Calibration certificates.</w:t>
      </w:r>
    </w:p>
    <w:p>
      <w:pPr>
        <w:pStyle w:val="ListBullet"/>
      </w:pPr>
      <w:r>
        <w:t>Material or manufacturing records.</w:t>
      </w:r>
    </w:p>
    <w:p>
      <w:pPr>
        <w:pStyle w:val="ListBullet"/>
      </w:pPr>
      <w:r>
        <w:t>Software version records.</w:t>
      </w:r>
    </w:p>
    <w:p>
      <w:pPr>
        <w:pStyle w:val="ListBullet"/>
      </w:pPr>
      <w:r>
        <w:t>Cybersecurity and access-control requirements.</w:t>
      </w:r>
    </w:p>
    <w:p>
      <w:pPr>
        <w:pStyle w:val="ListBullet"/>
      </w:pPr>
      <w:r>
        <w:t>Safety validation documentation.</w:t>
      </w:r>
    </w:p>
    <w:p>
      <w:pPr>
        <w:pStyle w:val="ListBullet"/>
      </w:pPr>
      <w:r>
        <w:t>Quality-system requirements.</w:t>
      </w:r>
    </w:p>
    <w:p>
      <w:pPr>
        <w:pStyle w:val="ListBullet"/>
      </w:pPr>
      <w:r>
        <w:t>Change-control procedures.</w:t>
      </w:r>
    </w:p>
    <w:p>
      <w:r>
        <w:t>Do not list standards simply to make the document look technical. Each standard should be applicable to the equipment, jurisdiction, contract, or defined engineering requirement.</w:t>
      </w:r>
    </w:p>
    <w:p>
      <w:r>
        <w:t>For safety-related systems, request the appropriate design and validation evidence. A generic statement such as "safety compliant" is not enough to establish that the required safety functions have been achieved.</w:t>
      </w:r>
    </w:p>
    <w:p>
      <w:pPr>
        <w:pStyle w:val="Heading2"/>
      </w:pPr>
      <w:r>
        <w:t>16. RFQ revision and document control</w:t>
      </w:r>
    </w:p>
    <w:p>
      <w:r>
        <w:t>RFQs may change as engineering requirements are clarified. Every revision must be controlled.</w:t>
      </w:r>
    </w:p>
    <w:p>
      <w:r>
        <w:t>Record:</w:t>
      </w:r>
    </w:p>
    <w:p>
      <w:pPr>
        <w:pStyle w:val="ListBullet"/>
      </w:pPr>
      <w:r>
        <w:t>RFQ number and revision.</w:t>
      </w:r>
    </w:p>
    <w:p>
      <w:pPr>
        <w:pStyle w:val="ListBullet"/>
      </w:pPr>
      <w:r>
        <w:t>Issue date.</w:t>
      </w:r>
    </w:p>
    <w:p>
      <w:pPr>
        <w:pStyle w:val="ListBullet"/>
      </w:pPr>
      <w:r>
        <w:t>Changed sections or requirements.</w:t>
      </w:r>
    </w:p>
    <w:p>
      <w:pPr>
        <w:pStyle w:val="ListBullet"/>
      </w:pPr>
      <w:r>
        <w:t>Reason for revision.</w:t>
      </w:r>
    </w:p>
    <w:p>
      <w:pPr>
        <w:pStyle w:val="ListBullet"/>
      </w:pPr>
      <w:r>
        <w:t>Approval status.</w:t>
      </w:r>
    </w:p>
    <w:p>
      <w:pPr>
        <w:pStyle w:val="ListBullet"/>
      </w:pPr>
      <w:r>
        <w:t>Supplier notification.</w:t>
      </w:r>
    </w:p>
    <w:p>
      <w:pPr>
        <w:pStyle w:val="ListBullet"/>
      </w:pPr>
      <w:r>
        <w:t>Quotation impact.</w:t>
      </w:r>
    </w:p>
    <w:p>
      <w:pPr>
        <w:pStyle w:val="ListBullet"/>
      </w:pPr>
      <w:r>
        <w:t>Revised submission deadline where necessary.</w:t>
      </w:r>
    </w:p>
    <w:p>
      <w:r>
        <w:t>Example:</w:t>
      </w:r>
    </w:p>
    <w:p>
      <w:pPr>
        <w:shd w:val="clear" w:color="auto" w:fill="F4F4F4"/>
        <w:spacing w:before="0" w:after="0" w:line="240" w:lineRule="auto"/>
        <w:ind w:left="216" w:right="216"/>
        <w:jc w:val="left"/>
      </w:pPr>
      <w:r>
        <w:rPr>
          <w:rFonts w:ascii="Consolas" w:hAnsi="Consolas"/>
          <w:color w:val="202020"/>
          <w:sz w:val="18"/>
        </w:rPr>
        <w:t>RFQ Number: AUTO-2026-014</w:t>
      </w:r>
    </w:p>
    <w:p>
      <w:pPr>
        <w:shd w:val="clear" w:color="auto" w:fill="F4F4F4"/>
        <w:spacing w:before="0" w:after="0" w:line="240" w:lineRule="auto"/>
        <w:ind w:left="216" w:right="216"/>
        <w:jc w:val="left"/>
      </w:pPr>
      <w:r>
        <w:rPr>
          <w:rFonts w:ascii="Consolas" w:hAnsi="Consolas"/>
          <w:color w:val="202020"/>
          <w:sz w:val="18"/>
        </w:rPr>
        <w:t>Revision: B</w:t>
      </w:r>
    </w:p>
    <w:p>
      <w:pPr>
        <w:shd w:val="clear" w:color="auto" w:fill="F4F4F4"/>
        <w:spacing w:before="0" w:after="0" w:line="240" w:lineRule="auto"/>
        <w:ind w:left="216" w:right="216"/>
        <w:jc w:val="left"/>
      </w:pPr>
      <w:r>
        <w:rPr>
          <w:rFonts w:ascii="Consolas" w:hAnsi="Consolas"/>
          <w:color w:val="202020"/>
          <w:sz w:val="18"/>
        </w:rPr>
        <w:t>Change: Additional remote I/O module and field wiring</w:t>
      </w:r>
    </w:p>
    <w:p>
      <w:pPr>
        <w:shd w:val="clear" w:color="auto" w:fill="F4F4F4"/>
        <w:spacing w:before="0" w:after="0" w:line="240" w:lineRule="auto"/>
        <w:ind w:left="216" w:right="216"/>
        <w:jc w:val="left"/>
      </w:pPr>
      <w:r>
        <w:rPr>
          <w:rFonts w:ascii="Consolas" w:hAnsi="Consolas"/>
          <w:color w:val="202020"/>
          <w:sz w:val="18"/>
        </w:rPr>
        <w:t>Reason: Updated approved I/O list</w:t>
      </w:r>
    </w:p>
    <w:p>
      <w:pPr>
        <w:shd w:val="clear" w:color="auto" w:fill="F4F4F4"/>
        <w:spacing w:before="0" w:after="0" w:line="240" w:lineRule="auto"/>
        <w:ind w:left="216" w:right="216"/>
        <w:jc w:val="left"/>
      </w:pPr>
      <w:r>
        <w:rPr>
          <w:rFonts w:ascii="Consolas" w:hAnsi="Consolas"/>
          <w:color w:val="202020"/>
          <w:sz w:val="18"/>
        </w:rPr>
        <w:t>Impact: Supplier to revise technical and commercial offer</w:t>
      </w:r>
    </w:p>
    <w:p>
      <w:pPr>
        <w:shd w:val="clear" w:color="auto" w:fill="F4F4F4"/>
        <w:spacing w:before="0" w:after="0" w:line="240" w:lineRule="auto"/>
        <w:ind w:left="216" w:right="216"/>
        <w:jc w:val="left"/>
      </w:pPr>
      <w:r>
        <w:rPr>
          <w:rFonts w:ascii="Consolas" w:hAnsi="Consolas"/>
          <w:color w:val="202020"/>
          <w:sz w:val="18"/>
        </w:rPr>
        <w:t>Status: Reissued for quotation</w:t>
      </w:r>
    </w:p>
    <w:p/>
    <w:p>
      <w:r>
        <w:t>This is an illustrative numbering convention. Use the organization's approved document-control method.</w:t>
      </w:r>
    </w:p>
    <w:p>
      <w:r>
        <w:t>All suppliers must receive the same relevant revision and clarification information. Otherwise, the commercial comparison may not be based on equivalent offers.</w:t>
      </w:r>
    </w:p>
    <w:p>
      <w:pPr>
        <w:pStyle w:val="Heading2"/>
      </w:pPr>
      <w:r>
        <w:t>17. RFQ clarifications and addenda</w:t>
      </w:r>
    </w:p>
    <w:p>
      <w:r>
        <w:t>During the quotation period, suppliers may ask questions about ambiguous or missing information.</w:t>
      </w:r>
    </w:p>
    <w:p>
      <w:r>
        <w:t>A controlled clarification process should:</w:t>
      </w:r>
    </w:p>
    <w:p>
      <w:pPr>
        <w:tabs>
          <w:tab w:pos="403" w:val="left"/>
        </w:tabs>
        <w:spacing w:after="40" w:line="276" w:lineRule="auto"/>
        <w:ind w:left="403" w:hanging="403"/>
        <w:jc w:val="left"/>
      </w:pPr>
      <w:r>
        <w:rPr>
          <w:color w:val="1A2E4A"/>
        </w:rPr>
        <w:t>1.</w:t>
        <w:tab/>
      </w:r>
      <w:r>
        <w:t>Record the supplier's question.</w:t>
      </w:r>
    </w:p>
    <w:p>
      <w:pPr>
        <w:tabs>
          <w:tab w:pos="403" w:val="left"/>
        </w:tabs>
        <w:spacing w:after="40" w:line="276" w:lineRule="auto"/>
        <w:ind w:left="403" w:hanging="403"/>
        <w:jc w:val="left"/>
      </w:pPr>
      <w:r>
        <w:rPr>
          <w:color w:val="1A2E4A"/>
        </w:rPr>
        <w:t>2.</w:t>
        <w:tab/>
      </w:r>
      <w:r>
        <w:t>Obtain the relevant technical or commercial owner's response.</w:t>
      </w:r>
    </w:p>
    <w:p>
      <w:pPr>
        <w:tabs>
          <w:tab w:pos="403" w:val="left"/>
        </w:tabs>
        <w:spacing w:after="40" w:line="276" w:lineRule="auto"/>
        <w:ind w:left="403" w:hanging="403"/>
        <w:jc w:val="left"/>
      </w:pPr>
      <w:r>
        <w:rPr>
          <w:color w:val="1A2E4A"/>
        </w:rPr>
        <w:t>3.</w:t>
        <w:tab/>
      </w:r>
      <w:r>
        <w:t>Assess whether the response changes the scope.</w:t>
      </w:r>
    </w:p>
    <w:p>
      <w:pPr>
        <w:tabs>
          <w:tab w:pos="403" w:val="left"/>
        </w:tabs>
        <w:spacing w:after="40" w:line="276" w:lineRule="auto"/>
        <w:ind w:left="403" w:hanging="403"/>
        <w:jc w:val="left"/>
      </w:pPr>
      <w:r>
        <w:rPr>
          <w:color w:val="1A2E4A"/>
        </w:rPr>
        <w:t>4.</w:t>
        <w:tab/>
      </w:r>
      <w:r>
        <w:t>Issue a common clarification or formal RFQ revision where appropriate.</w:t>
      </w:r>
    </w:p>
    <w:p>
      <w:pPr>
        <w:tabs>
          <w:tab w:pos="403" w:val="left"/>
        </w:tabs>
        <w:spacing w:after="40" w:line="276" w:lineRule="auto"/>
        <w:ind w:left="403" w:hanging="403"/>
        <w:jc w:val="left"/>
      </w:pPr>
      <w:r>
        <w:rPr>
          <w:color w:val="1A2E4A"/>
        </w:rPr>
        <w:t>5.</w:t>
        <w:tab/>
      </w:r>
      <w:r>
        <w:t>Notify affected suppliers.</w:t>
      </w:r>
    </w:p>
    <w:p>
      <w:pPr>
        <w:tabs>
          <w:tab w:pos="403" w:val="left"/>
        </w:tabs>
        <w:spacing w:after="40" w:line="276" w:lineRule="auto"/>
        <w:ind w:left="403" w:hanging="403"/>
        <w:jc w:val="left"/>
      </w:pPr>
      <w:r>
        <w:rPr>
          <w:color w:val="1A2E4A"/>
        </w:rPr>
        <w:t>6.</w:t>
        <w:tab/>
      </w:r>
      <w:r>
        <w:t>Maintain a record of the final requirements.</w:t>
      </w:r>
    </w:p>
    <w:p>
      <w:r>
        <w:t>If a clarification changes price, quantity, performance, or delivery expectations, suppliers may need time to revise their quotations.</w:t>
      </w:r>
    </w:p>
    <w:p>
      <w:r>
        <w:t>Do not rely on informal verbal instructions for material scope changes.</w:t>
      </w:r>
    </w:p>
    <w:p>
      <w:pPr>
        <w:pStyle w:val="Heading2"/>
      </w:pPr>
      <w:r>
        <w:t>18. RFQ evaluation and approval workflow</w:t>
      </w:r>
    </w:p>
    <w:p>
      <w:pPr>
        <w:shd w:val="clear" w:color="auto" w:fill="F4F4F4"/>
        <w:spacing w:before="0" w:after="0" w:line="240" w:lineRule="auto"/>
        <w:ind w:left="216" w:right="216"/>
        <w:jc w:val="left"/>
      </w:pPr>
      <w:r>
        <w:rPr>
          <w:rFonts w:ascii="Consolas" w:hAnsi="Consolas"/>
          <w:color w:val="202020"/>
          <w:sz w:val="18"/>
        </w:rPr>
        <w:t>RFQ Issued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Quotation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Submission Completeness Check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Compliance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Clarifications / Deviations Resolved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Commercial Normalization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Total Cost and Risk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Approval Under Procurement Policy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 or Contract</w:t>
      </w:r>
    </w:p>
    <w:p/>
    <w:p>
      <w:r>
        <w:t>Some organizations evaluate technical and commercial submissions in parallel or use a formal two-envelope process. Follow the approved procurement policy.</w:t>
      </w:r>
    </w:p>
    <w:p>
      <w:r>
        <w:t>Supplier selection should consider the applicable combination of:</w:t>
      </w:r>
    </w:p>
    <w:p>
      <w:pPr>
        <w:pStyle w:val="ListBullet"/>
      </w:pPr>
      <w:r>
        <w:t>Technical compliance.</w:t>
      </w:r>
    </w:p>
    <w:p>
      <w:pPr>
        <w:pStyle w:val="ListBullet"/>
      </w:pPr>
      <w:r>
        <w:t>Total evaluated cost.</w:t>
      </w:r>
    </w:p>
    <w:p>
      <w:pPr>
        <w:pStyle w:val="ListBullet"/>
      </w:pPr>
      <w:r>
        <w:t>Delivery capability.</w:t>
      </w:r>
    </w:p>
    <w:p>
      <w:pPr>
        <w:pStyle w:val="ListBullet"/>
      </w:pPr>
      <w:r>
        <w:t>Quality performance.</w:t>
      </w:r>
    </w:p>
    <w:p>
      <w:pPr>
        <w:pStyle w:val="ListBullet"/>
      </w:pPr>
      <w:r>
        <w:t>Warranty and support.</w:t>
      </w:r>
    </w:p>
    <w:p>
      <w:pPr>
        <w:pStyle w:val="ListBullet"/>
      </w:pPr>
      <w:r>
        <w:t>Lifecycle and obsolescence risk.</w:t>
      </w:r>
    </w:p>
    <w:p>
      <w:pPr>
        <w:pStyle w:val="ListBullet"/>
      </w:pPr>
      <w:r>
        <w:t>Commercial terms.</w:t>
      </w:r>
    </w:p>
    <w:p>
      <w:pPr>
        <w:pStyle w:val="ListBullet"/>
      </w:pPr>
      <w:r>
        <w:t>Supplier capacity and relevant experience.</w:t>
      </w:r>
    </w:p>
    <w:p>
      <w:r>
        <w:t>The lowest price is not automatically the best offer, and a technically attractive offer is not automatically commercially acceptable.</w:t>
      </w:r>
    </w:p>
    <w:p>
      <w:pPr>
        <w:pStyle w:val="Heading2"/>
      </w:pPr>
      <w:r>
        <w:t>19. Practical example: RFQ for a PLC retrofit</w:t>
      </w:r>
    </w:p>
    <w:p>
      <w:r>
        <w:t>Assume a machine has an obsolete PLC and the plant wants a replacement with improved diagnostics and maintainability.</w:t>
      </w:r>
    </w:p>
    <w:p>
      <w:r>
        <w:t>A suitable RFQ package should include:</w:t>
      </w:r>
    </w:p>
    <w:p>
      <w:r>
        <w:t>Existing system information</w:t>
      </w:r>
    </w:p>
    <w:p>
      <w:pPr>
        <w:pStyle w:val="ListBullet"/>
      </w:pPr>
      <w:r>
        <w:t>Current PLC make and model.</w:t>
      </w:r>
    </w:p>
    <w:p>
      <w:pPr>
        <w:pStyle w:val="ListBullet"/>
      </w:pPr>
      <w:r>
        <w:t>I/O configuration.</w:t>
      </w:r>
    </w:p>
    <w:p>
      <w:pPr>
        <w:pStyle w:val="ListBullet"/>
      </w:pPr>
      <w:r>
        <w:t>Installed communication interfaces.</w:t>
      </w:r>
    </w:p>
    <w:p>
      <w:pPr>
        <w:pStyle w:val="ListBullet"/>
      </w:pPr>
      <w:r>
        <w:t>Available drawings and software backups.</w:t>
      </w:r>
    </w:p>
    <w:p>
      <w:pPr>
        <w:pStyle w:val="ListBullet"/>
      </w:pPr>
      <w:r>
        <w:t>Connected equipment and interfaces.</w:t>
      </w:r>
    </w:p>
    <w:p>
      <w:pPr>
        <w:pStyle w:val="ListBullet"/>
      </w:pPr>
      <w:r>
        <w:t>Current machine behavior and known limitations.</w:t>
      </w:r>
    </w:p>
    <w:p>
      <w:r>
        <w:t>Required scope</w:t>
      </w:r>
    </w:p>
    <w:p>
      <w:pPr>
        <w:pStyle w:val="ListBullet"/>
      </w:pPr>
      <w:r>
        <w:t>Supply of the replacement PLC and required modules.</w:t>
      </w:r>
    </w:p>
    <w:p>
      <w:pPr>
        <w:pStyle w:val="ListBullet"/>
      </w:pPr>
      <w:r>
        <w:t>Required software conversion or redevelopment.</w:t>
      </w:r>
    </w:p>
    <w:p>
      <w:pPr>
        <w:pStyle w:val="ListBullet"/>
      </w:pPr>
      <w:r>
        <w:t>Panel modifications and field wiring changes, if applicable.</w:t>
      </w:r>
    </w:p>
    <w:p>
      <w:pPr>
        <w:pStyle w:val="ListBullet"/>
      </w:pPr>
      <w:r>
        <w:t>Communication integration.</w:t>
      </w:r>
    </w:p>
    <w:p>
      <w:pPr>
        <w:pStyle w:val="ListBullet"/>
      </w:pPr>
      <w:r>
        <w:t>Migration planning.</w:t>
      </w:r>
    </w:p>
    <w:p>
      <w:pPr>
        <w:pStyle w:val="ListBullet"/>
      </w:pPr>
      <w:r>
        <w:t>Installation and commissioning.</w:t>
      </w:r>
    </w:p>
    <w:p>
      <w:pPr>
        <w:pStyle w:val="ListBullet"/>
      </w:pPr>
      <w:r>
        <w:t>Required downtime plan.</w:t>
      </w:r>
    </w:p>
    <w:p>
      <w:pPr>
        <w:pStyle w:val="ListBullet"/>
      </w:pPr>
      <w:r>
        <w:t>FAT and SAT.</w:t>
      </w:r>
    </w:p>
    <w:p>
      <w:pPr>
        <w:pStyle w:val="ListBullet"/>
      </w:pPr>
      <w:r>
        <w:t>Documentation and training.</w:t>
      </w:r>
    </w:p>
    <w:p>
      <w:r>
        <w:t>Technical requirements</w:t>
      </w:r>
    </w:p>
    <w:p>
      <w:pPr>
        <w:pStyle w:val="ListBullet"/>
      </w:pPr>
      <w:r>
        <w:t>Required I/O capacity and expansion margin.</w:t>
      </w:r>
    </w:p>
    <w:p>
      <w:pPr>
        <w:pStyle w:val="ListBullet"/>
      </w:pPr>
      <w:r>
        <w:t>Communication protocols.</w:t>
      </w:r>
    </w:p>
    <w:p>
      <w:pPr>
        <w:pStyle w:val="ListBullet"/>
      </w:pPr>
      <w:r>
        <w:t>Compatibility with existing drives, HMI, CNC, robots, and networks.</w:t>
      </w:r>
    </w:p>
    <w:p>
      <w:pPr>
        <w:pStyle w:val="ListBullet"/>
      </w:pPr>
      <w:r>
        <w:t>Required diagnostics.</w:t>
      </w:r>
    </w:p>
    <w:p>
      <w:pPr>
        <w:pStyle w:val="ListBullet"/>
      </w:pPr>
      <w:r>
        <w:t>Software and backup deliverables.</w:t>
      </w:r>
    </w:p>
    <w:p>
      <w:pPr>
        <w:pStyle w:val="ListBullet"/>
      </w:pPr>
      <w:r>
        <w:t>Cybersecurity and access-control requirements.</w:t>
      </w:r>
    </w:p>
    <w:p>
      <w:pPr>
        <w:pStyle w:val="ListBullet"/>
      </w:pPr>
      <w:r>
        <w:t>Applicable safety-related constraints.</w:t>
      </w:r>
    </w:p>
    <w:p>
      <w:r>
        <w:t>Acceptance criteria</w:t>
      </w:r>
    </w:p>
    <w:p>
      <w:pPr>
        <w:pStyle w:val="ListBullet"/>
      </w:pPr>
      <w:r>
        <w:t>Required I/O points verified.</w:t>
      </w:r>
    </w:p>
    <w:p>
      <w:pPr>
        <w:pStyle w:val="ListBullet"/>
      </w:pPr>
      <w:r>
        <w:t>Required communication interfaces operational.</w:t>
      </w:r>
    </w:p>
    <w:p>
      <w:pPr>
        <w:pStyle w:val="ListBullet"/>
      </w:pPr>
      <w:r>
        <w:t>Defined machine sequences tested.</w:t>
      </w:r>
    </w:p>
    <w:p>
      <w:pPr>
        <w:pStyle w:val="ListBullet"/>
      </w:pPr>
      <w:r>
        <w:t>Alarms and diagnostics verified.</w:t>
      </w:r>
    </w:p>
    <w:p>
      <w:pPr>
        <w:pStyle w:val="ListBullet"/>
      </w:pPr>
      <w:r>
        <w:t>Safety functions validated according to the approved plan.</w:t>
      </w:r>
    </w:p>
    <w:p>
      <w:pPr>
        <w:pStyle w:val="ListBullet"/>
      </w:pPr>
      <w:r>
        <w:t>Production performance demonstrated under agreed conditions.</w:t>
      </w:r>
    </w:p>
    <w:p>
      <w:pPr>
        <w:pStyle w:val="ListBullet"/>
      </w:pPr>
      <w:r>
        <w:t>Final software backups and as-built documentation handed over.</w:t>
      </w:r>
    </w:p>
    <w:p>
      <w:r>
        <w:t>Commercial comparison</w:t>
      </w:r>
    </w:p>
    <w:p>
      <w:r>
        <w:t>Compare equipment, engineering, wiring, installation, downtime support, commissioning, documentation, training, warranty, and any ongoing licenses. Evaluate the complete migration scope rather than the replacement PLC price alone.</w:t>
      </w:r>
    </w:p>
    <w:p>
      <w:pPr>
        <w:pStyle w:val="Heading2"/>
      </w:pPr>
      <w:r>
        <w:t>20. RFQ templates and reusable structure</w:t>
      </w:r>
    </w:p>
    <w:p>
      <w:r>
        <w:t>A practical RFQ document can use the following section structure.</w:t>
      </w:r>
    </w:p>
    <w:p>
      <w:pPr>
        <w:shd w:val="clear" w:color="auto" w:fill="F4F4F4"/>
        <w:spacing w:before="0" w:after="0" w:line="240" w:lineRule="auto"/>
        <w:ind w:left="216" w:right="216"/>
        <w:jc w:val="left"/>
      </w:pPr>
      <w:r>
        <w:rPr>
          <w:rFonts w:ascii="Consolas" w:hAnsi="Consolas"/>
          <w:color w:val="202020"/>
          <w:sz w:val="18"/>
        </w:rPr>
        <w:t>1. RFQ Identification</w:t>
      </w:r>
    </w:p>
    <w:p>
      <w:pPr>
        <w:shd w:val="clear" w:color="auto" w:fill="F4F4F4"/>
        <w:spacing w:before="0" w:after="0" w:line="240" w:lineRule="auto"/>
        <w:ind w:left="216" w:right="216"/>
        <w:jc w:val="left"/>
      </w:pPr>
      <w:r>
        <w:rPr>
          <w:rFonts w:ascii="Consolas" w:hAnsi="Consolas"/>
          <w:color w:val="202020"/>
          <w:sz w:val="18"/>
        </w:rPr>
        <w:t>2. Project Background and Objective</w:t>
      </w:r>
    </w:p>
    <w:p>
      <w:pPr>
        <w:shd w:val="clear" w:color="auto" w:fill="F4F4F4"/>
        <w:spacing w:before="0" w:after="0" w:line="240" w:lineRule="auto"/>
        <w:ind w:left="216" w:right="216"/>
        <w:jc w:val="left"/>
      </w:pPr>
      <w:r>
        <w:rPr>
          <w:rFonts w:ascii="Consolas" w:hAnsi="Consolas"/>
          <w:color w:val="202020"/>
          <w:sz w:val="18"/>
        </w:rPr>
        <w:t>3. Scope of Supply</w:t>
      </w:r>
    </w:p>
    <w:p>
      <w:pPr>
        <w:shd w:val="clear" w:color="auto" w:fill="F4F4F4"/>
        <w:spacing w:before="0" w:after="0" w:line="240" w:lineRule="auto"/>
        <w:ind w:left="216" w:right="216"/>
        <w:jc w:val="left"/>
      </w:pPr>
      <w:r>
        <w:rPr>
          <w:rFonts w:ascii="Consolas" w:hAnsi="Consolas"/>
          <w:color w:val="202020"/>
          <w:sz w:val="18"/>
        </w:rPr>
        <w:t>4. Technical Requirements</w:t>
      </w:r>
    </w:p>
    <w:p>
      <w:pPr>
        <w:shd w:val="clear" w:color="auto" w:fill="F4F4F4"/>
        <w:spacing w:before="0" w:after="0" w:line="240" w:lineRule="auto"/>
        <w:ind w:left="216" w:right="216"/>
        <w:jc w:val="left"/>
      </w:pPr>
      <w:r>
        <w:rPr>
          <w:rFonts w:ascii="Consolas" w:hAnsi="Consolas"/>
          <w:color w:val="202020"/>
          <w:sz w:val="18"/>
        </w:rPr>
        <w:t>5. Applicable Standards and Compliance</w:t>
      </w:r>
    </w:p>
    <w:p>
      <w:pPr>
        <w:shd w:val="clear" w:color="auto" w:fill="F4F4F4"/>
        <w:spacing w:before="0" w:after="0" w:line="240" w:lineRule="auto"/>
        <w:ind w:left="216" w:right="216"/>
        <w:jc w:val="left"/>
      </w:pPr>
      <w:r>
        <w:rPr>
          <w:rFonts w:ascii="Consolas" w:hAnsi="Consolas"/>
          <w:color w:val="202020"/>
          <w:sz w:val="18"/>
        </w:rPr>
        <w:t>6. Existing System / Site Information</w:t>
      </w:r>
    </w:p>
    <w:p>
      <w:pPr>
        <w:shd w:val="clear" w:color="auto" w:fill="F4F4F4"/>
        <w:spacing w:before="0" w:after="0" w:line="240" w:lineRule="auto"/>
        <w:ind w:left="216" w:right="216"/>
        <w:jc w:val="left"/>
      </w:pPr>
      <w:r>
        <w:rPr>
          <w:rFonts w:ascii="Consolas" w:hAnsi="Consolas"/>
          <w:color w:val="202020"/>
          <w:sz w:val="18"/>
        </w:rPr>
        <w:t>7. Deliverables and Documentation</w:t>
      </w:r>
    </w:p>
    <w:p>
      <w:pPr>
        <w:shd w:val="clear" w:color="auto" w:fill="F4F4F4"/>
        <w:spacing w:before="0" w:after="0" w:line="240" w:lineRule="auto"/>
        <w:ind w:left="216" w:right="216"/>
        <w:jc w:val="left"/>
      </w:pPr>
      <w:r>
        <w:rPr>
          <w:rFonts w:ascii="Consolas" w:hAnsi="Consolas"/>
          <w:color w:val="202020"/>
          <w:sz w:val="18"/>
        </w:rPr>
        <w:t>8. Installation and Commissioning</w:t>
      </w:r>
    </w:p>
    <w:p>
      <w:pPr>
        <w:shd w:val="clear" w:color="auto" w:fill="F4F4F4"/>
        <w:spacing w:before="0" w:after="0" w:line="240" w:lineRule="auto"/>
        <w:ind w:left="216" w:right="216"/>
        <w:jc w:val="left"/>
      </w:pPr>
      <w:r>
        <w:rPr>
          <w:rFonts w:ascii="Consolas" w:hAnsi="Consolas"/>
          <w:color w:val="202020"/>
          <w:sz w:val="18"/>
        </w:rPr>
        <w:t>9. Inspection, FAT, SAT, and Acceptance</w:t>
      </w:r>
    </w:p>
    <w:p>
      <w:pPr>
        <w:shd w:val="clear" w:color="auto" w:fill="F4F4F4"/>
        <w:spacing w:before="0" w:after="0" w:line="240" w:lineRule="auto"/>
        <w:ind w:left="216" w:right="216"/>
        <w:jc w:val="left"/>
      </w:pPr>
      <w:r>
        <w:rPr>
          <w:rFonts w:ascii="Consolas" w:hAnsi="Consolas"/>
          <w:color w:val="202020"/>
          <w:sz w:val="18"/>
        </w:rPr>
        <w:t>10. Delivery Schedule and Milestones</w:t>
      </w:r>
    </w:p>
    <w:p>
      <w:pPr>
        <w:shd w:val="clear" w:color="auto" w:fill="F4F4F4"/>
        <w:spacing w:before="0" w:after="0" w:line="240" w:lineRule="auto"/>
        <w:ind w:left="216" w:right="216"/>
        <w:jc w:val="left"/>
      </w:pPr>
      <w:r>
        <w:rPr>
          <w:rFonts w:ascii="Consolas" w:hAnsi="Consolas"/>
          <w:color w:val="202020"/>
          <w:sz w:val="18"/>
        </w:rPr>
        <w:t>11. Warranty and After-Sales Support</w:t>
      </w:r>
    </w:p>
    <w:p>
      <w:pPr>
        <w:shd w:val="clear" w:color="auto" w:fill="F4F4F4"/>
        <w:spacing w:before="0" w:after="0" w:line="240" w:lineRule="auto"/>
        <w:ind w:left="216" w:right="216"/>
        <w:jc w:val="left"/>
      </w:pPr>
      <w:r>
        <w:rPr>
          <w:rFonts w:ascii="Consolas" w:hAnsi="Consolas"/>
          <w:color w:val="202020"/>
          <w:sz w:val="18"/>
        </w:rPr>
        <w:t>12. Commercial Pricing Format</w:t>
      </w:r>
    </w:p>
    <w:p>
      <w:pPr>
        <w:shd w:val="clear" w:color="auto" w:fill="F4F4F4"/>
        <w:spacing w:before="0" w:after="0" w:line="240" w:lineRule="auto"/>
        <w:ind w:left="216" w:right="216"/>
        <w:jc w:val="left"/>
      </w:pPr>
      <w:r>
        <w:rPr>
          <w:rFonts w:ascii="Consolas" w:hAnsi="Consolas"/>
          <w:color w:val="202020"/>
          <w:sz w:val="18"/>
        </w:rPr>
        <w:t>13. Payment and Delivery Terms</w:t>
      </w:r>
    </w:p>
    <w:p>
      <w:pPr>
        <w:shd w:val="clear" w:color="auto" w:fill="F4F4F4"/>
        <w:spacing w:before="0" w:after="0" w:line="240" w:lineRule="auto"/>
        <w:ind w:left="216" w:right="216"/>
        <w:jc w:val="left"/>
      </w:pPr>
      <w:r>
        <w:rPr>
          <w:rFonts w:ascii="Consolas" w:hAnsi="Consolas"/>
          <w:color w:val="202020"/>
          <w:sz w:val="18"/>
        </w:rPr>
        <w:t>14. Supplier Qualifications</w:t>
      </w:r>
    </w:p>
    <w:p>
      <w:pPr>
        <w:shd w:val="clear" w:color="auto" w:fill="F4F4F4"/>
        <w:spacing w:before="0" w:after="0" w:line="240" w:lineRule="auto"/>
        <w:ind w:left="216" w:right="216"/>
        <w:jc w:val="left"/>
      </w:pPr>
      <w:r>
        <w:rPr>
          <w:rFonts w:ascii="Consolas" w:hAnsi="Consolas"/>
          <w:color w:val="202020"/>
          <w:sz w:val="18"/>
        </w:rPr>
        <w:t>15. Deviations, Assumptions, and Exclusions</w:t>
      </w:r>
    </w:p>
    <w:p>
      <w:pPr>
        <w:shd w:val="clear" w:color="auto" w:fill="F4F4F4"/>
        <w:spacing w:before="0" w:after="0" w:line="240" w:lineRule="auto"/>
        <w:ind w:left="216" w:right="216"/>
        <w:jc w:val="left"/>
      </w:pPr>
      <w:r>
        <w:rPr>
          <w:rFonts w:ascii="Consolas" w:hAnsi="Consolas"/>
          <w:color w:val="202020"/>
          <w:sz w:val="18"/>
        </w:rPr>
        <w:t>16. Quotation Submission Instructions</w:t>
      </w:r>
    </w:p>
    <w:p>
      <w:pPr>
        <w:shd w:val="clear" w:color="auto" w:fill="F4F4F4"/>
        <w:spacing w:before="0" w:after="0" w:line="240" w:lineRule="auto"/>
        <w:ind w:left="216" w:right="216"/>
        <w:jc w:val="left"/>
      </w:pPr>
      <w:r>
        <w:rPr>
          <w:rFonts w:ascii="Consolas" w:hAnsi="Consolas"/>
          <w:color w:val="202020"/>
          <w:sz w:val="18"/>
        </w:rPr>
        <w:t>17. Clarification and Revision Control</w:t>
      </w:r>
    </w:p>
    <w:p>
      <w:pPr>
        <w:shd w:val="clear" w:color="auto" w:fill="F4F4F4"/>
        <w:spacing w:before="0" w:after="0" w:line="240" w:lineRule="auto"/>
        <w:ind w:left="216" w:right="216"/>
        <w:jc w:val="left"/>
      </w:pPr>
      <w:r>
        <w:rPr>
          <w:rFonts w:ascii="Consolas" w:hAnsi="Consolas"/>
          <w:color w:val="202020"/>
          <w:sz w:val="18"/>
        </w:rPr>
        <w:t>18. Evaluation and Approval Requirements</w:t>
      </w:r>
    </w:p>
    <w:p/>
    <w:p>
      <w:r>
        <w:t>The sections should be adapted to the purchase. A standard sensor purchase does not need the same document complexity as a complete robot cell or a plant-wide PLC migration.</w:t>
      </w:r>
    </w:p>
    <w:p>
      <w:pPr>
        <w:pStyle w:val="Heading2"/>
      </w:pPr>
      <w:r>
        <w:t>21. RFQ preparation checklist</w:t>
      </w:r>
    </w:p>
    <w:p>
      <w:pPr>
        <w:pStyle w:val="ListBullet"/>
      </w:pPr>
      <w:r>
        <w:t>Business need and procurement scope are approved.</w:t>
      </w:r>
    </w:p>
    <w:p>
      <w:pPr>
        <w:pStyle w:val="ListBullet"/>
      </w:pPr>
      <w:r>
        <w:t>Technical requirements are clear and measurable.</w:t>
      </w:r>
    </w:p>
    <w:p>
      <w:pPr>
        <w:pStyle w:val="ListBullet"/>
      </w:pPr>
      <w:r>
        <w:t>Required quantities and units are defined.</w:t>
      </w:r>
    </w:p>
    <w:p>
      <w:pPr>
        <w:pStyle w:val="ListBullet"/>
      </w:pPr>
      <w:r>
        <w:t>Relevant drawings, specifications, and BOQs are attached.</w:t>
      </w:r>
    </w:p>
    <w:p>
      <w:pPr>
        <w:pStyle w:val="ListBullet"/>
      </w:pPr>
      <w:r>
        <w:t>Site conditions and installation responsibilities are stated.</w:t>
      </w:r>
    </w:p>
    <w:p>
      <w:pPr>
        <w:pStyle w:val="ListBullet"/>
      </w:pPr>
      <w:r>
        <w:t>Applicable standards and compliance requirements are identified.</w:t>
      </w:r>
    </w:p>
    <w:p>
      <w:pPr>
        <w:pStyle w:val="ListBullet"/>
      </w:pPr>
      <w:r>
        <w:t>Required accessories, spares, and services are included or explicitly excluded.</w:t>
      </w:r>
    </w:p>
    <w:p>
      <w:pPr>
        <w:pStyle w:val="ListBullet"/>
      </w:pPr>
      <w:r>
        <w:t>Delivery milestones and acceptance conditions are defined.</w:t>
      </w:r>
    </w:p>
    <w:p>
      <w:pPr>
        <w:pStyle w:val="ListBullet"/>
      </w:pPr>
      <w:r>
        <w:t>Required technical and commercial submission formats are stated.</w:t>
      </w:r>
    </w:p>
    <w:p>
      <w:pPr>
        <w:pStyle w:val="ListBullet"/>
      </w:pPr>
      <w:r>
        <w:t>Warranty, support, and documentation requirements are specified.</w:t>
      </w:r>
    </w:p>
    <w:p>
      <w:pPr>
        <w:pStyle w:val="ListBullet"/>
      </w:pPr>
      <w:r>
        <w:t>Software ownership, licenses, and backup deliverables are addressed where relevant.</w:t>
      </w:r>
    </w:p>
    <w:p>
      <w:pPr>
        <w:pStyle w:val="ListBullet"/>
      </w:pPr>
      <w:r>
        <w:t>Deviations and alternatives must be disclosed.</w:t>
      </w:r>
    </w:p>
    <w:p>
      <w:pPr>
        <w:pStyle w:val="ListBullet"/>
      </w:pPr>
      <w:r>
        <w:t>Evaluation criteria follow the organization's procurement policy.</w:t>
      </w:r>
    </w:p>
    <w:p>
      <w:pPr>
        <w:pStyle w:val="ListBullet"/>
      </w:pPr>
      <w:r>
        <w:t>RFQ number, revision, deadline, and approval status are correct.</w:t>
      </w:r>
    </w:p>
    <w:p>
      <w:pPr>
        <w:pStyle w:val="ListBullet"/>
      </w:pPr>
      <w:r>
        <w:t>All invited suppliers receive the same approved information.</w:t>
      </w:r>
    </w:p>
    <w:p>
      <w:pPr>
        <w:pStyle w:val="Heading2"/>
      </w:pPr>
      <w:r>
        <w:t>22. Interview questions and answers</w:t>
      </w:r>
    </w:p>
    <w:p>
      <w:r>
        <w:t>Q1. What is an RFQ?</w:t>
      </w:r>
    </w:p>
    <w:p>
      <w:r>
        <w:t>An RFQ is a formal request asking suppliers to provide quotations for a defined scope of goods or services under specified technical and commercial conditions.</w:t>
      </w:r>
    </w:p>
    <w:p>
      <w:r>
        <w:t>Q2. What is the difference between an RFQ and an RFP?</w:t>
      </w:r>
    </w:p>
    <w:p>
      <w:r>
        <w:t>An RFQ generally seeks quotations for a sufficiently defined requirement. An RFP typically invites a proposed solution or approach when suppliers may need to develop and explain different ways of meeting the objective.</w:t>
      </w:r>
    </w:p>
    <w:p>
      <w:r>
        <w:t>Q3. What is the difference between a BOQ and a BOM?</w:t>
      </w:r>
    </w:p>
    <w:p>
      <w:r>
        <w:t>A BOQ typically lists quantities of items or work to be priced. A BOM lists the components required to build an assembly or system. Their precise use depends on the organization's process.</w:t>
      </w:r>
    </w:p>
    <w:p>
      <w:r>
        <w:t>Q4. Why is an RFQ technical specification important?</w:t>
      </w:r>
    </w:p>
    <w:p>
      <w:r>
        <w:t>It makes supplier offers comparable and establishes the requirements against which technical compliance and acceptance will be evaluated.</w:t>
      </w:r>
    </w:p>
    <w:p>
      <w:r>
        <w:t>Q5. Why should exclusions be declared?</w:t>
      </w:r>
    </w:p>
    <w:p>
      <w:r>
        <w:t>Undisclosed exclusions can create unexpected costs, scope disputes, and delays during installation or commissioning.</w:t>
      </w:r>
    </w:p>
    <w:p>
      <w:r>
        <w:t>Q6. What is a technical compliance matrix?</w:t>
      </w:r>
    </w:p>
    <w:p>
      <w:r>
        <w:t>It records each requirement, the supplier's response, supporting evidence, and the evaluation result.</w:t>
      </w:r>
    </w:p>
    <w:p>
      <w:r>
        <w:t>Q7. Why should the buyer compare total evaluated cost instead of equipment price alone?</w:t>
      </w:r>
    </w:p>
    <w:p>
      <w:r>
        <w:t>Because engineering, installation, commissioning, licenses, accessories, training, maintenance, and downtime can materially change the total cost.</w:t>
      </w:r>
    </w:p>
    <w:p>
      <w:r>
        <w:t>Q8. What is quotation validity?</w:t>
      </w:r>
    </w:p>
    <w:p>
      <w:r>
        <w:t>It is the period during which the supplier states that the quotation remains valid under the specified terms, subject to the offer's conditions.</w:t>
      </w:r>
    </w:p>
    <w:p>
      <w:r>
        <w:t>Q9. What should happen when a supplier proposes an alternative component?</w:t>
      </w:r>
    </w:p>
    <w:p>
      <w:r>
        <w:t>The supplier should disclose the deviation and provide evidence. The buyer's authorized technical and commercial stakeholders should evaluate and approve or reject it under the procurement process.</w:t>
      </w:r>
    </w:p>
    <w:p>
      <w:r>
        <w:t>Q10. Why is revision control important in an RFQ?</w:t>
      </w:r>
    </w:p>
    <w:p>
      <w:r>
        <w:t>It ensures that quotations are prepared against the correct requirements and that scope changes are communicated and evaluated consistently.</w:t>
      </w:r>
    </w:p>
    <w:p>
      <w:r>
        <w:t>Q11. What is the difference between delivery and acceptance?</w:t>
      </w:r>
    </w:p>
    <w:p>
      <w:r>
        <w:t>Delivery confirms the relevant delivery milestone under the agreed terms. Acceptance confirms that the defined contractual and technical acceptance requirements have been met.</w:t>
      </w:r>
    </w:p>
    <w:p>
      <w:r>
        <w:t>Q12. Why is an RFQ particularly important for a retrofit?</w:t>
      </w:r>
    </w:p>
    <w:p>
      <w:r>
        <w:t>Because existing equipment, interfaces, software, downtime constraints, and compatibility requirements can create substantial costs that are missed if the scope only describes the replacement component.</w:t>
      </w:r>
    </w:p>
    <w:p>
      <w:pPr>
        <w:pStyle w:val="Heading2"/>
      </w:pPr>
      <w:r>
        <w:t>23. Key principles</w:t>
      </w:r>
    </w:p>
    <w:p>
      <w:r>
        <w:t>An effective RFQ is a controlled engineering and commercial document, not merely a request for a price.</w:t>
      </w:r>
    </w:p>
    <w:p>
      <w:r>
        <w:t>Its quality depends on five fundamentals:</w:t>
      </w:r>
    </w:p>
    <w:p>
      <w:pPr>
        <w:tabs>
          <w:tab w:pos="403" w:val="left"/>
        </w:tabs>
        <w:spacing w:after="40" w:line="276" w:lineRule="auto"/>
        <w:ind w:left="403" w:hanging="403"/>
        <w:jc w:val="left"/>
      </w:pPr>
      <w:r>
        <w:rPr>
          <w:color w:val="1A2E4A"/>
        </w:rPr>
        <w:t>1.</w:t>
        <w:tab/>
      </w:r>
      <w:r>
        <w:t>Clarity: The required scope is unambiguous.</w:t>
      </w:r>
    </w:p>
    <w:p>
      <w:pPr>
        <w:tabs>
          <w:tab w:pos="403" w:val="left"/>
        </w:tabs>
        <w:spacing w:after="40" w:line="276" w:lineRule="auto"/>
        <w:ind w:left="403" w:hanging="403"/>
        <w:jc w:val="left"/>
      </w:pPr>
      <w:r>
        <w:rPr>
          <w:color w:val="1A2E4A"/>
        </w:rPr>
        <w:t>2.</w:t>
        <w:tab/>
      </w:r>
      <w:r>
        <w:t>Measurability: Technical performance and acceptance can be verified.</w:t>
      </w:r>
    </w:p>
    <w:p>
      <w:pPr>
        <w:tabs>
          <w:tab w:pos="403" w:val="left"/>
        </w:tabs>
        <w:spacing w:after="40" w:line="276" w:lineRule="auto"/>
        <w:ind w:left="403" w:hanging="403"/>
        <w:jc w:val="left"/>
      </w:pPr>
      <w:r>
        <w:rPr>
          <w:color w:val="1A2E4A"/>
        </w:rPr>
        <w:t>3.</w:t>
        <w:tab/>
      </w:r>
      <w:r>
        <w:t>Comparability: Suppliers quote against equivalent requirements.</w:t>
      </w:r>
    </w:p>
    <w:p>
      <w:pPr>
        <w:tabs>
          <w:tab w:pos="403" w:val="left"/>
        </w:tabs>
        <w:spacing w:after="40" w:line="276" w:lineRule="auto"/>
        <w:ind w:left="403" w:hanging="403"/>
        <w:jc w:val="left"/>
      </w:pPr>
      <w:r>
        <w:rPr>
          <w:color w:val="1A2E4A"/>
        </w:rPr>
        <w:t>4.</w:t>
        <w:tab/>
      </w:r>
      <w:r>
        <w:t>Traceability: Requirements, revisions, deviations, and approvals are recorded.</w:t>
      </w:r>
    </w:p>
    <w:p>
      <w:pPr>
        <w:tabs>
          <w:tab w:pos="403" w:val="left"/>
        </w:tabs>
        <w:spacing w:after="40" w:line="276" w:lineRule="auto"/>
        <w:ind w:left="403" w:hanging="403"/>
        <w:jc w:val="left"/>
      </w:pPr>
      <w:r>
        <w:rPr>
          <w:color w:val="1A2E4A"/>
        </w:rPr>
        <w:t>5.</w:t>
        <w:tab/>
      </w:r>
      <w:r>
        <w:t>Completeness: Equipment, services, interfaces, lifecycle needs, and handover obligations are accounted for.</w:t>
      </w:r>
    </w:p>
    <w:p>
      <w:r>
        <w:t>For industrial automation, these principles help prevent incomplete quotations, incompatible components, uncontrolled substitutions, commissioning disputes, and unexpected lifecycle costs.</w:t>
      </w:r>
    </w:p>
    <w:p>
      <w:pPr>
        <w:pStyle w:val="Heading2"/>
      </w:pPr>
      <w:r>
        <w:t>NEXT TOPIC</w:t>
      </w:r>
    </w:p>
    <w:p>
      <w:r>
        <w:rPr>
          <w:rFonts w:ascii="Consolas" w:hAnsi="Consolas"/>
          <w:color w:val="333333"/>
          <w:sz w:val="19"/>
          <w:shd w:val="clear" w:color="auto" w:fill="EFEFEF"/>
        </w:rPr>
        <w:t>02_PLAN_WISE_2026\02_INDUSTRY3_0\07_Lifecycle\03_Procurement\02_Vendor_Identification - Vendor identification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02_PLAN_WISE_2026\02_INDUSTRY3_0\07_Lifecycle\03_Procurement\01_RFQ - RFQ</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