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02_PLAN_WISE_2026\02_INDUSTRY3_0\07_Lifecycle\03_Procurement\02_Vendor_Identification - Vendor identification</w:t>
      </w:r>
    </w:p>
    <w:p>
      <w:pPr>
        <w:pStyle w:val="Heading2"/>
      </w:pPr>
      <w:r>
        <w:t>1. What is vendor identification?</w:t>
      </w:r>
    </w:p>
    <w:p>
      <w:r>
        <w:t>Vendor identification is the process of finding and documenting potential suppliers capable of meeting an organization's technical, quality, commercial, delivery, and service requirements.</w:t>
      </w:r>
    </w:p>
    <w:p>
      <w:r>
        <w:t>In industrial automation, the right vendor is not simply the company offering the lowest price. The vendor must be able to supply the correct equipment, integrate it with the installed system, provide reliable technical support, deliver within the required schedule, and support the equipment throughout its service life.</w:t>
      </w:r>
    </w:p>
    <w:p>
      <w:r>
        <w:t>Vendor identification typically occurs before formal quotation evaluation, although procurement teams may identify potential vendors while preparing the RFQ.</w:t>
      </w:r>
    </w:p>
    <w:p>
      <w:r>
        <w:t>Examples include identifying suppliers for:</w:t>
      </w:r>
    </w:p>
    <w:p>
      <w:pPr>
        <w:pStyle w:val="ListBullet"/>
      </w:pPr>
      <w:r>
        <w:t>PLCs, HMIs, remote I/O, and industrial communication devices.</w:t>
      </w:r>
    </w:p>
    <w:p>
      <w:pPr>
        <w:pStyle w:val="ListBullet"/>
      </w:pPr>
      <w:r>
        <w:t>CNC controllers, machine tools, servo systems, and VFDs.</w:t>
      </w:r>
    </w:p>
    <w:p>
      <w:pPr>
        <w:pStyle w:val="ListBullet"/>
      </w:pPr>
      <w:r>
        <w:t>Robots, grippers, tooling, and machine vision systems.</w:t>
      </w:r>
    </w:p>
    <w:p>
      <w:pPr>
        <w:pStyle w:val="ListBullet"/>
      </w:pPr>
      <w:r>
        <w:t>Electrical control panels and industrial cables.</w:t>
      </w:r>
    </w:p>
    <w:p>
      <w:pPr>
        <w:pStyle w:val="ListBullet"/>
      </w:pPr>
      <w:r>
        <w:t>Sensors, scanners, test equipment, and measurement systems.</w:t>
      </w:r>
    </w:p>
    <w:p>
      <w:pPr>
        <w:pStyle w:val="ListBullet"/>
      </w:pPr>
      <w:r>
        <w:t>PLC programming, electrical installation, commissioning, and retrofit services.</w:t>
      </w:r>
    </w:p>
    <w:p>
      <w:pPr>
        <w:pStyle w:val="ListBullet"/>
      </w:pPr>
      <w:r>
        <w:t>Obsolete automation equipment and compatible replacement components.</w:t>
      </w:r>
    </w:p>
    <w:p>
      <w:r>
        <w:t>The objective is to build a technically suitable, commercially viable, and appropriately qualified supplier pool.</w:t>
      </w:r>
    </w:p>
    <w:p>
      <w:pPr>
        <w:pStyle w:val="Heading2"/>
      </w:pPr>
      <w:r>
        <w:t>2. Objectives of vendor identification</w:t>
      </w:r>
    </w:p>
    <w:p>
      <w:r>
        <w:t>A systematic process should:</w:t>
      </w:r>
    </w:p>
    <w:p>
      <w:pPr>
        <w:pStyle w:val="ListBullet"/>
      </w:pPr>
      <w:r>
        <w:t>Identify suppliers that can meet the actual requirement.</w:t>
      </w:r>
    </w:p>
    <w:p>
      <w:pPr>
        <w:pStyle w:val="ListBullet"/>
      </w:pPr>
      <w:r>
        <w:t>Verify product capability and compatibility.</w:t>
      </w:r>
    </w:p>
    <w:p>
      <w:pPr>
        <w:pStyle w:val="ListBullet"/>
      </w:pPr>
      <w:r>
        <w:t>Determine whether the supplier is an OEM, authorized distributor, system integrator, service provider, or trader.</w:t>
      </w:r>
    </w:p>
    <w:p>
      <w:pPr>
        <w:pStyle w:val="ListBullet"/>
      </w:pPr>
      <w:r>
        <w:t>Check relevant experience and references.</w:t>
      </w:r>
    </w:p>
    <w:p>
      <w:pPr>
        <w:pStyle w:val="ListBullet"/>
      </w:pPr>
      <w:r>
        <w:t>Evaluate service coverage, technical support, and spare-parts availability.</w:t>
      </w:r>
    </w:p>
    <w:p>
      <w:pPr>
        <w:pStyle w:val="ListBullet"/>
      </w:pPr>
      <w:r>
        <w:t>Identify delivery, quality, obsolescence, and business-continuity risks.</w:t>
      </w:r>
    </w:p>
    <w:p>
      <w:pPr>
        <w:pStyle w:val="ListBullet"/>
      </w:pPr>
      <w:r>
        <w:t>Establish traceable supplier records.</w:t>
      </w:r>
    </w:p>
    <w:p>
      <w:pPr>
        <w:pStyle w:val="ListBullet"/>
      </w:pPr>
      <w:r>
        <w:t>Prepare a suitable list of vendors for RFQ distribution.</w:t>
      </w:r>
    </w:p>
    <w:p>
      <w:pPr>
        <w:pStyle w:val="ListBullet"/>
      </w:pPr>
      <w:r>
        <w:t>Avoid unnecessary dependence on a single supplier.</w:t>
      </w:r>
    </w:p>
    <w:p>
      <w:pPr>
        <w:pStyle w:val="ListBullet"/>
      </w:pPr>
      <w:r>
        <w:t>Comply with the organization's procurement policies and approval requirements.</w:t>
      </w:r>
    </w:p>
    <w:p>
      <w:r>
        <w:t>Vendor identification establishes who may be suitable. It does not, by itself, prove that the vendor is approved or that a purchase should be awarded to them.</w:t>
      </w:r>
    </w:p>
    <w:p>
      <w:pPr>
        <w:pStyle w:val="Heading2"/>
      </w:pPr>
      <w:r>
        <w:t>3. Where vendor identification fits in procurement</w:t>
      </w:r>
    </w:p>
    <w:p>
      <w:pPr>
        <w:shd w:val="clear" w:color="auto" w:fill="F4F4F4"/>
        <w:spacing w:before="0" w:after="0" w:line="240" w:lineRule="auto"/>
        <w:ind w:left="216" w:right="216"/>
        <w:jc w:val="left"/>
      </w:pPr>
      <w:r>
        <w:rPr>
          <w:rFonts w:ascii="Consolas" w:hAnsi="Consolas"/>
          <w:color w:val="202020"/>
          <w:sz w:val="18"/>
        </w:rPr>
        <w:t>Business / Engineering Requirement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Required Product or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Market and Installed-Base Research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Potential Vendors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Capability Screening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Qualification,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Vendor Shortlist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RFQ to Suitable Vendors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Technical and Commercial Offers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Supplier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 Contract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Delivery and Supplier Performance Review</w:t>
      </w:r>
    </w:p>
    <w:p/>
    <w:p>
      <w:r>
        <w:t>The exact sequence depends on company policy. Some organizations maintain an approved vendor list and permit RFQs only to approved suppliers. Others allow new suppliers to be evaluated during a sourcing event.</w:t>
      </w:r>
    </w:p>
    <w:p>
      <w:pPr>
        <w:pStyle w:val="Heading2"/>
      </w:pPr>
      <w:r>
        <w:t>4. Types of vendors in industrial automation</w:t>
      </w:r>
    </w:p>
    <w:p>
      <w:r>
        <w:t>Understanding the supplier category helps determine what evidence and responsibilities should be checked.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Vendor type</w:t>
            </w:r>
          </w:p>
        </w:tc>
        <w:tc>
          <w:tcPr>
            <w:tcW w:type="dxa" w:w="3600"/>
            <w:shd w:val="clear" w:color="auto" w:fill="EEF2F7"/>
          </w:tcPr>
          <w:p>
            <w:pPr>
              <w:spacing w:after="0" w:before="0" w:line="240" w:lineRule="auto"/>
              <w:jc w:val="left"/>
            </w:pPr>
            <w:r>
              <w:rPr>
                <w:b/>
                <w:color w:val="1A2E4A"/>
              </w:rPr>
              <w:t>Typical role</w:t>
            </w:r>
          </w:p>
        </w:tc>
        <w:tc>
          <w:tcPr>
            <w:tcW w:type="dxa" w:w="3600"/>
            <w:shd w:val="clear" w:color="auto" w:fill="EEF2F7"/>
          </w:tcPr>
          <w:p>
            <w:pPr>
              <w:spacing w:after="0" w:before="0" w:line="240" w:lineRule="auto"/>
              <w:jc w:val="left"/>
            </w:pPr>
            <w:r>
              <w:rPr>
                <w:b/>
                <w:color w:val="1A2E4A"/>
              </w:rPr>
              <w:t>Main considerations</w:t>
            </w:r>
          </w:p>
        </w:tc>
      </w:tr>
      <w:tr>
        <w:tc>
          <w:tcPr>
            <w:tcW w:type="dxa" w:w="3600"/>
          </w:tcPr>
          <w:p>
            <w:pPr>
              <w:spacing w:after="0" w:before="0" w:line="240" w:lineRule="auto"/>
              <w:jc w:val="left"/>
            </w:pPr>
            <w:r>
              <w:t>OEM</w:t>
            </w:r>
          </w:p>
        </w:tc>
        <w:tc>
          <w:tcPr>
            <w:tcW w:type="dxa" w:w="3600"/>
          </w:tcPr>
          <w:p>
            <w:pPr>
              <w:spacing w:after="0" w:before="0" w:line="240" w:lineRule="auto"/>
              <w:jc w:val="left"/>
            </w:pPr>
            <w:r>
              <w:t>Manufactures the original equipment</w:t>
            </w:r>
          </w:p>
        </w:tc>
        <w:tc>
          <w:tcPr>
            <w:tcW w:type="dxa" w:w="3600"/>
          </w:tcPr>
          <w:p>
            <w:pPr>
              <w:spacing w:after="0" w:before="0" w:line="240" w:lineRule="auto"/>
              <w:jc w:val="left"/>
            </w:pPr>
            <w:r>
              <w:t>Product authenticity, specifications, warranty, lifecycle support</w:t>
            </w:r>
          </w:p>
        </w:tc>
      </w:tr>
      <w:tr>
        <w:tc>
          <w:tcPr>
            <w:tcW w:type="dxa" w:w="3600"/>
          </w:tcPr>
          <w:p>
            <w:pPr>
              <w:spacing w:after="0" w:before="0" w:line="240" w:lineRule="auto"/>
              <w:jc w:val="left"/>
            </w:pPr>
            <w:r>
              <w:t>Authorized distributor</w:t>
            </w:r>
          </w:p>
        </w:tc>
        <w:tc>
          <w:tcPr>
            <w:tcW w:type="dxa" w:w="3600"/>
          </w:tcPr>
          <w:p>
            <w:pPr>
              <w:spacing w:after="0" w:before="0" w:line="240" w:lineRule="auto"/>
              <w:jc w:val="left"/>
            </w:pPr>
            <w:r>
              <w:t>Sells products under an OEM's authorization</w:t>
            </w:r>
          </w:p>
        </w:tc>
        <w:tc>
          <w:tcPr>
            <w:tcW w:type="dxa" w:w="3600"/>
          </w:tcPr>
          <w:p>
            <w:pPr>
              <w:spacing w:after="0" w:before="0" w:line="240" w:lineRule="auto"/>
              <w:jc w:val="left"/>
            </w:pPr>
            <w:r>
              <w:t>Authorization validity, availability, traceability, support</w:t>
            </w:r>
          </w:p>
        </w:tc>
      </w:tr>
      <w:tr>
        <w:tc>
          <w:tcPr>
            <w:tcW w:type="dxa" w:w="3600"/>
          </w:tcPr>
          <w:p>
            <w:pPr>
              <w:spacing w:after="0" w:before="0" w:line="240" w:lineRule="auto"/>
              <w:jc w:val="left"/>
            </w:pPr>
            <w:r>
              <w:t>System integrator</w:t>
            </w:r>
          </w:p>
        </w:tc>
        <w:tc>
          <w:tcPr>
            <w:tcW w:type="dxa" w:w="3600"/>
          </w:tcPr>
          <w:p>
            <w:pPr>
              <w:spacing w:after="0" w:before="0" w:line="240" w:lineRule="auto"/>
              <w:jc w:val="left"/>
            </w:pPr>
            <w:r>
              <w:t>Designs and integrates automation systems</w:t>
            </w:r>
          </w:p>
        </w:tc>
        <w:tc>
          <w:tcPr>
            <w:tcW w:type="dxa" w:w="3600"/>
          </w:tcPr>
          <w:p>
            <w:pPr>
              <w:spacing w:after="0" w:before="0" w:line="240" w:lineRule="auto"/>
              <w:jc w:val="left"/>
            </w:pPr>
            <w:r>
              <w:t>Engineering capability, software expertise, integration experience</w:t>
            </w:r>
          </w:p>
        </w:tc>
      </w:tr>
      <w:tr>
        <w:tc>
          <w:tcPr>
            <w:tcW w:type="dxa" w:w="3600"/>
          </w:tcPr>
          <w:p>
            <w:pPr>
              <w:spacing w:after="0" w:before="0" w:line="240" w:lineRule="auto"/>
              <w:jc w:val="left"/>
            </w:pPr>
            <w:r>
              <w:t>Panel builder</w:t>
            </w:r>
          </w:p>
        </w:tc>
        <w:tc>
          <w:tcPr>
            <w:tcW w:type="dxa" w:w="3600"/>
          </w:tcPr>
          <w:p>
            <w:pPr>
              <w:spacing w:after="0" w:before="0" w:line="240" w:lineRule="auto"/>
              <w:jc w:val="left"/>
            </w:pPr>
            <w:r>
              <w:t>Manufactures electrical control panels</w:t>
            </w:r>
          </w:p>
        </w:tc>
        <w:tc>
          <w:tcPr>
            <w:tcW w:type="dxa" w:w="3600"/>
          </w:tcPr>
          <w:p>
            <w:pPr>
              <w:spacing w:after="0" w:before="0" w:line="240" w:lineRule="auto"/>
              <w:jc w:val="left"/>
            </w:pPr>
            <w:r>
              <w:t>Design capability, workmanship, testing, documentation</w:t>
            </w:r>
          </w:p>
        </w:tc>
      </w:tr>
      <w:tr>
        <w:tc>
          <w:tcPr>
            <w:tcW w:type="dxa" w:w="3600"/>
          </w:tcPr>
          <w:p>
            <w:pPr>
              <w:spacing w:after="0" w:before="0" w:line="240" w:lineRule="auto"/>
              <w:jc w:val="left"/>
            </w:pPr>
            <w:r>
              <w:t>Machine builder</w:t>
            </w:r>
          </w:p>
        </w:tc>
        <w:tc>
          <w:tcPr>
            <w:tcW w:type="dxa" w:w="3600"/>
          </w:tcPr>
          <w:p>
            <w:pPr>
              <w:spacing w:after="0" w:before="0" w:line="240" w:lineRule="auto"/>
              <w:jc w:val="left"/>
            </w:pPr>
            <w:r>
              <w:t>Supplies complete machines or production systems</w:t>
            </w:r>
          </w:p>
        </w:tc>
        <w:tc>
          <w:tcPr>
            <w:tcW w:type="dxa" w:w="3600"/>
          </w:tcPr>
          <w:p>
            <w:pPr>
              <w:spacing w:after="0" w:before="0" w:line="240" w:lineRule="auto"/>
              <w:jc w:val="left"/>
            </w:pPr>
            <w:r>
              <w:t>Performance, mechanical and automation integration, acceptance</w:t>
            </w:r>
          </w:p>
        </w:tc>
      </w:tr>
      <w:tr>
        <w:tc>
          <w:tcPr>
            <w:tcW w:type="dxa" w:w="3600"/>
          </w:tcPr>
          <w:p>
            <w:pPr>
              <w:spacing w:after="0" w:before="0" w:line="240" w:lineRule="auto"/>
              <w:jc w:val="left"/>
            </w:pPr>
            <w:r>
              <w:t>Service provider</w:t>
            </w:r>
          </w:p>
        </w:tc>
        <w:tc>
          <w:tcPr>
            <w:tcW w:type="dxa" w:w="3600"/>
          </w:tcPr>
          <w:p>
            <w:pPr>
              <w:spacing w:after="0" w:before="0" w:line="240" w:lineRule="auto"/>
              <w:jc w:val="left"/>
            </w:pPr>
            <w:r>
              <w:t>Performs maintenance, repair, or commissioning</w:t>
            </w:r>
          </w:p>
        </w:tc>
        <w:tc>
          <w:tcPr>
            <w:tcW w:type="dxa" w:w="3600"/>
          </w:tcPr>
          <w:p>
            <w:pPr>
              <w:spacing w:after="0" w:before="0" w:line="240" w:lineRule="auto"/>
              <w:jc w:val="left"/>
            </w:pPr>
            <w:r>
              <w:t>Competence, response time, site coverage, safety practices</w:t>
            </w:r>
          </w:p>
        </w:tc>
      </w:tr>
      <w:tr>
        <w:tc>
          <w:tcPr>
            <w:tcW w:type="dxa" w:w="3600"/>
          </w:tcPr>
          <w:p>
            <w:pPr>
              <w:spacing w:after="0" w:before="0" w:line="240" w:lineRule="auto"/>
              <w:jc w:val="left"/>
            </w:pPr>
            <w:r>
              <w:t>Independent trader</w:t>
            </w:r>
          </w:p>
        </w:tc>
        <w:tc>
          <w:tcPr>
            <w:tcW w:type="dxa" w:w="3600"/>
          </w:tcPr>
          <w:p>
            <w:pPr>
              <w:spacing w:after="0" w:before="0" w:line="240" w:lineRule="auto"/>
              <w:jc w:val="left"/>
            </w:pPr>
            <w:r>
              <w:t>Resells equipment, potentially from multiple sources</w:t>
            </w:r>
          </w:p>
        </w:tc>
        <w:tc>
          <w:tcPr>
            <w:tcW w:type="dxa" w:w="3600"/>
          </w:tcPr>
          <w:p>
            <w:pPr>
              <w:spacing w:after="0" w:before="0" w:line="240" w:lineRule="auto"/>
              <w:jc w:val="left"/>
            </w:pPr>
            <w:r>
              <w:t>Authenticity, traceability, warranty route, supply-chain risk</w:t>
            </w:r>
          </w:p>
        </w:tc>
      </w:tr>
      <w:tr>
        <w:tc>
          <w:tcPr>
            <w:tcW w:type="dxa" w:w="3600"/>
          </w:tcPr>
          <w:p>
            <w:pPr>
              <w:spacing w:after="0" w:before="0" w:line="240" w:lineRule="auto"/>
              <w:jc w:val="left"/>
            </w:pPr>
            <w:r>
              <w:t>Repair specialist</w:t>
            </w:r>
          </w:p>
        </w:tc>
        <w:tc>
          <w:tcPr>
            <w:tcW w:type="dxa" w:w="3600"/>
          </w:tcPr>
          <w:p>
            <w:pPr>
              <w:spacing w:after="0" w:before="0" w:line="240" w:lineRule="auto"/>
              <w:jc w:val="left"/>
            </w:pPr>
            <w:r>
              <w:t>Repairs electronic, drive, CNC, or automation equipment</w:t>
            </w:r>
          </w:p>
        </w:tc>
        <w:tc>
          <w:tcPr>
            <w:tcW w:type="dxa" w:w="3600"/>
          </w:tcPr>
          <w:p>
            <w:pPr>
              <w:spacing w:after="0" w:before="0" w:line="240" w:lineRule="auto"/>
              <w:jc w:val="left"/>
            </w:pPr>
            <w:r>
              <w:t>Diagnostic capability, repair quality, test methods, warranty</w:t>
            </w:r>
          </w:p>
        </w:tc>
      </w:tr>
      <w:tr>
        <w:tc>
          <w:tcPr>
            <w:tcW w:type="dxa" w:w="3600"/>
          </w:tcPr>
          <w:p>
            <w:pPr>
              <w:spacing w:after="0" w:before="0" w:line="240" w:lineRule="auto"/>
              <w:jc w:val="left"/>
            </w:pPr>
            <w:r>
              <w:t>Engineering consultant</w:t>
            </w:r>
          </w:p>
        </w:tc>
        <w:tc>
          <w:tcPr>
            <w:tcW w:type="dxa" w:w="3600"/>
          </w:tcPr>
          <w:p>
            <w:pPr>
              <w:spacing w:after="0" w:before="0" w:line="240" w:lineRule="auto"/>
              <w:jc w:val="left"/>
            </w:pPr>
            <w:r>
              <w:t>Provides specifications, design reviews, or technical services</w:t>
            </w:r>
          </w:p>
        </w:tc>
        <w:tc>
          <w:tcPr>
            <w:tcW w:type="dxa" w:w="3600"/>
          </w:tcPr>
          <w:p>
            <w:pPr>
              <w:spacing w:after="0" w:before="0" w:line="240" w:lineRule="auto"/>
              <w:jc w:val="left"/>
            </w:pPr>
            <w:r>
              <w:t>Independence, qualifications, deliverables, accountability</w:t>
            </w:r>
          </w:p>
        </w:tc>
      </w:tr>
    </w:tbl>
    <w:p/>
    <w:p>
      <w:r>
        <w:t>A single company may occupy several categories. Evaluate its actual role for the specific purchase rather than assuming that every supplier offers the same capabilities.</w:t>
      </w:r>
    </w:p>
    <w:p>
      <w:pPr>
        <w:pStyle w:val="Heading2"/>
      </w:pPr>
      <w:r>
        <w:t>5. Sources for identifying vendors</w:t>
      </w:r>
    </w:p>
    <w:p>
      <w:pPr>
        <w:pStyle w:val="Heading3"/>
      </w:pPr>
      <w:r>
        <w:t>5.1 Existing plant records</w:t>
      </w:r>
    </w:p>
    <w:p>
      <w:r>
        <w:t>Existing records are often the most useful starting point because they contain evidence of real equipment usage.</w:t>
      </w:r>
    </w:p>
    <w:p>
      <w:r>
        <w:t>Review:</w:t>
      </w:r>
    </w:p>
    <w:p>
      <w:pPr>
        <w:pStyle w:val="ListBullet"/>
      </w:pPr>
      <w:r>
        <w:t>SAP vendor master data.</w:t>
      </w:r>
    </w:p>
    <w:p>
      <w:pPr>
        <w:pStyle w:val="ListBullet"/>
      </w:pPr>
      <w:r>
        <w:t>Previous purchase orders.</w:t>
      </w:r>
    </w:p>
    <w:p>
      <w:pPr>
        <w:pStyle w:val="ListBullet"/>
      </w:pPr>
      <w:r>
        <w:t>Historical quotations.</w:t>
      </w:r>
    </w:p>
    <w:p>
      <w:pPr>
        <w:pStyle w:val="ListBullet"/>
      </w:pPr>
      <w:r>
        <w:t>Equipment nameplates.</w:t>
      </w:r>
    </w:p>
    <w:p>
      <w:pPr>
        <w:pStyle w:val="ListBullet"/>
      </w:pPr>
      <w:r>
        <w:t>Installed machine BOMs.</w:t>
      </w:r>
    </w:p>
    <w:p>
      <w:pPr>
        <w:pStyle w:val="ListBullet"/>
      </w:pPr>
      <w:r>
        <w:t>Maintenance records.</w:t>
      </w:r>
    </w:p>
    <w:p>
      <w:pPr>
        <w:pStyle w:val="ListBullet"/>
      </w:pPr>
      <w:r>
        <w:t>Repair and calibration history.</w:t>
      </w:r>
    </w:p>
    <w:p>
      <w:pPr>
        <w:pStyle w:val="ListBullet"/>
      </w:pPr>
      <w:r>
        <w:t>Warranty records.</w:t>
      </w:r>
    </w:p>
    <w:p>
      <w:pPr>
        <w:pStyle w:val="ListBullet"/>
      </w:pPr>
      <w:r>
        <w:t>Supplier performance reports.</w:t>
      </w:r>
    </w:p>
    <w:p>
      <w:pPr>
        <w:pStyle w:val="ListBullet"/>
      </w:pPr>
      <w:r>
        <w:t>Existing approved vendor lists.</w:t>
      </w:r>
    </w:p>
    <w:p>
      <w:r>
        <w:t>For example, if a machine uses a particular PLC family, an existing purchase order may reveal the authorized supplier, while maintenance records may reveal recurring delivery or quality problems.</w:t>
      </w:r>
    </w:p>
    <w:p>
      <w:r>
        <w:t>Historical usage does not automatically establish current suitability. Authorization, product availability, commercial terms, and supplier performance can change.</w:t>
      </w:r>
    </w:p>
    <w:p>
      <w:pPr>
        <w:pStyle w:val="Heading3"/>
      </w:pPr>
      <w:r>
        <w:t>5.2 OEM websites and official channels</w:t>
      </w:r>
    </w:p>
    <w:p>
      <w:r>
        <w:t>Use manufacturer websites to identify:</w:t>
      </w:r>
    </w:p>
    <w:p>
      <w:pPr>
        <w:pStyle w:val="ListBullet"/>
      </w:pPr>
      <w:r>
        <w:t>Authorized distributors.</w:t>
      </w:r>
    </w:p>
    <w:p>
      <w:pPr>
        <w:pStyle w:val="ListBullet"/>
      </w:pPr>
      <w:r>
        <w:t>Regional sales offices.</w:t>
      </w:r>
    </w:p>
    <w:p>
      <w:pPr>
        <w:pStyle w:val="ListBullet"/>
      </w:pPr>
      <w:r>
        <w:t>Service centers.</w:t>
      </w:r>
    </w:p>
    <w:p>
      <w:pPr>
        <w:pStyle w:val="ListBullet"/>
      </w:pPr>
      <w:r>
        <w:t>Product ranges.</w:t>
      </w:r>
    </w:p>
    <w:p>
      <w:pPr>
        <w:pStyle w:val="ListBullet"/>
      </w:pPr>
      <w:r>
        <w:t>Technical support channels.</w:t>
      </w:r>
    </w:p>
    <w:p>
      <w:pPr>
        <w:pStyle w:val="ListBullet"/>
      </w:pPr>
      <w:r>
        <w:t>Product lifecycle and discontinuation notices.</w:t>
      </w:r>
    </w:p>
    <w:p>
      <w:pPr>
        <w:pStyle w:val="ListBullet"/>
      </w:pPr>
      <w:r>
        <w:t>Published certificates and technical documentation.</w:t>
      </w:r>
    </w:p>
    <w:p>
      <w:r>
        <w:t>For proprietary or safety-related components, confirming the authorized supply route can be especially important.</w:t>
      </w:r>
    </w:p>
    <w:p>
      <w:pPr>
        <w:pStyle w:val="Heading3"/>
      </w:pPr>
      <w:r>
        <w:t>5.3 Industry exhibitions and technical events</w:t>
      </w:r>
    </w:p>
    <w:p>
      <w:r>
        <w:t>Industrial exhibitions, automation conferences, and technical demonstrations can help identify:</w:t>
      </w:r>
    </w:p>
    <w:p>
      <w:pPr>
        <w:pStyle w:val="ListBullet"/>
      </w:pPr>
      <w:r>
        <w:t>Emerging technologies.</w:t>
      </w:r>
    </w:p>
    <w:p>
      <w:pPr>
        <w:pStyle w:val="ListBullet"/>
      </w:pPr>
      <w:r>
        <w:t>Specialized manufacturers.</w:t>
      </w:r>
    </w:p>
    <w:p>
      <w:pPr>
        <w:pStyle w:val="ListBullet"/>
      </w:pPr>
      <w:r>
        <w:t>Local system integrators.</w:t>
      </w:r>
    </w:p>
    <w:p>
      <w:pPr>
        <w:pStyle w:val="ListBullet"/>
      </w:pPr>
      <w:r>
        <w:t>Retrofit and repair specialists.</w:t>
      </w:r>
    </w:p>
    <w:p>
      <w:pPr>
        <w:pStyle w:val="ListBullet"/>
      </w:pPr>
      <w:r>
        <w:t>Alternative products.</w:t>
      </w:r>
    </w:p>
    <w:p>
      <w:pPr>
        <w:pStyle w:val="ListBullet"/>
      </w:pPr>
      <w:r>
        <w:t>Vendors serving a particular industry.</w:t>
      </w:r>
    </w:p>
    <w:p>
      <w:r>
        <w:t>An exhibition conversation is a lead, not a completed qualification.</w:t>
      </w:r>
    </w:p>
    <w:p>
      <w:pPr>
        <w:pStyle w:val="Heading3"/>
      </w:pPr>
      <w:r>
        <w:t>5.4 Referrals and industry references</w:t>
      </w:r>
    </w:p>
    <w:p>
      <w:r>
        <w:t>Useful sources include machine builders, maintenance engineers, plant engineering teams, consultants, and other industrial users.</w:t>
      </w:r>
    </w:p>
    <w:p>
      <w:r>
        <w:t>References should be verified, especially for high-value or critical purchases. A supplier's reputation in a small control-panel project does not automatically prove its capability to deliver a complete automated production line.</w:t>
      </w:r>
    </w:p>
    <w:p>
      <w:pPr>
        <w:pStyle w:val="Heading3"/>
      </w:pPr>
      <w:r>
        <w:t>5.5 Online supplier directories and marketplaces</w:t>
      </w:r>
    </w:p>
    <w:p>
      <w:r>
        <w:t>Directories and marketplaces can reveal potential vendors, but the information requires verification.</w:t>
      </w:r>
    </w:p>
    <w:p>
      <w:r>
        <w:t>Check:</w:t>
      </w:r>
    </w:p>
    <w:p>
      <w:pPr>
        <w:pStyle w:val="ListBullet"/>
      </w:pPr>
      <w:r>
        <w:t>Legal company identity.</w:t>
      </w:r>
    </w:p>
    <w:p>
      <w:pPr>
        <w:pStyle w:val="ListBullet"/>
      </w:pPr>
      <w:r>
        <w:t>Manufacturer authorization.</w:t>
      </w:r>
    </w:p>
    <w:p>
      <w:pPr>
        <w:pStyle w:val="ListBullet"/>
      </w:pPr>
      <w:r>
        <w:t>Actual manufacturing or service capability.</w:t>
      </w:r>
    </w:p>
    <w:p>
      <w:pPr>
        <w:pStyle w:val="ListBullet"/>
      </w:pPr>
      <w:r>
        <w:t>Product authenticity.</w:t>
      </w:r>
    </w:p>
    <w:p>
      <w:pPr>
        <w:pStyle w:val="ListBullet"/>
      </w:pPr>
      <w:r>
        <w:t>Physical service coverage.</w:t>
      </w:r>
    </w:p>
    <w:p>
      <w:pPr>
        <w:pStyle w:val="ListBullet"/>
      </w:pPr>
      <w:r>
        <w:t>Relevant technical references.</w:t>
      </w:r>
    </w:p>
    <w:p>
      <w:pPr>
        <w:pStyle w:val="ListBullet"/>
      </w:pPr>
      <w:r>
        <w:t>Warranty and returns arrangements.</w:t>
      </w:r>
    </w:p>
    <w:p>
      <w:r>
        <w:t>A polished website is not a substitute for evidence. The internet has made it remarkably easy to look established.</w:t>
      </w:r>
    </w:p>
    <w:p>
      <w:pPr>
        <w:pStyle w:val="Heading2"/>
      </w:pPr>
      <w:r>
        <w:t>6. Define the vendor search requirement first</w:t>
      </w:r>
    </w:p>
    <w:p>
      <w:r>
        <w:t>Before searching for suppliers, define what kind of capability is required.</w:t>
      </w:r>
    </w:p>
    <w:p>
      <w:r>
        <w:t>For example, "find a PLC vendor" is too broad. The actual requirement might be:</w:t>
      </w:r>
    </w:p>
    <w:p>
      <w:pPr>
        <w:pStyle w:val="ListBullet"/>
      </w:pPr>
      <w:r>
        <w:t>Supply a specific PLC family compatible with an existing machine.</w:t>
      </w:r>
    </w:p>
    <w:p>
      <w:pPr>
        <w:pStyle w:val="ListBullet"/>
      </w:pPr>
      <w:r>
        <w:t>Replace an obsolete PLC while retaining field wiring where feasible.</w:t>
      </w:r>
    </w:p>
    <w:p>
      <w:pPr>
        <w:pStyle w:val="ListBullet"/>
      </w:pPr>
      <w:r>
        <w:t>Develop a new PLC/HMI program.</w:t>
      </w:r>
    </w:p>
    <w:p>
      <w:pPr>
        <w:pStyle w:val="ListBullet"/>
      </w:pPr>
      <w:r>
        <w:t>Repair an existing controller.</w:t>
      </w:r>
    </w:p>
    <w:p>
      <w:pPr>
        <w:pStyle w:val="ListBullet"/>
      </w:pPr>
      <w:r>
        <w:t>Provide on-site commissioning support.</w:t>
      </w:r>
    </w:p>
    <w:p>
      <w:pPr>
        <w:pStyle w:val="ListBullet"/>
      </w:pPr>
      <w:r>
        <w:t>Integrate PLC, robot, CNC, and plant network interfaces.</w:t>
      </w:r>
    </w:p>
    <w:p>
      <w:r>
        <w:t>These are different procurement needs and may require different vendors.</w:t>
      </w:r>
    </w:p>
    <w:p>
      <w:r>
        <w:t>A vendor-search specification should establish:</w:t>
      </w:r>
    </w:p>
    <w:p>
      <w:pPr>
        <w:pStyle w:val="ListBullet"/>
      </w:pPr>
      <w:r>
        <w:t>Product or service category.</w:t>
      </w:r>
    </w:p>
    <w:p>
      <w:pPr>
        <w:pStyle w:val="ListBullet"/>
      </w:pPr>
      <w:r>
        <w:t>Required make or compatibility constraints.</w:t>
      </w:r>
    </w:p>
    <w:p>
      <w:pPr>
        <w:pStyle w:val="ListBullet"/>
      </w:pPr>
      <w:r>
        <w:t>Technical capabilities.</w:t>
      </w:r>
    </w:p>
    <w:p>
      <w:pPr>
        <w:pStyle w:val="ListBullet"/>
      </w:pPr>
      <w:r>
        <w:t>Application and industry experience.</w:t>
      </w:r>
    </w:p>
    <w:p>
      <w:pPr>
        <w:pStyle w:val="ListBullet"/>
      </w:pPr>
      <w:r>
        <w:t>Required location or service coverage.</w:t>
      </w:r>
    </w:p>
    <w:p>
      <w:pPr>
        <w:pStyle w:val="ListBullet"/>
      </w:pPr>
      <w:r>
        <w:t>Delivery expectations.</w:t>
      </w:r>
    </w:p>
    <w:p>
      <w:pPr>
        <w:pStyle w:val="ListBullet"/>
      </w:pPr>
      <w:r>
        <w:t>Support and warranty needs.</w:t>
      </w:r>
    </w:p>
    <w:p>
      <w:pPr>
        <w:pStyle w:val="ListBullet"/>
      </w:pPr>
      <w:r>
        <w:t>Qualification and compliance requirements.</w:t>
      </w:r>
    </w:p>
    <w:p>
      <w:pPr>
        <w:pStyle w:val="ListBullet"/>
      </w:pPr>
      <w:r>
        <w:t>Estimated quantity or project scale.</w:t>
      </w:r>
    </w:p>
    <w:p>
      <w:pPr>
        <w:pStyle w:val="Heading2"/>
      </w:pPr>
      <w:r>
        <w:t>7. Initial vendor screening</w:t>
      </w:r>
    </w:p>
    <w:p>
      <w:r>
        <w:t>Initial screening determines whether a potential supplier is worth evaluating further.</w:t>
      </w:r>
    </w:p>
    <w:p>
      <w:r>
        <w:t>Typical checks include:</w:t>
      </w:r>
    </w:p>
    <w:p>
      <w:pPr>
        <w:pStyle w:val="ListBullet"/>
      </w:pPr>
      <w:r>
        <w:t>Does the vendor supply the required product or service?</w:t>
      </w:r>
    </w:p>
    <w:p>
      <w:pPr>
        <w:pStyle w:val="ListBullet"/>
      </w:pPr>
      <w:r>
        <w:t>Is the vendor an OEM, authorized distributor, integrator, or reseller?</w:t>
      </w:r>
    </w:p>
    <w:p>
      <w:pPr>
        <w:pStyle w:val="ListBullet"/>
      </w:pPr>
      <w:r>
        <w:t>Can the vendor meet the technical requirements?</w:t>
      </w:r>
    </w:p>
    <w:p>
      <w:pPr>
        <w:pStyle w:val="ListBullet"/>
      </w:pPr>
      <w:r>
        <w:t>Does the vendor have relevant industrial experience?</w:t>
      </w:r>
    </w:p>
    <w:p>
      <w:pPr>
        <w:pStyle w:val="ListBullet"/>
      </w:pPr>
      <w:r>
        <w:t>Can it deliver within the required period?</w:t>
      </w:r>
    </w:p>
    <w:p>
      <w:pPr>
        <w:pStyle w:val="ListBullet"/>
      </w:pPr>
      <w:r>
        <w:t>Is technical support available when needed?</w:t>
      </w:r>
    </w:p>
    <w:p>
      <w:pPr>
        <w:pStyle w:val="ListBullet"/>
      </w:pPr>
      <w:r>
        <w:t>Can the vendor provide the required documentation?</w:t>
      </w:r>
    </w:p>
    <w:p>
      <w:pPr>
        <w:pStyle w:val="ListBullet"/>
      </w:pPr>
      <w:r>
        <w:t>Are there obvious legal, quality, or supply-chain concerns?</w:t>
      </w:r>
    </w:p>
    <w:p>
      <w:pPr>
        <w:pStyle w:val="ListBullet"/>
      </w:pPr>
      <w:r>
        <w:t>Does the vendor meet mandatory procurement-policy requirements?</w:t>
      </w:r>
    </w:p>
    <w:p>
      <w:r>
        <w:t>Separate mandatory requirements from preferred capabilities. A vendor that fails a mandatory safety or compatibility requirement should not pass simply because it scores well on price or delivery.</w:t>
      </w:r>
    </w:p>
    <w:p>
      <w:pPr>
        <w:pStyle w:val="Heading2"/>
      </w:pPr>
      <w:r>
        <w:t>8. Vendor qualification</w:t>
      </w:r>
    </w:p>
    <w:p>
      <w:r>
        <w:t>Vendor qualification is a more formal assessment of whether a supplier is eligible and capable of doing business with the organization.</w:t>
      </w:r>
    </w:p>
    <w:p>
      <w:r>
        <w:t>The required depth should be proportionate to purchase value, risk, criticality, and company policy.</w:t>
      </w:r>
    </w:p>
    <w:p>
      <w:pPr>
        <w:pStyle w:val="Heading3"/>
      </w:pPr>
      <w:r>
        <w:t>8.1 Commercial and legal qualification</w:t>
      </w:r>
    </w:p>
    <w:p>
      <w:r>
        <w:t>Depending on the organization's procedures, checks may include:</w:t>
      </w:r>
    </w:p>
    <w:p>
      <w:pPr>
        <w:pStyle w:val="ListBullet"/>
      </w:pPr>
      <w:r>
        <w:t>Registered legal entity and business identity.</w:t>
      </w:r>
    </w:p>
    <w:p>
      <w:pPr>
        <w:pStyle w:val="ListBullet"/>
      </w:pPr>
      <w:r>
        <w:t>Tax registration and applicable statutory documents.</w:t>
      </w:r>
    </w:p>
    <w:p>
      <w:pPr>
        <w:pStyle w:val="ListBullet"/>
      </w:pPr>
      <w:r>
        <w:t>Banking and payment details through approved verification procedures.</w:t>
      </w:r>
    </w:p>
    <w:p>
      <w:pPr>
        <w:pStyle w:val="ListBullet"/>
      </w:pPr>
      <w:r>
        <w:t>Relevant business licenses.</w:t>
      </w:r>
    </w:p>
    <w:p>
      <w:pPr>
        <w:pStyle w:val="ListBullet"/>
      </w:pPr>
      <w:r>
        <w:t>Financial stability where proportionate to the risk.</w:t>
      </w:r>
    </w:p>
    <w:p>
      <w:pPr>
        <w:pStyle w:val="ListBullet"/>
      </w:pPr>
      <w:r>
        <w:t>Conflict-of-interest declarations.</w:t>
      </w:r>
    </w:p>
    <w:p>
      <w:pPr>
        <w:pStyle w:val="ListBullet"/>
      </w:pPr>
      <w:r>
        <w:t>Sanctions or other legally required screening.</w:t>
      </w:r>
    </w:p>
    <w:p>
      <w:pPr>
        <w:pStyle w:val="ListBullet"/>
      </w:pPr>
      <w:r>
        <w:t>Acceptance of relevant procurement terms.</w:t>
      </w:r>
    </w:p>
    <w:p>
      <w:pPr>
        <w:pStyle w:val="ListBullet"/>
      </w:pPr>
      <w:r>
        <w:t>Required confidentiality agreements.</w:t>
      </w:r>
    </w:p>
    <w:p>
      <w:r>
        <w:t>Sensitive banking changes should be independently verified using an established, trusted contact route. A fraudulent email requesting a bank-account change is a classic supply-chain attack.</w:t>
      </w:r>
    </w:p>
    <w:p>
      <w:pPr>
        <w:pStyle w:val="Heading3"/>
      </w:pPr>
      <w:r>
        <w:t>8.2 Technical qualification</w:t>
      </w:r>
    </w:p>
    <w:p>
      <w:r>
        <w:t>Evaluate:</w:t>
      </w:r>
    </w:p>
    <w:p>
      <w:pPr>
        <w:pStyle w:val="ListBullet"/>
      </w:pPr>
      <w:r>
        <w:t>Product specifications and compatibility.</w:t>
      </w:r>
    </w:p>
    <w:p>
      <w:pPr>
        <w:pStyle w:val="ListBullet"/>
      </w:pPr>
      <w:r>
        <w:t>Engineering resources.</w:t>
      </w:r>
    </w:p>
    <w:p>
      <w:pPr>
        <w:pStyle w:val="ListBullet"/>
      </w:pPr>
      <w:r>
        <w:t>Technical certifications where relevant.</w:t>
      </w:r>
    </w:p>
    <w:p>
      <w:pPr>
        <w:pStyle w:val="ListBullet"/>
      </w:pPr>
      <w:r>
        <w:t>Software and configuration capabilities.</w:t>
      </w:r>
    </w:p>
    <w:p>
      <w:pPr>
        <w:pStyle w:val="ListBullet"/>
      </w:pPr>
      <w:r>
        <w:t>Test equipment and facilities.</w:t>
      </w:r>
    </w:p>
    <w:p>
      <w:pPr>
        <w:pStyle w:val="ListBullet"/>
      </w:pPr>
      <w:r>
        <w:t>Ability to provide source files and documentation.</w:t>
      </w:r>
    </w:p>
    <w:p>
      <w:pPr>
        <w:pStyle w:val="ListBullet"/>
      </w:pPr>
      <w:r>
        <w:t>Installation and commissioning capability.</w:t>
      </w:r>
    </w:p>
    <w:p>
      <w:pPr>
        <w:pStyle w:val="ListBullet"/>
      </w:pPr>
      <w:r>
        <w:t>Ability to troubleshoot complex failures.</w:t>
      </w:r>
    </w:p>
    <w:p>
      <w:pPr>
        <w:pStyle w:val="ListBullet"/>
      </w:pPr>
      <w:r>
        <w:t>Experience with similar systems.</w:t>
      </w:r>
    </w:p>
    <w:p>
      <w:pPr>
        <w:pStyle w:val="ListBullet"/>
      </w:pPr>
      <w:r>
        <w:t>Capacity to support future changes.</w:t>
      </w:r>
    </w:p>
    <w:p>
      <w:pPr>
        <w:pStyle w:val="Heading3"/>
      </w:pPr>
      <w:r>
        <w:t>8.3 Quality qualification</w:t>
      </w:r>
    </w:p>
    <w:p>
      <w:r>
        <w:t>Potential evidence includes:</w:t>
      </w:r>
    </w:p>
    <w:p>
      <w:pPr>
        <w:pStyle w:val="ListBullet"/>
      </w:pPr>
      <w:r>
        <w:t>Quality-management procedures.</w:t>
      </w:r>
    </w:p>
    <w:p>
      <w:pPr>
        <w:pStyle w:val="ListBullet"/>
      </w:pPr>
      <w:r>
        <w:t>Applicable certifications.</w:t>
      </w:r>
    </w:p>
    <w:p>
      <w:pPr>
        <w:pStyle w:val="ListBullet"/>
      </w:pPr>
      <w:r>
        <w:t>Inspection and test plans.</w:t>
      </w:r>
    </w:p>
    <w:p>
      <w:pPr>
        <w:pStyle w:val="ListBullet"/>
      </w:pPr>
      <w:r>
        <w:t>Calibration control.</w:t>
      </w:r>
    </w:p>
    <w:p>
      <w:pPr>
        <w:pStyle w:val="ListBullet"/>
      </w:pPr>
      <w:r>
        <w:t>Traceability practices.</w:t>
      </w:r>
    </w:p>
    <w:p>
      <w:pPr>
        <w:pStyle w:val="ListBullet"/>
      </w:pPr>
      <w:r>
        <w:t>Nonconformance handling.</w:t>
      </w:r>
    </w:p>
    <w:p>
      <w:pPr>
        <w:pStyle w:val="ListBullet"/>
      </w:pPr>
      <w:r>
        <w:t>Corrective-action process.</w:t>
      </w:r>
    </w:p>
    <w:p>
      <w:pPr>
        <w:pStyle w:val="ListBullet"/>
      </w:pPr>
      <w:r>
        <w:t>Warranty and failure records.</w:t>
      </w:r>
    </w:p>
    <w:p>
      <w:pPr>
        <w:pStyle w:val="ListBullet"/>
      </w:pPr>
      <w:r>
        <w:t>Factory audit findings where required.</w:t>
      </w:r>
    </w:p>
    <w:p>
      <w:r>
        <w:t>A quality certificate is evidence of a defined management system or certification scope. It is not proof that every product or service supplied will be defect-free.</w:t>
      </w:r>
    </w:p>
    <w:p>
      <w:pPr>
        <w:pStyle w:val="Heading3"/>
      </w:pPr>
      <w:r>
        <w:t>8.4 Safety and environmental qualification</w:t>
      </w:r>
    </w:p>
    <w:p>
      <w:r>
        <w:t>Where applicable, evaluate:</w:t>
      </w:r>
    </w:p>
    <w:p>
      <w:pPr>
        <w:pStyle w:val="ListBullet"/>
      </w:pPr>
      <w:r>
        <w:t>Personnel safety training.</w:t>
      </w:r>
    </w:p>
    <w:p>
      <w:pPr>
        <w:pStyle w:val="ListBullet"/>
      </w:pPr>
      <w:r>
        <w:t>Electrical and machinery safety competence.</w:t>
      </w:r>
    </w:p>
    <w:p>
      <w:pPr>
        <w:pStyle w:val="ListBullet"/>
      </w:pPr>
      <w:r>
        <w:t>Site work authorization procedures.</w:t>
      </w:r>
    </w:p>
    <w:p>
      <w:pPr>
        <w:pStyle w:val="ListBullet"/>
      </w:pPr>
      <w:r>
        <w:t>Risk assessment and method statements.</w:t>
      </w:r>
    </w:p>
    <w:p>
      <w:pPr>
        <w:pStyle w:val="ListBullet"/>
      </w:pPr>
      <w:r>
        <w:t>Environmental permits or controls.</w:t>
      </w:r>
    </w:p>
    <w:p>
      <w:pPr>
        <w:pStyle w:val="ListBullet"/>
      </w:pPr>
      <w:r>
        <w:t>Handling and disposal of relevant materials.</w:t>
      </w:r>
    </w:p>
    <w:p>
      <w:pPr>
        <w:pStyle w:val="ListBullet"/>
      </w:pPr>
      <w:r>
        <w:t>Required product conformity documentation.</w:t>
      </w:r>
    </w:p>
    <w:p>
      <w:r>
        <w:t>For work on machine safety systems, verify that the vendor has appropriate expertise in the relevant safety standards, design, and validation activities.</w:t>
      </w:r>
    </w:p>
    <w:p>
      <w:pPr>
        <w:pStyle w:val="Heading2"/>
      </w:pPr>
      <w:r>
        <w:t>9. OEM authorization and product authenticity</w:t>
      </w:r>
    </w:p>
    <w:p>
      <w:r>
        <w:t>Authorization should be checked when it materially affects warranty, traceability, technical support, software access, or procurement compliance.</w:t>
      </w:r>
    </w:p>
    <w:p>
      <w:r>
        <w:t>Useful evidence may include:</w:t>
      </w:r>
    </w:p>
    <w:p>
      <w:pPr>
        <w:pStyle w:val="ListBullet"/>
      </w:pPr>
      <w:r>
        <w:t>A current authorization certificate or letter.</w:t>
      </w:r>
    </w:p>
    <w:p>
      <w:pPr>
        <w:pStyle w:val="ListBullet"/>
      </w:pPr>
      <w:r>
        <w:t>Confirmation from the manufacturer's official channel.</w:t>
      </w:r>
    </w:p>
    <w:p>
      <w:pPr>
        <w:pStyle w:val="ListBullet"/>
      </w:pPr>
      <w:r>
        <w:t>A valid distributor listing.</w:t>
      </w:r>
    </w:p>
    <w:p>
      <w:pPr>
        <w:pStyle w:val="ListBullet"/>
      </w:pPr>
      <w:r>
        <w:t>Product serial-number verification where supported.</w:t>
      </w:r>
    </w:p>
    <w:p>
      <w:pPr>
        <w:pStyle w:val="ListBullet"/>
      </w:pPr>
      <w:r>
        <w:t>Original packaging and traceable documentation.</w:t>
      </w:r>
    </w:p>
    <w:p>
      <w:pPr>
        <w:pStyle w:val="ListBullet"/>
      </w:pPr>
      <w:r>
        <w:t>Warranty confirmation from the responsible party.</w:t>
      </w:r>
    </w:p>
    <w:p>
      <w:r>
        <w:t>A reseller may legitimately sell products without being an authorized distributor, depending on the product and purchasing rules. The key is to understand the associated risks and ensure that the supply route meets organizational requirements.</w:t>
      </w:r>
    </w:p>
    <w:p>
      <w:r>
        <w:t>For safety-related, licensed, or proprietary products, unauthorized sourcing may create additional compatibility, traceability, support, or legal issues.</w:t>
      </w:r>
    </w:p>
    <w:p>
      <w:pPr>
        <w:pStyle w:val="Heading2"/>
      </w:pPr>
      <w:r>
        <w:t>10. Technical compatibility with the installed base</w:t>
      </w:r>
    </w:p>
    <w:p>
      <w:r>
        <w:t>For industrial automation, technical compatibility can be more important than a generic vendor score.</w:t>
      </w:r>
    </w:p>
    <w:p>
      <w:r>
        <w:t>Evaluate whether the vendor's product or service is compatible with:</w:t>
      </w:r>
    </w:p>
    <w:p>
      <w:pPr>
        <w:pStyle w:val="ListBullet"/>
      </w:pPr>
      <w:r>
        <w:t>Existing PLC and I/O families.</w:t>
      </w:r>
    </w:p>
    <w:p>
      <w:pPr>
        <w:pStyle w:val="ListBullet"/>
      </w:pPr>
      <w:r>
        <w:t>Programming software and firmware versions.</w:t>
      </w:r>
    </w:p>
    <w:p>
      <w:pPr>
        <w:pStyle w:val="ListBullet"/>
      </w:pPr>
      <w:r>
        <w:t>Industrial communication protocols.</w:t>
      </w:r>
    </w:p>
    <w:p>
      <w:pPr>
        <w:pStyle w:val="ListBullet"/>
      </w:pPr>
      <w:r>
        <w:t>HMI, CNC, and robot interfaces.</w:t>
      </w:r>
    </w:p>
    <w:p>
      <w:pPr>
        <w:pStyle w:val="ListBullet"/>
      </w:pPr>
      <w:r>
        <w:t>Existing electrical supply and panel arrangements.</w:t>
      </w:r>
    </w:p>
    <w:p>
      <w:pPr>
        <w:pStyle w:val="ListBullet"/>
      </w:pPr>
      <w:r>
        <w:t>Machine mechanical interfaces.</w:t>
      </w:r>
    </w:p>
    <w:p>
      <w:pPr>
        <w:pStyle w:val="ListBullet"/>
      </w:pPr>
      <w:r>
        <w:t>Safety architecture.</w:t>
      </w:r>
    </w:p>
    <w:p>
      <w:pPr>
        <w:pStyle w:val="ListBullet"/>
      </w:pPr>
      <w:r>
        <w:t>Plant network and cybersecurity rules.</w:t>
      </w:r>
    </w:p>
    <w:p>
      <w:pPr>
        <w:pStyle w:val="ListBullet"/>
      </w:pPr>
      <w:r>
        <w:t>Existing spare parts and maintenance practices.</w:t>
      </w:r>
    </w:p>
    <w:p>
      <w:pPr>
        <w:pStyle w:val="Heading3"/>
      </w:pPr>
      <w:r>
        <w:t>Example: obsolete PLC replacement</w:t>
      </w:r>
    </w:p>
    <w:p>
      <w:r>
        <w:t>Suppose a vendor offers a newer PLC as a replacement for an obsolete controller.</w:t>
      </w:r>
    </w:p>
    <w:p>
      <w:r>
        <w:t>The evaluation should consider:</w:t>
      </w:r>
    </w:p>
    <w:p>
      <w:pPr>
        <w:pStyle w:val="ListBullet"/>
      </w:pPr>
      <w:r>
        <w:t>I/O compatibility.</w:t>
      </w:r>
    </w:p>
    <w:p>
      <w:pPr>
        <w:pStyle w:val="ListBullet"/>
      </w:pPr>
      <w:r>
        <w:t>Available communication interfaces.</w:t>
      </w:r>
    </w:p>
    <w:p>
      <w:pPr>
        <w:pStyle w:val="ListBullet"/>
      </w:pPr>
      <w:r>
        <w:t>Program conversion requirements.</w:t>
      </w:r>
    </w:p>
    <w:p>
      <w:pPr>
        <w:pStyle w:val="ListBullet"/>
      </w:pPr>
      <w:r>
        <w:t>Changes to addressing and data types.</w:t>
      </w:r>
    </w:p>
    <w:p>
      <w:pPr>
        <w:pStyle w:val="ListBullet"/>
      </w:pPr>
      <w:r>
        <w:t>HMI and drive communication.</w:t>
      </w:r>
    </w:p>
    <w:p>
      <w:pPr>
        <w:pStyle w:val="ListBullet"/>
      </w:pPr>
      <w:r>
        <w:t>Safety-related interfaces.</w:t>
      </w:r>
    </w:p>
    <w:p>
      <w:pPr>
        <w:pStyle w:val="ListBullet"/>
      </w:pPr>
      <w:r>
        <w:t>Panel wiring and power requirements.</w:t>
      </w:r>
    </w:p>
    <w:p>
      <w:pPr>
        <w:pStyle w:val="ListBullet"/>
      </w:pPr>
      <w:r>
        <w:t>Engineering software and licensing.</w:t>
      </w:r>
    </w:p>
    <w:p>
      <w:pPr>
        <w:pStyle w:val="ListBullet"/>
      </w:pPr>
      <w:r>
        <w:t>Commissioning and downtime.</w:t>
      </w:r>
    </w:p>
    <w:p>
      <w:pPr>
        <w:pStyle w:val="ListBullet"/>
      </w:pPr>
      <w:r>
        <w:t>Required testing and revalidation.</w:t>
      </w:r>
    </w:p>
    <w:p>
      <w:r>
        <w:t>A newer product is not automatically a drop-in replacement. The cost of migration may exceed the hardware price by a substantial margin.</w:t>
      </w:r>
    </w:p>
    <w:p>
      <w:pPr>
        <w:pStyle w:val="Heading2"/>
      </w:pPr>
      <w:r>
        <w:t>11. Vendor capability matrix</w:t>
      </w:r>
    </w:p>
    <w:p>
      <w:r>
        <w:t>A capability matrix helps determine which vendors are suitable for which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Vendor</w:t>
            </w:r>
          </w:p>
        </w:tc>
        <w:tc>
          <w:tcPr>
            <w:tcW w:type="dxa" w:w="1800"/>
            <w:shd w:val="clear" w:color="auto" w:fill="EEF2F7"/>
          </w:tcPr>
          <w:p>
            <w:pPr>
              <w:spacing w:after="0" w:before="0" w:line="240" w:lineRule="auto"/>
              <w:jc w:val="left"/>
            </w:pPr>
            <w:r>
              <w:rPr>
                <w:b/>
                <w:color w:val="1A2E4A"/>
              </w:rPr>
              <w:t>PLC supply</w:t>
            </w:r>
          </w:p>
        </w:tc>
        <w:tc>
          <w:tcPr>
            <w:tcW w:type="dxa" w:w="1800"/>
            <w:shd w:val="clear" w:color="auto" w:fill="EEF2F7"/>
          </w:tcPr>
          <w:p>
            <w:pPr>
              <w:spacing w:after="0" w:before="0" w:line="240" w:lineRule="auto"/>
              <w:jc w:val="left"/>
            </w:pPr>
            <w:r>
              <w:rPr>
                <w:b/>
                <w:color w:val="1A2E4A"/>
              </w:rPr>
              <w:t>PLC programming</w:t>
            </w:r>
          </w:p>
        </w:tc>
        <w:tc>
          <w:tcPr>
            <w:tcW w:type="dxa" w:w="1800"/>
            <w:shd w:val="clear" w:color="auto" w:fill="EEF2F7"/>
          </w:tcPr>
          <w:p>
            <w:pPr>
              <w:spacing w:after="0" w:before="0" w:line="240" w:lineRule="auto"/>
              <w:jc w:val="left"/>
            </w:pPr>
            <w:r>
              <w:rPr>
                <w:b/>
                <w:color w:val="1A2E4A"/>
              </w:rPr>
              <w:t>Panel building</w:t>
            </w:r>
          </w:p>
        </w:tc>
        <w:tc>
          <w:tcPr>
            <w:tcW w:type="dxa" w:w="1800"/>
            <w:shd w:val="clear" w:color="auto" w:fill="EEF2F7"/>
          </w:tcPr>
          <w:p>
            <w:pPr>
              <w:spacing w:after="0" w:before="0" w:line="240" w:lineRule="auto"/>
              <w:jc w:val="left"/>
            </w:pPr>
            <w:r>
              <w:rPr>
                <w:b/>
                <w:color w:val="1A2E4A"/>
              </w:rPr>
              <w:t>CNC retrofit</w:t>
            </w:r>
          </w:p>
        </w:tc>
        <w:tc>
          <w:tcPr>
            <w:tcW w:type="dxa" w:w="1800"/>
            <w:shd w:val="clear" w:color="auto" w:fill="EEF2F7"/>
          </w:tcPr>
          <w:p>
            <w:pPr>
              <w:spacing w:after="0" w:before="0" w:line="240" w:lineRule="auto"/>
              <w:jc w:val="left"/>
            </w:pPr>
            <w:r>
              <w:rPr>
                <w:b/>
                <w:color w:val="1A2E4A"/>
              </w:rPr>
              <w:t>On-site support</w:t>
            </w:r>
          </w:p>
        </w:tc>
      </w:tr>
      <w:tr>
        <w:tc>
          <w:tcPr>
            <w:tcW w:type="dxa" w:w="1800"/>
          </w:tcPr>
          <w:p>
            <w:pPr>
              <w:spacing w:after="0" w:before="0" w:line="240" w:lineRule="auto"/>
              <w:jc w:val="left"/>
            </w:pPr>
            <w:r>
              <w:t>Vendor A</w:t>
            </w:r>
          </w:p>
        </w:tc>
        <w:tc>
          <w:tcPr>
            <w:tcW w:type="dxa" w:w="1800"/>
          </w:tcPr>
          <w:p>
            <w:pPr>
              <w:spacing w:after="0" w:before="0" w:line="240" w:lineRule="auto"/>
              <w:jc w:val="left"/>
            </w:pPr>
            <w:r>
              <w:t>Yes</w:t>
            </w:r>
          </w:p>
        </w:tc>
        <w:tc>
          <w:tcPr>
            <w:tcW w:type="dxa" w:w="1800"/>
          </w:tcPr>
          <w:p>
            <w:pPr>
              <w:spacing w:after="0" w:before="0" w:line="240" w:lineRule="auto"/>
              <w:jc w:val="left"/>
            </w:pPr>
            <w:r>
              <w:t>Limited</w:t>
            </w:r>
          </w:p>
        </w:tc>
        <w:tc>
          <w:tcPr>
            <w:tcW w:type="dxa" w:w="1800"/>
          </w:tcPr>
          <w:p>
            <w:pPr>
              <w:spacing w:after="0" w:before="0" w:line="240" w:lineRule="auto"/>
              <w:jc w:val="left"/>
            </w:pPr>
            <w:r>
              <w:t>No</w:t>
            </w:r>
          </w:p>
        </w:tc>
        <w:tc>
          <w:tcPr>
            <w:tcW w:type="dxa" w:w="1800"/>
          </w:tcPr>
          <w:p>
            <w:pPr>
              <w:spacing w:after="0" w:before="0" w:line="240" w:lineRule="auto"/>
              <w:jc w:val="left"/>
            </w:pPr>
            <w:r>
              <w:t>No</w:t>
            </w:r>
          </w:p>
        </w:tc>
        <w:tc>
          <w:tcPr>
            <w:tcW w:type="dxa" w:w="1800"/>
          </w:tcPr>
          <w:p>
            <w:pPr>
              <w:spacing w:after="0" w:before="0" w:line="240" w:lineRule="auto"/>
              <w:jc w:val="left"/>
            </w:pPr>
            <w:r>
              <w:t>Regional</w:t>
            </w:r>
          </w:p>
        </w:tc>
      </w:tr>
      <w:tr>
        <w:tc>
          <w:tcPr>
            <w:tcW w:type="dxa" w:w="1800"/>
          </w:tcPr>
          <w:p>
            <w:pPr>
              <w:spacing w:after="0" w:before="0" w:line="240" w:lineRule="auto"/>
              <w:jc w:val="left"/>
            </w:pPr>
            <w:r>
              <w:t>Vendor B</w:t>
            </w:r>
          </w:p>
        </w:tc>
        <w:tc>
          <w:tcPr>
            <w:tcW w:type="dxa" w:w="1800"/>
          </w:tcPr>
          <w:p>
            <w:pPr>
              <w:spacing w:after="0" w:before="0" w:line="240" w:lineRule="auto"/>
              <w:jc w:val="left"/>
            </w:pPr>
            <w:r>
              <w:t>Yes</w:t>
            </w:r>
          </w:p>
        </w:tc>
        <w:tc>
          <w:tcPr>
            <w:tcW w:type="dxa" w:w="1800"/>
          </w:tcPr>
          <w:p>
            <w:pPr>
              <w:spacing w:after="0" w:before="0" w:line="240" w:lineRule="auto"/>
              <w:jc w:val="left"/>
            </w:pPr>
            <w:r>
              <w:t>Yes</w:t>
            </w:r>
          </w:p>
        </w:tc>
        <w:tc>
          <w:tcPr>
            <w:tcW w:type="dxa" w:w="1800"/>
          </w:tcPr>
          <w:p>
            <w:pPr>
              <w:spacing w:after="0" w:before="0" w:line="240" w:lineRule="auto"/>
              <w:jc w:val="left"/>
            </w:pPr>
            <w:r>
              <w:t>Yes</w:t>
            </w:r>
          </w:p>
        </w:tc>
        <w:tc>
          <w:tcPr>
            <w:tcW w:type="dxa" w:w="1800"/>
          </w:tcPr>
          <w:p>
            <w:pPr>
              <w:spacing w:after="0" w:before="0" w:line="240" w:lineRule="auto"/>
              <w:jc w:val="left"/>
            </w:pPr>
            <w:r>
              <w:t>Limited</w:t>
            </w:r>
          </w:p>
        </w:tc>
        <w:tc>
          <w:tcPr>
            <w:tcW w:type="dxa" w:w="1800"/>
          </w:tcPr>
          <w:p>
            <w:pPr>
              <w:spacing w:after="0" w:before="0" w:line="240" w:lineRule="auto"/>
              <w:jc w:val="left"/>
            </w:pPr>
            <w:r>
              <w:t>Local</w:t>
            </w:r>
          </w:p>
        </w:tc>
      </w:tr>
      <w:tr>
        <w:tc>
          <w:tcPr>
            <w:tcW w:type="dxa" w:w="1800"/>
          </w:tcPr>
          <w:p>
            <w:pPr>
              <w:spacing w:after="0" w:before="0" w:line="240" w:lineRule="auto"/>
              <w:jc w:val="left"/>
            </w:pPr>
            <w:r>
              <w:t>Vendor C</w:t>
            </w:r>
          </w:p>
        </w:tc>
        <w:tc>
          <w:tcPr>
            <w:tcW w:type="dxa" w:w="1800"/>
          </w:tcPr>
          <w:p>
            <w:pPr>
              <w:spacing w:after="0" w:before="0" w:line="240" w:lineRule="auto"/>
              <w:jc w:val="left"/>
            </w:pPr>
            <w:r>
              <w:t>No</w:t>
            </w:r>
          </w:p>
        </w:tc>
        <w:tc>
          <w:tcPr>
            <w:tcW w:type="dxa" w:w="1800"/>
          </w:tcPr>
          <w:p>
            <w:pPr>
              <w:spacing w:after="0" w:before="0" w:line="240" w:lineRule="auto"/>
              <w:jc w:val="left"/>
            </w:pPr>
            <w:r>
              <w:t>Yes</w:t>
            </w:r>
          </w:p>
        </w:tc>
        <w:tc>
          <w:tcPr>
            <w:tcW w:type="dxa" w:w="1800"/>
          </w:tcPr>
          <w:p>
            <w:pPr>
              <w:spacing w:after="0" w:before="0" w:line="240" w:lineRule="auto"/>
              <w:jc w:val="left"/>
            </w:pPr>
            <w:r>
              <w:t>No</w:t>
            </w:r>
          </w:p>
        </w:tc>
        <w:tc>
          <w:tcPr>
            <w:tcW w:type="dxa" w:w="1800"/>
          </w:tcPr>
          <w:p>
            <w:pPr>
              <w:spacing w:after="0" w:before="0" w:line="240" w:lineRule="auto"/>
              <w:jc w:val="left"/>
            </w:pPr>
            <w:r>
              <w:t>Yes</w:t>
            </w:r>
          </w:p>
        </w:tc>
        <w:tc>
          <w:tcPr>
            <w:tcW w:type="dxa" w:w="1800"/>
          </w:tcPr>
          <w:p>
            <w:pPr>
              <w:spacing w:after="0" w:before="0" w:line="240" w:lineRule="auto"/>
              <w:jc w:val="left"/>
            </w:pPr>
            <w:r>
              <w:t>Regional</w:t>
            </w:r>
          </w:p>
        </w:tc>
      </w:tr>
      <w:tr>
        <w:tc>
          <w:tcPr>
            <w:tcW w:type="dxa" w:w="1800"/>
          </w:tcPr>
          <w:p>
            <w:pPr>
              <w:spacing w:after="0" w:before="0" w:line="240" w:lineRule="auto"/>
              <w:jc w:val="left"/>
            </w:pPr>
            <w:r>
              <w:t>Vendor D</w:t>
            </w:r>
          </w:p>
        </w:tc>
        <w:tc>
          <w:tcPr>
            <w:tcW w:type="dxa" w:w="1800"/>
          </w:tcPr>
          <w:p>
            <w:pPr>
              <w:spacing w:after="0" w:before="0" w:line="240" w:lineRule="auto"/>
              <w:jc w:val="left"/>
            </w:pPr>
            <w:r>
              <w:t>Yes</w:t>
            </w:r>
          </w:p>
        </w:tc>
        <w:tc>
          <w:tcPr>
            <w:tcW w:type="dxa" w:w="1800"/>
          </w:tcPr>
          <w:p>
            <w:pPr>
              <w:spacing w:after="0" w:before="0" w:line="240" w:lineRule="auto"/>
              <w:jc w:val="left"/>
            </w:pPr>
            <w:r>
              <w:t>Yes</w:t>
            </w:r>
          </w:p>
        </w:tc>
        <w:tc>
          <w:tcPr>
            <w:tcW w:type="dxa" w:w="1800"/>
          </w:tcPr>
          <w:p>
            <w:pPr>
              <w:spacing w:after="0" w:before="0" w:line="240" w:lineRule="auto"/>
              <w:jc w:val="left"/>
            </w:pPr>
            <w:r>
              <w:t>Yes</w:t>
            </w:r>
          </w:p>
        </w:tc>
        <w:tc>
          <w:tcPr>
            <w:tcW w:type="dxa" w:w="1800"/>
          </w:tcPr>
          <w:p>
            <w:pPr>
              <w:spacing w:after="0" w:before="0" w:line="240" w:lineRule="auto"/>
              <w:jc w:val="left"/>
            </w:pPr>
            <w:r>
              <w:t>Yes</w:t>
            </w:r>
          </w:p>
        </w:tc>
        <w:tc>
          <w:tcPr>
            <w:tcW w:type="dxa" w:w="1800"/>
          </w:tcPr>
          <w:p>
            <w:pPr>
              <w:spacing w:after="0" w:before="0" w:line="240" w:lineRule="auto"/>
              <w:jc w:val="left"/>
            </w:pPr>
            <w:r>
              <w:t>National</w:t>
            </w:r>
          </w:p>
        </w:tc>
      </w:tr>
    </w:tbl>
    <w:p/>
    <w:p>
      <w:r>
        <w:t>This is an illustrative matrix. Real entries must be supported by verified evidence.</w:t>
      </w:r>
    </w:p>
    <w:p>
      <w:r>
        <w:t>Avoid treating a broad "yes" as sufficient. Record the relevant product families, qualifications, geographical coverage, and experience where those details affect the decision.</w:t>
      </w:r>
    </w:p>
    <w:p>
      <w:pPr>
        <w:pStyle w:val="Heading2"/>
      </w:pPr>
      <w:r>
        <w:t>12. Vendor prequalification questionnaire</w:t>
      </w:r>
    </w:p>
    <w:p>
      <w:r>
        <w:t>A prequalification questionnaire gathers consistent information from potential suppliers.</w:t>
      </w:r>
    </w:p>
    <w:p>
      <w:r>
        <w:t>It may ask for:</w:t>
      </w:r>
    </w:p>
    <w:p>
      <w:r>
        <w:t>Company information</w:t>
      </w:r>
    </w:p>
    <w:p>
      <w:pPr>
        <w:pStyle w:val="ListBullet"/>
      </w:pPr>
      <w:r>
        <w:t>Legal company name and registered address.</w:t>
      </w:r>
    </w:p>
    <w:p>
      <w:pPr>
        <w:pStyle w:val="ListBullet"/>
      </w:pPr>
      <w:r>
        <w:t>Years in operation.</w:t>
      </w:r>
    </w:p>
    <w:p>
      <w:pPr>
        <w:pStyle w:val="ListBullet"/>
      </w:pPr>
      <w:r>
        <w:t>Main business activities.</w:t>
      </w:r>
    </w:p>
    <w:p>
      <w:pPr>
        <w:pStyle w:val="ListBullet"/>
      </w:pPr>
      <w:r>
        <w:t>Relevant manufacturing or service locations.</w:t>
      </w:r>
    </w:p>
    <w:p>
      <w:pPr>
        <w:pStyle w:val="ListBullet"/>
      </w:pPr>
      <w:r>
        <w:t>Contact details for technical and commercial representatives.</w:t>
      </w:r>
    </w:p>
    <w:p>
      <w:r>
        <w:t>Technical capability</w:t>
      </w:r>
    </w:p>
    <w:p>
      <w:pPr>
        <w:pStyle w:val="ListBullet"/>
      </w:pPr>
      <w:r>
        <w:t>Product categories and supported manufacturers.</w:t>
      </w:r>
    </w:p>
    <w:p>
      <w:pPr>
        <w:pStyle w:val="ListBullet"/>
      </w:pPr>
      <w:r>
        <w:t>Engineering and service capabilities.</w:t>
      </w:r>
    </w:p>
    <w:p>
      <w:pPr>
        <w:pStyle w:val="ListBullet"/>
      </w:pPr>
      <w:r>
        <w:t>Software and hardware expertise.</w:t>
      </w:r>
    </w:p>
    <w:p>
      <w:pPr>
        <w:pStyle w:val="ListBullet"/>
      </w:pPr>
      <w:r>
        <w:t>Relevant project experience.</w:t>
      </w:r>
    </w:p>
    <w:p>
      <w:pPr>
        <w:pStyle w:val="ListBullet"/>
      </w:pPr>
      <w:r>
        <w:t>Testing facilities and methods.</w:t>
      </w:r>
    </w:p>
    <w:p>
      <w:pPr>
        <w:pStyle w:val="ListBullet"/>
      </w:pPr>
      <w:r>
        <w:t>Available technical support.</w:t>
      </w:r>
    </w:p>
    <w:p>
      <w:r>
        <w:t>Quality and compliance</w:t>
      </w:r>
    </w:p>
    <w:p>
      <w:pPr>
        <w:pStyle w:val="ListBullet"/>
      </w:pPr>
      <w:r>
        <w:t>Relevant management-system certifications.</w:t>
      </w:r>
    </w:p>
    <w:p>
      <w:pPr>
        <w:pStyle w:val="ListBullet"/>
      </w:pPr>
      <w:r>
        <w:t>Inspection and test procedures.</w:t>
      </w:r>
    </w:p>
    <w:p>
      <w:pPr>
        <w:pStyle w:val="ListBullet"/>
      </w:pPr>
      <w:r>
        <w:t>Traceability practices.</w:t>
      </w:r>
    </w:p>
    <w:p>
      <w:pPr>
        <w:pStyle w:val="ListBullet"/>
      </w:pPr>
      <w:r>
        <w:t>Corrective-action process.</w:t>
      </w:r>
    </w:p>
    <w:p>
      <w:pPr>
        <w:pStyle w:val="ListBullet"/>
      </w:pPr>
      <w:r>
        <w:t>Required legal and product conformity documents.</w:t>
      </w:r>
    </w:p>
    <w:p>
      <w:r>
        <w:t>Commercial and delivery</w:t>
      </w:r>
    </w:p>
    <w:p>
      <w:pPr>
        <w:pStyle w:val="ListBullet"/>
      </w:pPr>
      <w:r>
        <w:t>Typical lead times.</w:t>
      </w:r>
    </w:p>
    <w:p>
      <w:pPr>
        <w:pStyle w:val="ListBullet"/>
      </w:pPr>
      <w:r>
        <w:t>Service coverage.</w:t>
      </w:r>
    </w:p>
    <w:p>
      <w:pPr>
        <w:pStyle w:val="ListBullet"/>
      </w:pPr>
      <w:r>
        <w:t>Warranty terms.</w:t>
      </w:r>
    </w:p>
    <w:p>
      <w:pPr>
        <w:pStyle w:val="ListBullet"/>
      </w:pPr>
      <w:r>
        <w:t>Spare-parts availability.</w:t>
      </w:r>
    </w:p>
    <w:p>
      <w:pPr>
        <w:pStyle w:val="ListBullet"/>
      </w:pPr>
      <w:r>
        <w:t>Capacity to support the expected project volume.</w:t>
      </w:r>
    </w:p>
    <w:p>
      <w:pPr>
        <w:pStyle w:val="ListBullet"/>
      </w:pPr>
      <w:r>
        <w:t>Proposed quotation and payment conditions.</w:t>
      </w:r>
    </w:p>
    <w:p>
      <w:r>
        <w:t>References</w:t>
      </w:r>
    </w:p>
    <w:p>
      <w:pPr>
        <w:pStyle w:val="ListBullet"/>
      </w:pPr>
      <w:r>
        <w:t>Similar completed projects.</w:t>
      </w:r>
    </w:p>
    <w:p>
      <w:pPr>
        <w:pStyle w:val="ListBullet"/>
      </w:pPr>
      <w:r>
        <w:t>Customer references, where permitted.</w:t>
      </w:r>
    </w:p>
    <w:p>
      <w:pPr>
        <w:pStyle w:val="ListBullet"/>
      </w:pPr>
      <w:r>
        <w:t>Relevant case studies.</w:t>
      </w:r>
    </w:p>
    <w:p>
      <w:pPr>
        <w:pStyle w:val="ListBullet"/>
      </w:pPr>
      <w:r>
        <w:t>Experience with comparable equipment and applications.</w:t>
      </w:r>
    </w:p>
    <w:p>
      <w:r>
        <w:t>The questionnaire should request evidence where it matters. Avoid collecting large quantities of paperwork that do not influence the procurement decision.</w:t>
      </w:r>
    </w:p>
    <w:p>
      <w:pPr>
        <w:pStyle w:val="Heading2"/>
      </w:pPr>
      <w:r>
        <w:t>13. Vendor scoring and shortlisting</w:t>
      </w:r>
    </w:p>
    <w:p>
      <w:r>
        <w:t>A weighted scoring model can help compare suppliers after mandatory requirements have been checked.</w:t>
      </w:r>
    </w:p>
    <w:p>
      <w:r>
        <w:t>Example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Criterion</w:t>
            </w:r>
          </w:p>
        </w:tc>
        <w:tc>
          <w:tcPr>
            <w:tcW w:type="dxa" w:w="5400"/>
            <w:shd w:val="clear" w:color="auto" w:fill="EEF2F7"/>
          </w:tcPr>
          <w:p>
            <w:pPr>
              <w:spacing w:after="0" w:before="0" w:line="240" w:lineRule="auto"/>
              <w:jc w:val="left"/>
            </w:pPr>
            <w:r>
              <w:rPr>
                <w:b/>
                <w:color w:val="1A2E4A"/>
              </w:rPr>
              <w:t>Weight</w:t>
            </w:r>
          </w:p>
        </w:tc>
      </w:tr>
      <w:tr>
        <w:tc>
          <w:tcPr>
            <w:tcW w:type="dxa" w:w="5400"/>
          </w:tcPr>
          <w:p>
            <w:pPr>
              <w:spacing w:after="0" w:before="0" w:line="240" w:lineRule="auto"/>
              <w:jc w:val="left"/>
            </w:pPr>
            <w:r>
              <w:t>Technical capability and compatibility</w:t>
            </w:r>
          </w:p>
        </w:tc>
        <w:tc>
          <w:tcPr>
            <w:tcW w:type="dxa" w:w="5400"/>
          </w:tcPr>
          <w:p>
            <w:pPr>
              <w:spacing w:after="0" w:before="0" w:line="240" w:lineRule="auto"/>
              <w:jc w:val="left"/>
            </w:pPr>
            <w:r>
              <w:t>25%</w:t>
            </w:r>
          </w:p>
        </w:tc>
      </w:tr>
      <w:tr>
        <w:tc>
          <w:tcPr>
            <w:tcW w:type="dxa" w:w="5400"/>
          </w:tcPr>
          <w:p>
            <w:pPr>
              <w:spacing w:after="0" w:before="0" w:line="240" w:lineRule="auto"/>
              <w:jc w:val="left"/>
            </w:pPr>
            <w:r>
              <w:t>Quality and reliability</w:t>
            </w:r>
          </w:p>
        </w:tc>
        <w:tc>
          <w:tcPr>
            <w:tcW w:type="dxa" w:w="5400"/>
          </w:tcPr>
          <w:p>
            <w:pPr>
              <w:spacing w:after="0" w:before="0" w:line="240" w:lineRule="auto"/>
              <w:jc w:val="left"/>
            </w:pPr>
            <w:r>
              <w:t>20%</w:t>
            </w:r>
          </w:p>
        </w:tc>
      </w:tr>
      <w:tr>
        <w:tc>
          <w:tcPr>
            <w:tcW w:type="dxa" w:w="5400"/>
          </w:tcPr>
          <w:p>
            <w:pPr>
              <w:spacing w:after="0" w:before="0" w:line="240" w:lineRule="auto"/>
              <w:jc w:val="left"/>
            </w:pPr>
            <w:r>
              <w:t>Delivery capability</w:t>
            </w:r>
          </w:p>
        </w:tc>
        <w:tc>
          <w:tcPr>
            <w:tcW w:type="dxa" w:w="5400"/>
          </w:tcPr>
          <w:p>
            <w:pPr>
              <w:spacing w:after="0" w:before="0" w:line="240" w:lineRule="auto"/>
              <w:jc w:val="left"/>
            </w:pPr>
            <w:r>
              <w:t>15%</w:t>
            </w:r>
          </w:p>
        </w:tc>
      </w:tr>
      <w:tr>
        <w:tc>
          <w:tcPr>
            <w:tcW w:type="dxa" w:w="5400"/>
          </w:tcPr>
          <w:p>
            <w:pPr>
              <w:spacing w:after="0" w:before="0" w:line="240" w:lineRule="auto"/>
              <w:jc w:val="left"/>
            </w:pPr>
            <w:r>
              <w:t>Service and technical support</w:t>
            </w:r>
          </w:p>
        </w:tc>
        <w:tc>
          <w:tcPr>
            <w:tcW w:type="dxa" w:w="5400"/>
          </w:tcPr>
          <w:p>
            <w:pPr>
              <w:spacing w:after="0" w:before="0" w:line="240" w:lineRule="auto"/>
              <w:jc w:val="left"/>
            </w:pPr>
            <w:r>
              <w:t>15%</w:t>
            </w:r>
          </w:p>
        </w:tc>
      </w:tr>
      <w:tr>
        <w:tc>
          <w:tcPr>
            <w:tcW w:type="dxa" w:w="5400"/>
          </w:tcPr>
          <w:p>
            <w:pPr>
              <w:spacing w:after="0" w:before="0" w:line="240" w:lineRule="auto"/>
              <w:jc w:val="left"/>
            </w:pPr>
            <w:r>
              <w:t>Commercial competitiveness</w:t>
            </w:r>
          </w:p>
        </w:tc>
        <w:tc>
          <w:tcPr>
            <w:tcW w:type="dxa" w:w="5400"/>
          </w:tcPr>
          <w:p>
            <w:pPr>
              <w:spacing w:after="0" w:before="0" w:line="240" w:lineRule="auto"/>
              <w:jc w:val="left"/>
            </w:pPr>
            <w:r>
              <w:t>15%</w:t>
            </w:r>
          </w:p>
        </w:tc>
      </w:tr>
      <w:tr>
        <w:tc>
          <w:tcPr>
            <w:tcW w:type="dxa" w:w="5400"/>
          </w:tcPr>
          <w:p>
            <w:pPr>
              <w:spacing w:after="0" w:before="0" w:line="240" w:lineRule="auto"/>
              <w:jc w:val="left"/>
            </w:pPr>
            <w:r>
              <w:t>Relevant experience</w:t>
            </w:r>
          </w:p>
        </w:tc>
        <w:tc>
          <w:tcPr>
            <w:tcW w:type="dxa" w:w="5400"/>
          </w:tcPr>
          <w:p>
            <w:pPr>
              <w:spacing w:after="0" w:before="0" w:line="240" w:lineRule="auto"/>
              <w:jc w:val="left"/>
            </w:pPr>
            <w:r>
              <w:t>10%</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These weights are illustrative. Actual weights should follow the organization's procurement policy and the risk profile of the purchase.</w:t>
      </w:r>
    </w:p>
    <w:p>
      <w:r>
        <w:t>If each criterion is scored from 1 to 5, a weighted score can be calculated as:</w:t>
      </w:r>
    </w:p>
    <w:p>
      <w:pPr>
        <w:spacing w:before="120" w:after="160"/>
        <w:jc w:val="center"/>
      </w:pPr>
      <m:oMathPara>
        <m:oMath>
          <m:r>
            <m:t>S=</m:t>
          </m:r>
          <m:nary>
            <m:naryPr>
              <m:chr m:val="∑"/>
              <m:limLoc m:val="subSup"/>
              <m:grow m:val="1"/>
              <m:subHide m:val="off"/>
              <m:supHide m:val="off"/>
            </m:naryPr>
            <m:sub>
              <m:r>
                <m:t>i=1</m:t>
              </m:r>
            </m:sub>
            <m:sup>
              <m:r>
                <m:t>n</m:t>
              </m:r>
            </m:sup>
            <m:e>
              <m:sSub>
                <m:e>
                  <m:r>
                    <m:t>w</m:t>
                  </m:r>
                </m:e>
                <m:sub>
                  <m:r>
                    <m:t>i</m:t>
                  </m:r>
                </m:sub>
              </m:sSub>
            </m:e>
          </m:nary>
          <m:f>
            <m:fPr>
              <m:type m:val="bar"/>
            </m:fPr>
            <m:num>
              <m:sSub>
                <m:e>
                  <m:r>
                    <m:t>r</m:t>
                  </m:r>
                </m:e>
                <m:sub>
                  <m:r>
                    <m:t>i</m:t>
                  </m:r>
                </m:sub>
              </m:sSub>
            </m:num>
            <m:den>
              <m:sSub>
                <m:e>
                  <m:r>
                    <m:t>r</m:t>
                  </m:r>
                </m:e>
                <m:sub>
                  <m:r>
                    <m:t>max</m:t>
                  </m:r>
                </m:sub>
              </m:sSub>
            </m:den>
          </m:f>
        </m:oMath>
      </m:oMathPara>
    </w:p>
    <w:p>
      <w:r>
        <w:t>Where:</w:t>
      </w:r>
    </w:p>
    <w:p>
      <w:pPr>
        <w:pStyle w:val="ListBullet"/>
      </w:pPr>
      <m:oMath>
        <m:r>
          <m:t>S</m:t>
        </m:r>
      </m:oMath>
      <w:r>
        <w:t xml:space="preserve"> is the normalized total score.</w:t>
      </w:r>
    </w:p>
    <w:p>
      <w:pPr>
        <w:pStyle w:val="ListBullet"/>
      </w:pPr>
      <m:oMath>
        <m:sSub>
          <m:e>
            <m:r>
              <m:t>w</m:t>
            </m:r>
          </m:e>
          <m:sub>
            <m:r>
              <m:t>i</m:t>
            </m:r>
          </m:sub>
        </m:sSub>
      </m:oMath>
      <w:r>
        <w:t xml:space="preserve"> is the weight of criterion </w:t>
      </w:r>
      <m:oMath>
        <m:r>
          <m:t>i</m:t>
        </m:r>
      </m:oMath>
      <w:r>
        <w:t>, expressed as a fraction.</w:t>
      </w:r>
    </w:p>
    <w:p>
      <w:pPr>
        <w:pStyle w:val="ListBullet"/>
      </w:pPr>
      <m:oMath>
        <m:sSub>
          <m:e>
            <m:r>
              <m:t>r</m:t>
            </m:r>
          </m:e>
          <m:sub>
            <m:r>
              <m:t>i</m:t>
            </m:r>
          </m:sub>
        </m:sSub>
      </m:oMath>
      <w:r>
        <w:t xml:space="preserve"> is the vendor's rating for criterion </w:t>
      </w:r>
      <m:oMath>
        <m:r>
          <m:t>i</m:t>
        </m:r>
      </m:oMath>
      <w:r>
        <w:t>.</w:t>
      </w:r>
    </w:p>
    <w:p>
      <w:pPr>
        <w:pStyle w:val="ListBullet"/>
      </w:pPr>
      <m:oMath>
        <m:sSub>
          <m:e>
            <m:r>
              <m:t>r</m:t>
            </m:r>
          </m:e>
          <m:sub>
            <m:r>
              <m:t>max</m:t>
            </m:r>
          </m:sub>
        </m:sSub>
      </m:oMath>
      <w:r>
        <w:t xml:space="preserve"> is the maximum possible rating.</w:t>
      </w:r>
    </w:p>
    <w:p>
      <w:r>
        <w:t>For example, if technical capability has a weight of 0.25, the vendor scores 4 out of 5, and the maximum rating is 5, its contribution is:</w:t>
      </w:r>
    </w:p>
    <w:p>
      <w:pPr>
        <w:spacing w:before="120" w:after="160"/>
        <w:jc w:val="center"/>
      </w:pPr>
      <m:oMathPara>
        <m:oMath>
          <m:r>
            <m:t>0.25×</m:t>
          </m:r>
          <m:f>
            <m:fPr>
              <m:type m:val="bar"/>
            </m:fPr>
            <m:num>
              <m:r>
                <m:t>4</m:t>
              </m:r>
            </m:num>
            <m:den>
              <m:r>
                <m:t>5</m:t>
              </m:r>
            </m:den>
          </m:f>
          <m:r>
            <m:t>=0.20</m:t>
          </m:r>
        </m:oMath>
      </m:oMathPara>
    </w:p>
    <w:p>
      <w:r>
        <w:t>The total can be expressed as a percentage by multiplying the normalized score by 100.</w:t>
      </w:r>
    </w:p>
    <w:p>
      <w:r>
        <w:t>Important: Weighted scoring must not override mandatory requirements. A vendor that fails a non-negotiable safety, legal, or compatibility requirement should not be accepted merely because its overall score is high.</w:t>
      </w:r>
    </w:p>
    <w:p>
      <w:pPr>
        <w:pStyle w:val="Heading2"/>
      </w:pPr>
      <w:r>
        <w:t>14. Vendor risk assessment</w:t>
      </w:r>
    </w:p>
    <w:p>
      <w:r>
        <w:t>Vendor risk assessment identifies threats to successful delivery and long-term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Mitigation</w:t>
            </w:r>
          </w:p>
        </w:tc>
      </w:tr>
      <w:tr>
        <w:tc>
          <w:tcPr>
            <w:tcW w:type="dxa" w:w="3600"/>
          </w:tcPr>
          <w:p>
            <w:pPr>
              <w:spacing w:after="0" w:before="0" w:line="240" w:lineRule="auto"/>
              <w:jc w:val="left"/>
            </w:pPr>
            <w:r>
              <w:t>Single-source dependence</w:t>
            </w:r>
          </w:p>
        </w:tc>
        <w:tc>
          <w:tcPr>
            <w:tcW w:type="dxa" w:w="3600"/>
          </w:tcPr>
          <w:p>
            <w:pPr>
              <w:spacing w:after="0" w:before="0" w:line="240" w:lineRule="auto"/>
              <w:jc w:val="left"/>
            </w:pPr>
            <w:r>
              <w:t>Delays or production disruption</w:t>
            </w:r>
          </w:p>
        </w:tc>
        <w:tc>
          <w:tcPr>
            <w:tcW w:type="dxa" w:w="3600"/>
          </w:tcPr>
          <w:p>
            <w:pPr>
              <w:spacing w:after="0" w:before="0" w:line="240" w:lineRule="auto"/>
              <w:jc w:val="left"/>
            </w:pPr>
            <w:r>
              <w:t>Identify alternatives where feasible and document the dependency</w:t>
            </w:r>
          </w:p>
        </w:tc>
      </w:tr>
      <w:tr>
        <w:tc>
          <w:tcPr>
            <w:tcW w:type="dxa" w:w="3600"/>
          </w:tcPr>
          <w:p>
            <w:pPr>
              <w:spacing w:after="0" w:before="0" w:line="240" w:lineRule="auto"/>
              <w:jc w:val="left"/>
            </w:pPr>
            <w:r>
              <w:t>Product obsolescence</w:t>
            </w:r>
          </w:p>
        </w:tc>
        <w:tc>
          <w:tcPr>
            <w:tcW w:type="dxa" w:w="3600"/>
          </w:tcPr>
          <w:p>
            <w:pPr>
              <w:spacing w:after="0" w:before="0" w:line="240" w:lineRule="auto"/>
              <w:jc w:val="left"/>
            </w:pPr>
            <w:r>
              <w:t>Future replacement or migration cost</w:t>
            </w:r>
          </w:p>
        </w:tc>
        <w:tc>
          <w:tcPr>
            <w:tcW w:type="dxa" w:w="3600"/>
          </w:tcPr>
          <w:p>
            <w:pPr>
              <w:spacing w:after="0" w:before="0" w:line="240" w:lineRule="auto"/>
              <w:jc w:val="left"/>
            </w:pPr>
            <w:r>
              <w:t>Check lifecycle status and successor products</w:t>
            </w:r>
          </w:p>
        </w:tc>
      </w:tr>
      <w:tr>
        <w:tc>
          <w:tcPr>
            <w:tcW w:type="dxa" w:w="3600"/>
          </w:tcPr>
          <w:p>
            <w:pPr>
              <w:spacing w:after="0" w:before="0" w:line="240" w:lineRule="auto"/>
              <w:jc w:val="left"/>
            </w:pPr>
            <w:r>
              <w:t>Unverified authorization</w:t>
            </w:r>
          </w:p>
        </w:tc>
        <w:tc>
          <w:tcPr>
            <w:tcW w:type="dxa" w:w="3600"/>
          </w:tcPr>
          <w:p>
            <w:pPr>
              <w:spacing w:after="0" w:before="0" w:line="240" w:lineRule="auto"/>
              <w:jc w:val="left"/>
            </w:pPr>
            <w:r>
              <w:t>Warranty or authenticity issues</w:t>
            </w:r>
          </w:p>
        </w:tc>
        <w:tc>
          <w:tcPr>
            <w:tcW w:type="dxa" w:w="3600"/>
          </w:tcPr>
          <w:p>
            <w:pPr>
              <w:spacing w:after="0" w:before="0" w:line="240" w:lineRule="auto"/>
              <w:jc w:val="left"/>
            </w:pPr>
            <w:r>
              <w:t>Confirm the supply route through official channels</w:t>
            </w:r>
          </w:p>
        </w:tc>
      </w:tr>
      <w:tr>
        <w:tc>
          <w:tcPr>
            <w:tcW w:type="dxa" w:w="3600"/>
          </w:tcPr>
          <w:p>
            <w:pPr>
              <w:spacing w:after="0" w:before="0" w:line="240" w:lineRule="auto"/>
              <w:jc w:val="left"/>
            </w:pPr>
            <w:r>
              <w:t>Weak technical support</w:t>
            </w:r>
          </w:p>
        </w:tc>
        <w:tc>
          <w:tcPr>
            <w:tcW w:type="dxa" w:w="3600"/>
          </w:tcPr>
          <w:p>
            <w:pPr>
              <w:spacing w:after="0" w:before="0" w:line="240" w:lineRule="auto"/>
              <w:jc w:val="left"/>
            </w:pPr>
            <w:r>
              <w:t>Extended breakdowns</w:t>
            </w:r>
          </w:p>
        </w:tc>
        <w:tc>
          <w:tcPr>
            <w:tcW w:type="dxa" w:w="3600"/>
          </w:tcPr>
          <w:p>
            <w:pPr>
              <w:spacing w:after="0" w:before="0" w:line="240" w:lineRule="auto"/>
              <w:jc w:val="left"/>
            </w:pPr>
            <w:r>
              <w:t>Verify support capability and escalation arrangements</w:t>
            </w:r>
          </w:p>
        </w:tc>
      </w:tr>
      <w:tr>
        <w:tc>
          <w:tcPr>
            <w:tcW w:type="dxa" w:w="3600"/>
          </w:tcPr>
          <w:p>
            <w:pPr>
              <w:spacing w:after="0" w:before="0" w:line="240" w:lineRule="auto"/>
              <w:jc w:val="left"/>
            </w:pPr>
            <w:r>
              <w:t>Long lead time</w:t>
            </w:r>
          </w:p>
        </w:tc>
        <w:tc>
          <w:tcPr>
            <w:tcW w:type="dxa" w:w="3600"/>
          </w:tcPr>
          <w:p>
            <w:pPr>
              <w:spacing w:after="0" w:before="0" w:line="240" w:lineRule="auto"/>
              <w:jc w:val="left"/>
            </w:pPr>
            <w:r>
              <w:t>Project delays</w:t>
            </w:r>
          </w:p>
        </w:tc>
        <w:tc>
          <w:tcPr>
            <w:tcW w:type="dxa" w:w="3600"/>
          </w:tcPr>
          <w:p>
            <w:pPr>
              <w:spacing w:after="0" w:before="0" w:line="240" w:lineRule="auto"/>
              <w:jc w:val="left"/>
            </w:pPr>
            <w:r>
              <w:t>Confirm current lead times and critical component availability</w:t>
            </w:r>
          </w:p>
        </w:tc>
      </w:tr>
      <w:tr>
        <w:tc>
          <w:tcPr>
            <w:tcW w:type="dxa" w:w="3600"/>
          </w:tcPr>
          <w:p>
            <w:pPr>
              <w:spacing w:after="0" w:before="0" w:line="240" w:lineRule="auto"/>
              <w:jc w:val="left"/>
            </w:pPr>
            <w:r>
              <w:t>Poor financial stability</w:t>
            </w:r>
          </w:p>
        </w:tc>
        <w:tc>
          <w:tcPr>
            <w:tcW w:type="dxa" w:w="3600"/>
          </w:tcPr>
          <w:p>
            <w:pPr>
              <w:spacing w:after="0" w:before="0" w:line="240" w:lineRule="auto"/>
              <w:jc w:val="left"/>
            </w:pPr>
            <w:r>
              <w:t>Delivery or support failure</w:t>
            </w:r>
          </w:p>
        </w:tc>
        <w:tc>
          <w:tcPr>
            <w:tcW w:type="dxa" w:w="3600"/>
          </w:tcPr>
          <w:p>
            <w:pPr>
              <w:spacing w:after="0" w:before="0" w:line="240" w:lineRule="auto"/>
              <w:jc w:val="left"/>
            </w:pPr>
            <w:r>
              <w:t>Conduct proportionate financial checks</w:t>
            </w:r>
          </w:p>
        </w:tc>
      </w:tr>
      <w:tr>
        <w:tc>
          <w:tcPr>
            <w:tcW w:type="dxa" w:w="3600"/>
          </w:tcPr>
          <w:p>
            <w:pPr>
              <w:spacing w:after="0" w:before="0" w:line="240" w:lineRule="auto"/>
              <w:jc w:val="left"/>
            </w:pPr>
            <w:r>
              <w:t>Inadequate documentation</w:t>
            </w:r>
          </w:p>
        </w:tc>
        <w:tc>
          <w:tcPr>
            <w:tcW w:type="dxa" w:w="3600"/>
          </w:tcPr>
          <w:p>
            <w:pPr>
              <w:spacing w:after="0" w:before="0" w:line="240" w:lineRule="auto"/>
              <w:jc w:val="left"/>
            </w:pPr>
            <w:r>
              <w:t>Difficult maintenance and modifications</w:t>
            </w:r>
          </w:p>
        </w:tc>
        <w:tc>
          <w:tcPr>
            <w:tcW w:type="dxa" w:w="3600"/>
          </w:tcPr>
          <w:p>
            <w:pPr>
              <w:spacing w:after="0" w:before="0" w:line="240" w:lineRule="auto"/>
              <w:jc w:val="left"/>
            </w:pPr>
            <w:r>
              <w:t>Define documentation deliverables contractually</w:t>
            </w:r>
          </w:p>
        </w:tc>
      </w:tr>
      <w:tr>
        <w:tc>
          <w:tcPr>
            <w:tcW w:type="dxa" w:w="3600"/>
          </w:tcPr>
          <w:p>
            <w:pPr>
              <w:spacing w:after="0" w:before="0" w:line="240" w:lineRule="auto"/>
              <w:jc w:val="left"/>
            </w:pPr>
            <w:r>
              <w:t>Cybersecurity weaknesses</w:t>
            </w:r>
          </w:p>
        </w:tc>
        <w:tc>
          <w:tcPr>
            <w:tcW w:type="dxa" w:w="3600"/>
          </w:tcPr>
          <w:p>
            <w:pPr>
              <w:spacing w:after="0" w:before="0" w:line="240" w:lineRule="auto"/>
              <w:jc w:val="left"/>
            </w:pPr>
            <w:r>
              <w:t>Unauthorized access or system compromise</w:t>
            </w:r>
          </w:p>
        </w:tc>
        <w:tc>
          <w:tcPr>
            <w:tcW w:type="dxa" w:w="3600"/>
          </w:tcPr>
          <w:p>
            <w:pPr>
              <w:spacing w:after="0" w:before="0" w:line="240" w:lineRule="auto"/>
              <w:jc w:val="left"/>
            </w:pPr>
            <w:r>
              <w:t>Apply supplier security and access requirements</w:t>
            </w:r>
          </w:p>
        </w:tc>
      </w:tr>
      <w:tr>
        <w:tc>
          <w:tcPr>
            <w:tcW w:type="dxa" w:w="3600"/>
          </w:tcPr>
          <w:p>
            <w:pPr>
              <w:spacing w:after="0" w:before="0" w:line="240" w:lineRule="auto"/>
              <w:jc w:val="left"/>
            </w:pPr>
            <w:r>
              <w:t>Poor quality history</w:t>
            </w:r>
          </w:p>
        </w:tc>
        <w:tc>
          <w:tcPr>
            <w:tcW w:type="dxa" w:w="3600"/>
          </w:tcPr>
          <w:p>
            <w:pPr>
              <w:spacing w:after="0" w:before="0" w:line="240" w:lineRule="auto"/>
              <w:jc w:val="left"/>
            </w:pPr>
            <w:r>
              <w:t>Rework, downtime, or repeat failures</w:t>
            </w:r>
          </w:p>
        </w:tc>
        <w:tc>
          <w:tcPr>
            <w:tcW w:type="dxa" w:w="3600"/>
          </w:tcPr>
          <w:p>
            <w:pPr>
              <w:spacing w:after="0" w:before="0" w:line="240" w:lineRule="auto"/>
              <w:jc w:val="left"/>
            </w:pPr>
            <w:r>
              <w:t>Review relevant performance records and corrective actions</w:t>
            </w:r>
          </w:p>
        </w:tc>
      </w:tr>
      <w:tr>
        <w:tc>
          <w:tcPr>
            <w:tcW w:type="dxa" w:w="3600"/>
          </w:tcPr>
          <w:p>
            <w:pPr>
              <w:spacing w:after="0" w:before="0" w:line="240" w:lineRule="auto"/>
              <w:jc w:val="left"/>
            </w:pPr>
            <w:r>
              <w:t>Subcontracting without control</w:t>
            </w:r>
          </w:p>
        </w:tc>
        <w:tc>
          <w:tcPr>
            <w:tcW w:type="dxa" w:w="3600"/>
          </w:tcPr>
          <w:p>
            <w:pPr>
              <w:spacing w:after="0" w:before="0" w:line="240" w:lineRule="auto"/>
              <w:jc w:val="left"/>
            </w:pPr>
            <w:r>
              <w:t>Reduced accountability or inconsistent quality</w:t>
            </w:r>
          </w:p>
        </w:tc>
        <w:tc>
          <w:tcPr>
            <w:tcW w:type="dxa" w:w="3600"/>
          </w:tcPr>
          <w:p>
            <w:pPr>
              <w:spacing w:after="0" w:before="0" w:line="240" w:lineRule="auto"/>
              <w:jc w:val="left"/>
            </w:pPr>
            <w:r>
              <w:t>Define subcontracting approval and responsibility requirements</w:t>
            </w:r>
          </w:p>
        </w:tc>
      </w:tr>
    </w:tbl>
    <w:p/>
    <w:p>
      <w:r>
        <w:t>Risk controls should be proportional. A low-value standard component does not necessarily need the same audit depth as a supplier responsible for a critical production line.</w:t>
      </w:r>
    </w:p>
    <w:p>
      <w:pPr>
        <w:pStyle w:val="Heading2"/>
      </w:pPr>
      <w:r>
        <w:t>15. Vendor identification for obsolete equipment and repairs</w:t>
      </w:r>
    </w:p>
    <w:p>
      <w:r>
        <w:t>Maintenance and retrofit teams often need vendors for discontinued components, electronic repairs, or specialized machine systems.</w:t>
      </w:r>
    </w:p>
    <w:p>
      <w:r>
        <w:t>Before identifying a vendor, establish:</w:t>
      </w:r>
    </w:p>
    <w:p>
      <w:pPr>
        <w:pStyle w:val="ListBullet"/>
      </w:pPr>
      <w:r>
        <w:t>Exact manufacturer and part number.</w:t>
      </w:r>
    </w:p>
    <w:p>
      <w:pPr>
        <w:pStyle w:val="ListBullet"/>
      </w:pPr>
      <w:r>
        <w:t>Hardware revision and firmware, where relevant.</w:t>
      </w:r>
    </w:p>
    <w:p>
      <w:pPr>
        <w:pStyle w:val="ListBullet"/>
      </w:pPr>
      <w:r>
        <w:t>Existing system compatibility.</w:t>
      </w:r>
    </w:p>
    <w:p>
      <w:pPr>
        <w:pStyle w:val="ListBullet"/>
      </w:pPr>
      <w:r>
        <w:t>Product lifecycle status.</w:t>
      </w:r>
    </w:p>
    <w:p>
      <w:pPr>
        <w:pStyle w:val="ListBullet"/>
      </w:pPr>
      <w:r>
        <w:t>Whether an official successor exists.</w:t>
      </w:r>
    </w:p>
    <w:p>
      <w:pPr>
        <w:pStyle w:val="ListBullet"/>
      </w:pPr>
      <w:r>
        <w:t>Whether repair is technically viable.</w:t>
      </w:r>
    </w:p>
    <w:p>
      <w:pPr>
        <w:pStyle w:val="ListBullet"/>
      </w:pPr>
      <w:r>
        <w:t>Required turnaround time.</w:t>
      </w:r>
    </w:p>
    <w:p>
      <w:pPr>
        <w:pStyle w:val="ListBullet"/>
      </w:pPr>
      <w:r>
        <w:t>Test requirements after repair.</w:t>
      </w:r>
    </w:p>
    <w:p>
      <w:pPr>
        <w:pStyle w:val="ListBullet"/>
      </w:pPr>
      <w:r>
        <w:t>Warranty on repaired or replacement equipment.</w:t>
      </w:r>
    </w:p>
    <w:p>
      <w:pPr>
        <w:pStyle w:val="ListBullet"/>
      </w:pPr>
      <w:r>
        <w:t>Availability of configuration files and parameter backups.</w:t>
      </w:r>
    </w:p>
    <w:p>
      <w:pPr>
        <w:pStyle w:val="Heading3"/>
      </w:pPr>
      <w:r>
        <w:t>Example: repair of an industrial drive</w:t>
      </w:r>
    </w:p>
    <w:p>
      <w:r>
        <w:t>A potential repair vendor should be assessed for:</w:t>
      </w:r>
    </w:p>
    <w:p>
      <w:pPr>
        <w:pStyle w:val="ListBullet"/>
      </w:pPr>
      <w:r>
        <w:t>Experience with the exact drive family.</w:t>
      </w:r>
    </w:p>
    <w:p>
      <w:pPr>
        <w:pStyle w:val="ListBullet"/>
      </w:pPr>
      <w:r>
        <w:t>Component-level diagnostic capability.</w:t>
      </w:r>
    </w:p>
    <w:p>
      <w:pPr>
        <w:pStyle w:val="ListBullet"/>
      </w:pPr>
      <w:r>
        <w:t>Suitable test facilities and load testing where required.</w:t>
      </w:r>
    </w:p>
    <w:p>
      <w:pPr>
        <w:pStyle w:val="ListBullet"/>
      </w:pPr>
      <w:r>
        <w:t>Ability to preserve or restore parameters.</w:t>
      </w:r>
    </w:p>
    <w:p>
      <w:pPr>
        <w:pStyle w:val="ListBullet"/>
      </w:pPr>
      <w:r>
        <w:t>Repair traceability.</w:t>
      </w:r>
    </w:p>
    <w:p>
      <w:pPr>
        <w:pStyle w:val="ListBullet"/>
      </w:pPr>
      <w:r>
        <w:t>Failure-analysis reporting.</w:t>
      </w:r>
    </w:p>
    <w:p>
      <w:pPr>
        <w:pStyle w:val="ListBullet"/>
      </w:pPr>
      <w:r>
        <w:t>Repair warranty.</w:t>
      </w:r>
    </w:p>
    <w:p>
      <w:pPr>
        <w:pStyle w:val="ListBullet"/>
      </w:pPr>
      <w:r>
        <w:t>Turnaround time.</w:t>
      </w:r>
    </w:p>
    <w:p>
      <w:pPr>
        <w:pStyle w:val="ListBullet"/>
      </w:pPr>
      <w:r>
        <w:t>Availability of replacement units if repair fails.</w:t>
      </w:r>
    </w:p>
    <w:p>
      <w:r>
        <w:t>A repair shop that can make the display turn on has not necessarily proved that the drive can safely and reliably operate under its specified load.</w:t>
      </w:r>
    </w:p>
    <w:p>
      <w:pPr>
        <w:pStyle w:val="Heading2"/>
      </w:pPr>
      <w:r>
        <w:t>16. Vendor identification versus vendor approval</w:t>
      </w:r>
    </w:p>
    <w:p>
      <w:r>
        <w:t>These activities should remain distinct.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outcome</w:t>
            </w:r>
          </w:p>
        </w:tc>
      </w:tr>
      <w:tr>
        <w:tc>
          <w:tcPr>
            <w:tcW w:type="dxa" w:w="3600"/>
          </w:tcPr>
          <w:p>
            <w:pPr>
              <w:spacing w:after="0" w:before="0" w:line="240" w:lineRule="auto"/>
              <w:jc w:val="left"/>
            </w:pPr>
            <w:r>
              <w:t>Vendor identification</w:t>
            </w:r>
          </w:p>
        </w:tc>
        <w:tc>
          <w:tcPr>
            <w:tcW w:type="dxa" w:w="3600"/>
          </w:tcPr>
          <w:p>
            <w:pPr>
              <w:spacing w:after="0" w:before="0" w:line="240" w:lineRule="auto"/>
              <w:jc w:val="left"/>
            </w:pPr>
            <w:r>
              <w:t>Discover potential suppliers</w:t>
            </w:r>
          </w:p>
        </w:tc>
        <w:tc>
          <w:tcPr>
            <w:tcW w:type="dxa" w:w="3600"/>
          </w:tcPr>
          <w:p>
            <w:pPr>
              <w:spacing w:after="0" w:before="0" w:line="240" w:lineRule="auto"/>
              <w:jc w:val="left"/>
            </w:pPr>
            <w:r>
              <w:t>Candidate vendor list</w:t>
            </w:r>
          </w:p>
        </w:tc>
      </w:tr>
      <w:tr>
        <w:tc>
          <w:tcPr>
            <w:tcW w:type="dxa" w:w="3600"/>
          </w:tcPr>
          <w:p>
            <w:pPr>
              <w:spacing w:after="0" w:before="0" w:line="240" w:lineRule="auto"/>
              <w:jc w:val="left"/>
            </w:pPr>
            <w:r>
              <w:t>Vendor screening</w:t>
            </w:r>
          </w:p>
        </w:tc>
        <w:tc>
          <w:tcPr>
            <w:tcW w:type="dxa" w:w="3600"/>
          </w:tcPr>
          <w:p>
            <w:pPr>
              <w:spacing w:after="0" w:before="0" w:line="240" w:lineRule="auto"/>
              <w:jc w:val="left"/>
            </w:pPr>
            <w:r>
              <w:t>Check basic suitability</w:t>
            </w:r>
          </w:p>
        </w:tc>
        <w:tc>
          <w:tcPr>
            <w:tcW w:type="dxa" w:w="3600"/>
          </w:tcPr>
          <w:p>
            <w:pPr>
              <w:spacing w:after="0" w:before="0" w:line="240" w:lineRule="auto"/>
              <w:jc w:val="left"/>
            </w:pPr>
            <w:r>
              <w:t>Screened supplier list</w:t>
            </w:r>
          </w:p>
        </w:tc>
      </w:tr>
      <w:tr>
        <w:tc>
          <w:tcPr>
            <w:tcW w:type="dxa" w:w="3600"/>
          </w:tcPr>
          <w:p>
            <w:pPr>
              <w:spacing w:after="0" w:before="0" w:line="240" w:lineRule="auto"/>
              <w:jc w:val="left"/>
            </w:pPr>
            <w:r>
              <w:t>Vendor qualification</w:t>
            </w:r>
          </w:p>
        </w:tc>
        <w:tc>
          <w:tcPr>
            <w:tcW w:type="dxa" w:w="3600"/>
          </w:tcPr>
          <w:p>
            <w:pPr>
              <w:spacing w:after="0" w:before="0" w:line="240" w:lineRule="auto"/>
              <w:jc w:val="left"/>
            </w:pPr>
            <w:r>
              <w:t>Assess eligibility and capability</w:t>
            </w:r>
          </w:p>
        </w:tc>
        <w:tc>
          <w:tcPr>
            <w:tcW w:type="dxa" w:w="3600"/>
          </w:tcPr>
          <w:p>
            <w:pPr>
              <w:spacing w:after="0" w:before="0" w:line="240" w:lineRule="auto"/>
              <w:jc w:val="left"/>
            </w:pPr>
            <w:r>
              <w:t>Qualification decision</w:t>
            </w:r>
          </w:p>
        </w:tc>
      </w:tr>
      <w:tr>
        <w:tc>
          <w:tcPr>
            <w:tcW w:type="dxa" w:w="3600"/>
          </w:tcPr>
          <w:p>
            <w:pPr>
              <w:spacing w:after="0" w:before="0" w:line="240" w:lineRule="auto"/>
              <w:jc w:val="left"/>
            </w:pPr>
            <w:r>
              <w:t>Vendor approval</w:t>
            </w:r>
          </w:p>
        </w:tc>
        <w:tc>
          <w:tcPr>
            <w:tcW w:type="dxa" w:w="3600"/>
          </w:tcPr>
          <w:p>
            <w:pPr>
              <w:spacing w:after="0" w:before="0" w:line="240" w:lineRule="auto"/>
              <w:jc w:val="left"/>
            </w:pPr>
            <w:r>
              <w:t>Authorize the supplier under company rules</w:t>
            </w:r>
          </w:p>
        </w:tc>
        <w:tc>
          <w:tcPr>
            <w:tcW w:type="dxa" w:w="3600"/>
          </w:tcPr>
          <w:p>
            <w:pPr>
              <w:spacing w:after="0" w:before="0" w:line="240" w:lineRule="auto"/>
              <w:jc w:val="left"/>
            </w:pPr>
            <w:r>
              <w:t>Approved vendor record or list</w:t>
            </w:r>
          </w:p>
        </w:tc>
      </w:tr>
      <w:tr>
        <w:tc>
          <w:tcPr>
            <w:tcW w:type="dxa" w:w="3600"/>
          </w:tcPr>
          <w:p>
            <w:pPr>
              <w:spacing w:after="0" w:before="0" w:line="240" w:lineRule="auto"/>
              <w:jc w:val="left"/>
            </w:pPr>
            <w:r>
              <w:t>RFQ evaluation</w:t>
            </w:r>
          </w:p>
        </w:tc>
        <w:tc>
          <w:tcPr>
            <w:tcW w:type="dxa" w:w="3600"/>
          </w:tcPr>
          <w:p>
            <w:pPr>
              <w:spacing w:after="0" w:before="0" w:line="240" w:lineRule="auto"/>
              <w:jc w:val="left"/>
            </w:pPr>
            <w:r>
              <w:t>Compare specific offers for a requirement</w:t>
            </w:r>
          </w:p>
        </w:tc>
        <w:tc>
          <w:tcPr>
            <w:tcW w:type="dxa" w:w="3600"/>
          </w:tcPr>
          <w:p>
            <w:pPr>
              <w:spacing w:after="0" w:before="0" w:line="240" w:lineRule="auto"/>
              <w:jc w:val="left"/>
            </w:pPr>
            <w:r>
              <w:t>Technical and commercial evaluation</w:t>
            </w:r>
          </w:p>
        </w:tc>
      </w:tr>
      <w:tr>
        <w:tc>
          <w:tcPr>
            <w:tcW w:type="dxa" w:w="3600"/>
          </w:tcPr>
          <w:p>
            <w:pPr>
              <w:spacing w:after="0" w:before="0" w:line="240" w:lineRule="auto"/>
              <w:jc w:val="left"/>
            </w:pPr>
            <w:r>
              <w:t>Supplier selection</w:t>
            </w:r>
          </w:p>
        </w:tc>
        <w:tc>
          <w:tcPr>
            <w:tcW w:type="dxa" w:w="3600"/>
          </w:tcPr>
          <w:p>
            <w:pPr>
              <w:spacing w:after="0" w:before="0" w:line="240" w:lineRule="auto"/>
              <w:jc w:val="left"/>
            </w:pPr>
            <w:r>
              <w:t>Choose the supplier for a particular purchase</w:t>
            </w:r>
          </w:p>
        </w:tc>
        <w:tc>
          <w:tcPr>
            <w:tcW w:type="dxa" w:w="3600"/>
          </w:tcPr>
          <w:p>
            <w:pPr>
              <w:spacing w:after="0" w:before="0" w:line="240" w:lineRule="auto"/>
              <w:jc w:val="left"/>
            </w:pPr>
            <w:r>
              <w:t>Approved award recommendation</w:t>
            </w:r>
          </w:p>
        </w:tc>
      </w:tr>
      <w:tr>
        <w:tc>
          <w:tcPr>
            <w:tcW w:type="dxa" w:w="3600"/>
          </w:tcPr>
          <w:p>
            <w:pPr>
              <w:spacing w:after="0" w:before="0" w:line="240" w:lineRule="auto"/>
              <w:jc w:val="left"/>
            </w:pPr>
            <w:r>
              <w:t>Supplier performance review</w:t>
            </w:r>
          </w:p>
        </w:tc>
        <w:tc>
          <w:tcPr>
            <w:tcW w:type="dxa" w:w="3600"/>
          </w:tcPr>
          <w:p>
            <w:pPr>
              <w:spacing w:after="0" w:before="0" w:line="240" w:lineRule="auto"/>
              <w:jc w:val="left"/>
            </w:pPr>
            <w:r>
              <w:t>Assess actual delivery and quality results</w:t>
            </w:r>
          </w:p>
        </w:tc>
        <w:tc>
          <w:tcPr>
            <w:tcW w:type="dxa" w:w="3600"/>
          </w:tcPr>
          <w:p>
            <w:pPr>
              <w:spacing w:after="0" w:before="0" w:line="240" w:lineRule="auto"/>
              <w:jc w:val="left"/>
            </w:pPr>
            <w:r>
              <w:t>Performance record and improvement actions</w:t>
            </w:r>
          </w:p>
        </w:tc>
      </w:tr>
    </w:tbl>
    <w:p/>
    <w:p>
      <w:r>
        <w:t>A vendor may be approved for one category but not another. For example, approval to supply standard electrical components does not automatically qualify the same company to design and validate a safety-related control system.</w:t>
      </w:r>
    </w:p>
    <w:p>
      <w:pPr>
        <w:pStyle w:val="Heading2"/>
      </w:pPr>
      <w:r>
        <w:t>17. Vendor master data and procurement records</w:t>
      </w:r>
    </w:p>
    <w:p>
      <w:r>
        <w:t>A vendor register should contain accurate, controlled information that helps procurement and engineering teams work efficiently.</w:t>
      </w:r>
    </w:p>
    <w:p>
      <w:r>
        <w:t>Typical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Vendor ID</w:t>
            </w:r>
          </w:p>
        </w:tc>
        <w:tc>
          <w:tcPr>
            <w:tcW w:type="dxa" w:w="5400"/>
          </w:tcPr>
          <w:p>
            <w:pPr>
              <w:spacing w:after="0" w:before="0" w:line="240" w:lineRule="auto"/>
              <w:jc w:val="left"/>
            </w:pPr>
            <w:r>
              <w:t>Unique supplier identifier</w:t>
            </w:r>
          </w:p>
        </w:tc>
      </w:tr>
      <w:tr>
        <w:tc>
          <w:tcPr>
            <w:tcW w:type="dxa" w:w="5400"/>
          </w:tcPr>
          <w:p>
            <w:pPr>
              <w:spacing w:after="0" w:before="0" w:line="240" w:lineRule="auto"/>
              <w:jc w:val="left"/>
            </w:pPr>
            <w:r>
              <w:t>Legal name</w:t>
            </w:r>
          </w:p>
        </w:tc>
        <w:tc>
          <w:tcPr>
            <w:tcW w:type="dxa" w:w="5400"/>
          </w:tcPr>
          <w:p>
            <w:pPr>
              <w:spacing w:after="0" w:before="0" w:line="240" w:lineRule="auto"/>
              <w:jc w:val="left"/>
            </w:pPr>
            <w:r>
              <w:t>Official supplier identity</w:t>
            </w:r>
          </w:p>
        </w:tc>
      </w:tr>
      <w:tr>
        <w:tc>
          <w:tcPr>
            <w:tcW w:type="dxa" w:w="5400"/>
          </w:tcPr>
          <w:p>
            <w:pPr>
              <w:spacing w:after="0" w:before="0" w:line="240" w:lineRule="auto"/>
              <w:jc w:val="left"/>
            </w:pPr>
            <w:r>
              <w:t>Vendor category</w:t>
            </w:r>
          </w:p>
        </w:tc>
        <w:tc>
          <w:tcPr>
            <w:tcW w:type="dxa" w:w="5400"/>
          </w:tcPr>
          <w:p>
            <w:pPr>
              <w:spacing w:after="0" w:before="0" w:line="240" w:lineRule="auto"/>
              <w:jc w:val="left"/>
            </w:pPr>
            <w:r>
              <w:t>OEM, distributor, integrator, service provider, or other role</w:t>
            </w:r>
          </w:p>
        </w:tc>
      </w:tr>
      <w:tr>
        <w:tc>
          <w:tcPr>
            <w:tcW w:type="dxa" w:w="5400"/>
          </w:tcPr>
          <w:p>
            <w:pPr>
              <w:spacing w:after="0" w:before="0" w:line="240" w:lineRule="auto"/>
              <w:jc w:val="left"/>
            </w:pPr>
            <w:r>
              <w:t>Product or service scope</w:t>
            </w:r>
          </w:p>
        </w:tc>
        <w:tc>
          <w:tcPr>
            <w:tcW w:type="dxa" w:w="5400"/>
          </w:tcPr>
          <w:p>
            <w:pPr>
              <w:spacing w:after="0" w:before="0" w:line="240" w:lineRule="auto"/>
              <w:jc w:val="left"/>
            </w:pPr>
            <w:r>
              <w:t>Defines the categories the vendor can support</w:t>
            </w:r>
          </w:p>
        </w:tc>
      </w:tr>
      <w:tr>
        <w:tc>
          <w:tcPr>
            <w:tcW w:type="dxa" w:w="5400"/>
          </w:tcPr>
          <w:p>
            <w:pPr>
              <w:spacing w:after="0" w:before="0" w:line="240" w:lineRule="auto"/>
              <w:jc w:val="left"/>
            </w:pPr>
            <w:r>
              <w:t>Manufacturer authorization</w:t>
            </w:r>
          </w:p>
        </w:tc>
        <w:tc>
          <w:tcPr>
            <w:tcW w:type="dxa" w:w="5400"/>
          </w:tcPr>
          <w:p>
            <w:pPr>
              <w:spacing w:after="0" w:before="0" w:line="240" w:lineRule="auto"/>
              <w:jc w:val="left"/>
            </w:pPr>
            <w:r>
              <w:t>Records applicable authorization status</w:t>
            </w:r>
          </w:p>
        </w:tc>
      </w:tr>
      <w:tr>
        <w:tc>
          <w:tcPr>
            <w:tcW w:type="dxa" w:w="5400"/>
          </w:tcPr>
          <w:p>
            <w:pPr>
              <w:spacing w:after="0" w:before="0" w:line="240" w:lineRule="auto"/>
              <w:jc w:val="left"/>
            </w:pPr>
            <w:r>
              <w:t>Approved status</w:t>
            </w:r>
          </w:p>
        </w:tc>
        <w:tc>
          <w:tcPr>
            <w:tcW w:type="dxa" w:w="5400"/>
          </w:tcPr>
          <w:p>
            <w:pPr>
              <w:spacing w:after="0" w:before="0" w:line="240" w:lineRule="auto"/>
              <w:jc w:val="left"/>
            </w:pPr>
            <w:r>
              <w:t>Indicates qualification or approval state</w:t>
            </w:r>
          </w:p>
        </w:tc>
      </w:tr>
      <w:tr>
        <w:tc>
          <w:tcPr>
            <w:tcW w:type="dxa" w:w="5400"/>
          </w:tcPr>
          <w:p>
            <w:pPr>
              <w:spacing w:after="0" w:before="0" w:line="240" w:lineRule="auto"/>
              <w:jc w:val="left"/>
            </w:pPr>
            <w:r>
              <w:t>Technical contact</w:t>
            </w:r>
          </w:p>
        </w:tc>
        <w:tc>
          <w:tcPr>
            <w:tcW w:type="dxa" w:w="5400"/>
          </w:tcPr>
          <w:p>
            <w:pPr>
              <w:spacing w:after="0" w:before="0" w:line="240" w:lineRule="auto"/>
              <w:jc w:val="left"/>
            </w:pPr>
            <w:r>
              <w:t>Supports engineering clarification</w:t>
            </w:r>
          </w:p>
        </w:tc>
      </w:tr>
      <w:tr>
        <w:tc>
          <w:tcPr>
            <w:tcW w:type="dxa" w:w="5400"/>
          </w:tcPr>
          <w:p>
            <w:pPr>
              <w:spacing w:after="0" w:before="0" w:line="240" w:lineRule="auto"/>
              <w:jc w:val="left"/>
            </w:pPr>
            <w:r>
              <w:t>Commercial contact</w:t>
            </w:r>
          </w:p>
        </w:tc>
        <w:tc>
          <w:tcPr>
            <w:tcW w:type="dxa" w:w="5400"/>
          </w:tcPr>
          <w:p>
            <w:pPr>
              <w:spacing w:after="0" w:before="0" w:line="240" w:lineRule="auto"/>
              <w:jc w:val="left"/>
            </w:pPr>
            <w:r>
              <w:t>Supports quotation and order communication</w:t>
            </w:r>
          </w:p>
        </w:tc>
      </w:tr>
      <w:tr>
        <w:tc>
          <w:tcPr>
            <w:tcW w:type="dxa" w:w="5400"/>
          </w:tcPr>
          <w:p>
            <w:pPr>
              <w:spacing w:after="0" w:before="0" w:line="240" w:lineRule="auto"/>
              <w:jc w:val="left"/>
            </w:pPr>
            <w:r>
              <w:t>Service coverage</w:t>
            </w:r>
          </w:p>
        </w:tc>
        <w:tc>
          <w:tcPr>
            <w:tcW w:type="dxa" w:w="5400"/>
          </w:tcPr>
          <w:p>
            <w:pPr>
              <w:spacing w:after="0" w:before="0" w:line="240" w:lineRule="auto"/>
              <w:jc w:val="left"/>
            </w:pPr>
            <w:r>
              <w:t>Identifies supported regions or plants</w:t>
            </w:r>
          </w:p>
        </w:tc>
      </w:tr>
      <w:tr>
        <w:tc>
          <w:tcPr>
            <w:tcW w:type="dxa" w:w="5400"/>
          </w:tcPr>
          <w:p>
            <w:pPr>
              <w:spacing w:after="0" w:before="0" w:line="240" w:lineRule="auto"/>
              <w:jc w:val="left"/>
            </w:pPr>
            <w:r>
              <w:t>Qualification date</w:t>
            </w:r>
          </w:p>
        </w:tc>
        <w:tc>
          <w:tcPr>
            <w:tcW w:type="dxa" w:w="5400"/>
          </w:tcPr>
          <w:p>
            <w:pPr>
              <w:spacing w:after="0" w:before="0" w:line="240" w:lineRule="auto"/>
              <w:jc w:val="left"/>
            </w:pPr>
            <w:r>
              <w:t>Records the assessment date</w:t>
            </w:r>
          </w:p>
        </w:tc>
      </w:tr>
      <w:tr>
        <w:tc>
          <w:tcPr>
            <w:tcW w:type="dxa" w:w="5400"/>
          </w:tcPr>
          <w:p>
            <w:pPr>
              <w:spacing w:after="0" w:before="0" w:line="240" w:lineRule="auto"/>
              <w:jc w:val="left"/>
            </w:pPr>
            <w:r>
              <w:t>Review or expiry date</w:t>
            </w:r>
          </w:p>
        </w:tc>
        <w:tc>
          <w:tcPr>
            <w:tcW w:type="dxa" w:w="5400"/>
          </w:tcPr>
          <w:p>
            <w:pPr>
              <w:spacing w:after="0" w:before="0" w:line="240" w:lineRule="auto"/>
              <w:jc w:val="left"/>
            </w:pPr>
            <w:r>
              <w:t>Supports periodic reassessment</w:t>
            </w:r>
          </w:p>
        </w:tc>
      </w:tr>
      <w:tr>
        <w:tc>
          <w:tcPr>
            <w:tcW w:type="dxa" w:w="5400"/>
          </w:tcPr>
          <w:p>
            <w:pPr>
              <w:spacing w:after="0" w:before="0" w:line="240" w:lineRule="auto"/>
              <w:jc w:val="left"/>
            </w:pPr>
            <w:r>
              <w:t>Performance history</w:t>
            </w:r>
          </w:p>
        </w:tc>
        <w:tc>
          <w:tcPr>
            <w:tcW w:type="dxa" w:w="5400"/>
          </w:tcPr>
          <w:p>
            <w:pPr>
              <w:spacing w:after="0" w:before="0" w:line="240" w:lineRule="auto"/>
              <w:jc w:val="left"/>
            </w:pPr>
            <w:r>
              <w:t>Records delivery, quality, and service results</w:t>
            </w:r>
          </w:p>
        </w:tc>
      </w:tr>
      <w:tr>
        <w:tc>
          <w:tcPr>
            <w:tcW w:type="dxa" w:w="5400"/>
          </w:tcPr>
          <w:p>
            <w:pPr>
              <w:spacing w:after="0" w:before="0" w:line="240" w:lineRule="auto"/>
              <w:jc w:val="left"/>
            </w:pPr>
            <w:r>
              <w:t>Supporting documents</w:t>
            </w:r>
          </w:p>
        </w:tc>
        <w:tc>
          <w:tcPr>
            <w:tcW w:type="dxa" w:w="5400"/>
          </w:tcPr>
          <w:p>
            <w:pPr>
              <w:spacing w:after="0" w:before="0" w:line="240" w:lineRule="auto"/>
              <w:jc w:val="left"/>
            </w:pPr>
            <w:r>
              <w:t>Links to approved qualification evidence</w:t>
            </w:r>
          </w:p>
        </w:tc>
      </w:tr>
    </w:tbl>
    <w:p/>
    <w:p>
      <w:r>
        <w:t>In systems such as SAP, vendor master records and purchasing-related data may be maintained through different organizational structures and authorization controls. Follow the organization's configured workflow rather than assuming all vendor information is stored in one screen or table.</w:t>
      </w:r>
    </w:p>
    <w:p>
      <w:r>
        <w:t>Changes to legal identity, payment details, or other sensitive vendor information should be subject to appropriate verification and segregation of duties.</w:t>
      </w:r>
    </w:p>
    <w:p>
      <w:pPr>
        <w:pStyle w:val="Heading2"/>
      </w:pPr>
      <w:r>
        <w:t>18. Vendor identification for industrial services</w:t>
      </w:r>
    </w:p>
    <w:p>
      <w:r>
        <w:t>Service vendors need additional assessment because their performance depends on people, tools, access, and response capability.</w:t>
      </w:r>
    </w:p>
    <w:p>
      <w:r>
        <w:t>For PLC programming, CNC troubleshooting, robot maintenance, or machine commissioning, assess:</w:t>
      </w:r>
    </w:p>
    <w:p>
      <w:pPr>
        <w:pStyle w:val="ListBullet"/>
      </w:pPr>
      <w:r>
        <w:t>Experience with the exact controller or equipment family.</w:t>
      </w:r>
    </w:p>
    <w:p>
      <w:pPr>
        <w:pStyle w:val="ListBullet"/>
      </w:pPr>
      <w:r>
        <w:t>Knowledge of the relevant software and firmware.</w:t>
      </w:r>
    </w:p>
    <w:p>
      <w:pPr>
        <w:pStyle w:val="ListBullet"/>
      </w:pPr>
      <w:r>
        <w:t>Ability to work with existing programs and drawings.</w:t>
      </w:r>
    </w:p>
    <w:p>
      <w:pPr>
        <w:pStyle w:val="ListBullet"/>
      </w:pPr>
      <w:r>
        <w:t>Troubleshooting and diagnostic methodology.</w:t>
      </w:r>
    </w:p>
    <w:p>
      <w:pPr>
        <w:pStyle w:val="ListBullet"/>
      </w:pPr>
      <w:r>
        <w:t>Availability for planned shutdowns and breakdowns.</w:t>
      </w:r>
    </w:p>
    <w:p>
      <w:pPr>
        <w:pStyle w:val="ListBullet"/>
      </w:pPr>
      <w:r>
        <w:t>Travel and response arrangements.</w:t>
      </w:r>
    </w:p>
    <w:p>
      <w:pPr>
        <w:pStyle w:val="ListBullet"/>
      </w:pPr>
      <w:r>
        <w:t>Site safety competence.</w:t>
      </w:r>
    </w:p>
    <w:p>
      <w:pPr>
        <w:pStyle w:val="ListBullet"/>
      </w:pPr>
      <w:r>
        <w:t>Documentation and knowledge-transfer capability.</w:t>
      </w:r>
    </w:p>
    <w:p>
      <w:pPr>
        <w:pStyle w:val="ListBullet"/>
      </w:pPr>
      <w:r>
        <w:t>Backup, recovery, and cybersecurity practices.</w:t>
      </w:r>
    </w:p>
    <w:p>
      <w:pPr>
        <w:pStyle w:val="ListBullet"/>
      </w:pPr>
      <w:r>
        <w:t>Warranty or responsibility for the work performed.</w:t>
      </w:r>
    </w:p>
    <w:p>
      <w:r>
        <w:t>For critical services, define whether the vendor must provide remote support, on-site support, or both, and establish realistic response and restoration expectations.</w:t>
      </w:r>
    </w:p>
    <w:p>
      <w:r>
        <w:t>A promise to respond within two hours is not the same as a guarantee that the machine will be restored within two hours.</w:t>
      </w:r>
    </w:p>
    <w:p>
      <w:pPr>
        <w:pStyle w:val="Heading2"/>
      </w:pPr>
      <w:r>
        <w:t>19. Supplier performance after selection</w:t>
      </w:r>
    </w:p>
    <w:p>
      <w:r>
        <w:t>Vendor identification is not a one-time activity. Actual supplier performance should inform future sourcing decisions.</w:t>
      </w:r>
    </w:p>
    <w:p>
      <w:r>
        <w:t>Potential key performance indicators (KPIs)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On-time delivery</w:t>
            </w:r>
          </w:p>
        </w:tc>
        <w:tc>
          <w:tcPr>
            <w:tcW w:type="dxa" w:w="5400"/>
          </w:tcPr>
          <w:p>
            <w:pPr>
              <w:spacing w:after="0" w:before="0" w:line="240" w:lineRule="auto"/>
              <w:jc w:val="left"/>
            </w:pPr>
            <w:r>
              <w:t>Whether deliveries meet agreed dates</w:t>
            </w:r>
          </w:p>
        </w:tc>
      </w:tr>
      <w:tr>
        <w:tc>
          <w:tcPr>
            <w:tcW w:type="dxa" w:w="5400"/>
          </w:tcPr>
          <w:p>
            <w:pPr>
              <w:spacing w:after="0" w:before="0" w:line="240" w:lineRule="auto"/>
              <w:jc w:val="left"/>
            </w:pPr>
            <w:r>
              <w:t>Incoming quality acceptance</w:t>
            </w:r>
          </w:p>
        </w:tc>
        <w:tc>
          <w:tcPr>
            <w:tcW w:type="dxa" w:w="5400"/>
          </w:tcPr>
          <w:p>
            <w:pPr>
              <w:spacing w:after="0" w:before="0" w:line="240" w:lineRule="auto"/>
              <w:jc w:val="left"/>
            </w:pPr>
            <w:r>
              <w:t>Proportion of delivered items accepted under defined criteria</w:t>
            </w:r>
          </w:p>
        </w:tc>
      </w:tr>
      <w:tr>
        <w:tc>
          <w:tcPr>
            <w:tcW w:type="dxa" w:w="5400"/>
          </w:tcPr>
          <w:p>
            <w:pPr>
              <w:spacing w:after="0" w:before="0" w:line="240" w:lineRule="auto"/>
              <w:jc w:val="left"/>
            </w:pPr>
            <w:r>
              <w:t>Quotation response time</w:t>
            </w:r>
          </w:p>
        </w:tc>
        <w:tc>
          <w:tcPr>
            <w:tcW w:type="dxa" w:w="5400"/>
          </w:tcPr>
          <w:p>
            <w:pPr>
              <w:spacing w:after="0" w:before="0" w:line="240" w:lineRule="auto"/>
              <w:jc w:val="left"/>
            </w:pPr>
            <w:r>
              <w:t>Time taken to provide a complete quotation</w:t>
            </w:r>
          </w:p>
        </w:tc>
      </w:tr>
      <w:tr>
        <w:tc>
          <w:tcPr>
            <w:tcW w:type="dxa" w:w="5400"/>
          </w:tcPr>
          <w:p>
            <w:pPr>
              <w:spacing w:after="0" w:before="0" w:line="240" w:lineRule="auto"/>
              <w:jc w:val="left"/>
            </w:pPr>
            <w:r>
              <w:t>Technical response time</w:t>
            </w:r>
          </w:p>
        </w:tc>
        <w:tc>
          <w:tcPr>
            <w:tcW w:type="dxa" w:w="5400"/>
          </w:tcPr>
          <w:p>
            <w:pPr>
              <w:spacing w:after="0" w:before="0" w:line="240" w:lineRule="auto"/>
              <w:jc w:val="left"/>
            </w:pPr>
            <w:r>
              <w:t>Time taken to respond to technical issues</w:t>
            </w:r>
          </w:p>
        </w:tc>
      </w:tr>
      <w:tr>
        <w:tc>
          <w:tcPr>
            <w:tcW w:type="dxa" w:w="5400"/>
          </w:tcPr>
          <w:p>
            <w:pPr>
              <w:spacing w:after="0" w:before="0" w:line="240" w:lineRule="auto"/>
              <w:jc w:val="left"/>
            </w:pPr>
            <w:r>
              <w:t>Corrective-action closure</w:t>
            </w:r>
          </w:p>
        </w:tc>
        <w:tc>
          <w:tcPr>
            <w:tcW w:type="dxa" w:w="5400"/>
          </w:tcPr>
          <w:p>
            <w:pPr>
              <w:spacing w:after="0" w:before="0" w:line="240" w:lineRule="auto"/>
              <w:jc w:val="left"/>
            </w:pPr>
            <w:r>
              <w:t>Timeliness and effectiveness of corrective actions</w:t>
            </w:r>
          </w:p>
        </w:tc>
      </w:tr>
      <w:tr>
        <w:tc>
          <w:tcPr>
            <w:tcW w:type="dxa" w:w="5400"/>
          </w:tcPr>
          <w:p>
            <w:pPr>
              <w:spacing w:after="0" w:before="0" w:line="240" w:lineRule="auto"/>
              <w:jc w:val="left"/>
            </w:pPr>
            <w:r>
              <w:t>Warranty claim rate</w:t>
            </w:r>
          </w:p>
        </w:tc>
        <w:tc>
          <w:tcPr>
            <w:tcW w:type="dxa" w:w="5400"/>
          </w:tcPr>
          <w:p>
            <w:pPr>
              <w:spacing w:after="0" w:before="0" w:line="240" w:lineRule="auto"/>
              <w:jc w:val="left"/>
            </w:pPr>
            <w:r>
              <w:t>Frequency of qualifying warranty issues</w:t>
            </w:r>
          </w:p>
        </w:tc>
      </w:tr>
      <w:tr>
        <w:tc>
          <w:tcPr>
            <w:tcW w:type="dxa" w:w="5400"/>
          </w:tcPr>
          <w:p>
            <w:pPr>
              <w:spacing w:after="0" w:before="0" w:line="240" w:lineRule="auto"/>
              <w:jc w:val="left"/>
            </w:pPr>
            <w:r>
              <w:t>Service response compliance</w:t>
            </w:r>
          </w:p>
        </w:tc>
        <w:tc>
          <w:tcPr>
            <w:tcW w:type="dxa" w:w="5400"/>
          </w:tcPr>
          <w:p>
            <w:pPr>
              <w:spacing w:after="0" w:before="0" w:line="240" w:lineRule="auto"/>
              <w:jc w:val="left"/>
            </w:pPr>
            <w:r>
              <w:t>Performance against agreed service response commitments</w:t>
            </w:r>
          </w:p>
        </w:tc>
      </w:tr>
      <w:tr>
        <w:tc>
          <w:tcPr>
            <w:tcW w:type="dxa" w:w="5400"/>
          </w:tcPr>
          <w:p>
            <w:pPr>
              <w:spacing w:after="0" w:before="0" w:line="240" w:lineRule="auto"/>
              <w:jc w:val="left"/>
            </w:pPr>
            <w:r>
              <w:t>Documentation completeness</w:t>
            </w:r>
          </w:p>
        </w:tc>
        <w:tc>
          <w:tcPr>
            <w:tcW w:type="dxa" w:w="5400"/>
          </w:tcPr>
          <w:p>
            <w:pPr>
              <w:spacing w:after="0" w:before="0" w:line="240" w:lineRule="auto"/>
              <w:jc w:val="left"/>
            </w:pPr>
            <w:r>
              <w:t>Delivery of required documents and records</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Recurrence of relevant failures</w:t>
            </w:r>
          </w:p>
        </w:tc>
      </w:tr>
      <w:tr>
        <w:tc>
          <w:tcPr>
            <w:tcW w:type="dxa" w:w="5400"/>
          </w:tcPr>
          <w:p>
            <w:pPr>
              <w:spacing w:after="0" w:before="0" w:line="240" w:lineRule="auto"/>
              <w:jc w:val="left"/>
            </w:pPr>
            <w:r>
              <w:t>Cost variance</w:t>
            </w:r>
          </w:p>
        </w:tc>
        <w:tc>
          <w:tcPr>
            <w:tcW w:type="dxa" w:w="5400"/>
          </w:tcPr>
          <w:p>
            <w:pPr>
              <w:spacing w:after="0" w:before="0" w:line="240" w:lineRule="auto"/>
              <w:jc w:val="left"/>
            </w:pPr>
            <w:r>
              <w:t>Difference between agreed cost and applicable final cost</w:t>
            </w:r>
          </w:p>
        </w:tc>
      </w:tr>
    </w:tbl>
    <w:p/>
    <w:p>
      <w:r>
        <w:t>KPI definitions should be consistent. For example, on-time delivery needs a defined reference date and treatment of buyer-approved schedule changes.</w:t>
      </w:r>
    </w:p>
    <w:p>
      <w:r>
        <w:t>Poor performance should trigger an appropriate response, such as corrective action, increased inspection, conditional approval, suspension, or removal from an approved list according to company policy.</w:t>
      </w:r>
    </w:p>
    <w:p>
      <w:pPr>
        <w:pStyle w:val="Heading2"/>
      </w:pPr>
      <w:r>
        <w:t>20. Practical example: identifying vendors for an automation retrofit</w:t>
      </w:r>
    </w:p>
    <w:p>
      <w:r>
        <w:t>Assume a plant plans to retrofit an obsolete PLC-controlled machine.</w:t>
      </w:r>
    </w:p>
    <w:p>
      <w:pPr>
        <w:pStyle w:val="Heading3"/>
      </w:pPr>
      <w:r>
        <w:t>Step 1: Define the requirement</w:t>
      </w:r>
    </w:p>
    <w:p>
      <w:r>
        <w:t>Establish the existing controller, I/O configuration, connected equipment, required changes, production downtime window, and expected deliverables.</w:t>
      </w:r>
    </w:p>
    <w:p>
      <w:pPr>
        <w:pStyle w:val="Heading3"/>
      </w:pPr>
      <w:r>
        <w:t>Step 2: Identify potential supplier categories</w:t>
      </w:r>
    </w:p>
    <w:p>
      <w:r>
        <w:t>Search for:</w:t>
      </w:r>
    </w:p>
    <w:p>
      <w:pPr>
        <w:pStyle w:val="ListBullet"/>
      </w:pPr>
      <w:r>
        <w:t>The PLC manufacturer's authorized channel.</w:t>
      </w:r>
    </w:p>
    <w:p>
      <w:pPr>
        <w:pStyle w:val="ListBullet"/>
      </w:pPr>
      <w:r>
        <w:t>Qualified system integrators.</w:t>
      </w:r>
    </w:p>
    <w:p>
      <w:pPr>
        <w:pStyle w:val="ListBullet"/>
      </w:pPr>
      <w:r>
        <w:t>Panel builders, if electrical modifications are required.</w:t>
      </w:r>
    </w:p>
    <w:p>
      <w:pPr>
        <w:pStyle w:val="ListBullet"/>
      </w:pPr>
      <w:r>
        <w:t>Specialized CNC or drive service providers, if those systems are affected.</w:t>
      </w:r>
    </w:p>
    <w:p>
      <w:pPr>
        <w:pStyle w:val="Heading3"/>
      </w:pPr>
      <w:r>
        <w:t>Step 3: Check technical capability</w:t>
      </w:r>
    </w:p>
    <w:p>
      <w:r>
        <w:t>Confirm that potential integrators have experience with the existing controller family, migration target, HMI, drives, network interfaces, and relevant machine functions.</w:t>
      </w:r>
    </w:p>
    <w:p>
      <w:pPr>
        <w:pStyle w:val="Heading3"/>
      </w:pPr>
      <w:r>
        <w:t>Step 4: Assess delivery and support</w:t>
      </w:r>
    </w:p>
    <w:p>
      <w:r>
        <w:t>Verify engineering availability, site coverage, commissioning support, spare-part availability, and realistic project lead times.</w:t>
      </w:r>
    </w:p>
    <w:p>
      <w:pPr>
        <w:pStyle w:val="Heading3"/>
      </w:pPr>
      <w:r>
        <w:t>Step 5: Complete qualification</w:t>
      </w:r>
    </w:p>
    <w:p>
      <w:r>
        <w:t>Apply the required commercial, technical, quality, legal, and safety checks.</w:t>
      </w:r>
    </w:p>
    <w:p>
      <w:pPr>
        <w:pStyle w:val="Heading3"/>
      </w:pPr>
      <w:r>
        <w:t>Step 6: Prepare the shortlist</w:t>
      </w:r>
    </w:p>
    <w:p>
      <w:r>
        <w:t>Retain vendors that meet mandatory requirements and have sufficient evidence of relevant capability.</w:t>
      </w:r>
    </w:p>
    <w:p>
      <w:pPr>
        <w:pStyle w:val="Heading3"/>
      </w:pPr>
      <w:r>
        <w:t>Step 7: Issue the RFQ</w:t>
      </w:r>
    </w:p>
    <w:p>
      <w:r>
        <w:t>Send the same approved technical package and commercial instructions to the shortlisted vendors.</w:t>
      </w:r>
    </w:p>
    <w:p>
      <w:pPr>
        <w:pStyle w:val="Heading3"/>
      </w:pPr>
      <w:r>
        <w:t>Step 8: Record the outcome</w:t>
      </w:r>
    </w:p>
    <w:p>
      <w:r>
        <w:t>Document the shortlist rationale, qualification status, unresolved risks, and any restrictions on the vendor's approved scope.</w:t>
      </w:r>
    </w:p>
    <w:p>
      <w:r>
        <w:t>The result is a defensible sourcing process rather than an informal choice based on whichever supplier answers the phone first.</w:t>
      </w:r>
    </w:p>
    <w:p>
      <w:pPr>
        <w:pStyle w:val="Heading2"/>
      </w:pPr>
      <w:r>
        <w:t>21. Common mistakes in vendor identification</w:t>
      </w:r>
    </w:p>
    <w:p>
      <w:pPr>
        <w:pStyle w:val="ListBullet"/>
      </w:pPr>
      <w:r>
        <w:t>Searching only by product name without understanding the application.</w:t>
      </w:r>
    </w:p>
    <w:p>
      <w:pPr>
        <w:pStyle w:val="ListBullet"/>
      </w:pPr>
      <w:r>
        <w:t>Treating every reseller as an authorized distributor.</w:t>
      </w:r>
    </w:p>
    <w:p>
      <w:pPr>
        <w:pStyle w:val="ListBullet"/>
      </w:pPr>
      <w:r>
        <w:t>Assuming a vendor's experience with one product family proves capability across all product families.</w:t>
      </w:r>
    </w:p>
    <w:p>
      <w:pPr>
        <w:pStyle w:val="ListBullet"/>
      </w:pPr>
      <w:r>
        <w:t>Selecting vendors using price before establishing technical suitability.</w:t>
      </w:r>
    </w:p>
    <w:p>
      <w:pPr>
        <w:pStyle w:val="ListBullet"/>
      </w:pPr>
      <w:r>
        <w:t>Failing to check service coverage and support response capability.</w:t>
      </w:r>
    </w:p>
    <w:p>
      <w:pPr>
        <w:pStyle w:val="ListBullet"/>
      </w:pPr>
      <w:r>
        <w:t>Ignoring product obsolescence and lifecycle status.</w:t>
      </w:r>
    </w:p>
    <w:p>
      <w:pPr>
        <w:pStyle w:val="ListBullet"/>
      </w:pPr>
      <w:r>
        <w:t>Accepting certificates without checking their validity and scope.</w:t>
      </w:r>
    </w:p>
    <w:p>
      <w:pPr>
        <w:pStyle w:val="ListBullet"/>
      </w:pPr>
      <w:r>
        <w:t>Relying entirely on supplier-provided references without verification.</w:t>
      </w:r>
    </w:p>
    <w:p>
      <w:pPr>
        <w:pStyle w:val="ListBullet"/>
      </w:pPr>
      <w:r>
        <w:t>Treating historical approval as proof of current suitability.</w:t>
      </w:r>
    </w:p>
    <w:p>
      <w:pPr>
        <w:pStyle w:val="ListBullet"/>
      </w:pPr>
      <w:r>
        <w:t>Failing to document why a vendor was shortlisted or rejected.</w:t>
      </w:r>
    </w:p>
    <w:p>
      <w:pPr>
        <w:pStyle w:val="ListBullet"/>
      </w:pPr>
      <w:r>
        <w:t>Collecting excessive paperwork that does not affect the risk or decision.</w:t>
      </w:r>
    </w:p>
    <w:p>
      <w:pPr>
        <w:pStyle w:val="ListBullet"/>
      </w:pPr>
      <w:r>
        <w:t>Allowing informal vendor recommendations to bypass procurement controls.</w:t>
      </w:r>
    </w:p>
    <w:p>
      <w:pPr>
        <w:pStyle w:val="ListBullet"/>
      </w:pPr>
      <w:r>
        <w:t>Ignoring conflicts of interest or supplier relationship risks.</w:t>
      </w:r>
    </w:p>
    <w:p>
      <w:pPr>
        <w:pStyle w:val="ListBullet"/>
      </w:pPr>
      <w:r>
        <w:t>Failing to review vendor performance after delivery.</w:t>
      </w:r>
    </w:p>
    <w:p>
      <w:pPr>
        <w:pStyle w:val="Heading2"/>
      </w:pPr>
      <w:r>
        <w:t>22. Vendor identification checklist</w:t>
      </w:r>
    </w:p>
    <w:p>
      <w:pPr>
        <w:pStyle w:val="ListBullet"/>
      </w:pPr>
      <w:r>
        <w:t>The requirement and vendor category are clearly defined.</w:t>
      </w:r>
    </w:p>
    <w:p>
      <w:pPr>
        <w:pStyle w:val="ListBullet"/>
      </w:pPr>
      <w:r>
        <w:t>Existing plant records and approved supplier lists have been checked.</w:t>
      </w:r>
    </w:p>
    <w:p>
      <w:pPr>
        <w:pStyle w:val="ListBullet"/>
      </w:pPr>
      <w:r>
        <w:t>Potential vendors have been identified through traceable channels.</w:t>
      </w:r>
    </w:p>
    <w:p>
      <w:pPr>
        <w:pStyle w:val="ListBullet"/>
      </w:pPr>
      <w:r>
        <w:t>Manufacturer authorization has been verified where required.</w:t>
      </w:r>
    </w:p>
    <w:p>
      <w:pPr>
        <w:pStyle w:val="ListBullet"/>
      </w:pPr>
      <w:r>
        <w:t>Technical capability and installed-base compatibility have been assessed.</w:t>
      </w:r>
    </w:p>
    <w:p>
      <w:pPr>
        <w:pStyle w:val="ListBullet"/>
      </w:pPr>
      <w:r>
        <w:t>Quality, legal, and commercial qualification requirements have been addressed.</w:t>
      </w:r>
    </w:p>
    <w:p>
      <w:pPr>
        <w:pStyle w:val="ListBullet"/>
      </w:pPr>
      <w:r>
        <w:t>Delivery capability and service coverage have been checked.</w:t>
      </w:r>
    </w:p>
    <w:p>
      <w:pPr>
        <w:pStyle w:val="ListBullet"/>
      </w:pPr>
      <w:r>
        <w:t>Lifecycle, obsolescence, and supply-chain risks have been considered.</w:t>
      </w:r>
    </w:p>
    <w:p>
      <w:pPr>
        <w:pStyle w:val="ListBullet"/>
      </w:pPr>
      <w:r>
        <w:t>Mandatory requirements have been separated from preferred capabilities.</w:t>
      </w:r>
    </w:p>
    <w:p>
      <w:pPr>
        <w:pStyle w:val="ListBullet"/>
      </w:pPr>
      <w:r>
        <w:t>Vendor scoring uses documented criteria where applicable.</w:t>
      </w:r>
    </w:p>
    <w:p>
      <w:pPr>
        <w:pStyle w:val="ListBullet"/>
      </w:pPr>
      <w:r>
        <w:t>Conflicts of interest and relevant procurement controls have been addressed.</w:t>
      </w:r>
    </w:p>
    <w:p>
      <w:pPr>
        <w:pStyle w:val="ListBullet"/>
      </w:pPr>
      <w:r>
        <w:t>Qualification evidence and assessment decisions have been recorded.</w:t>
      </w:r>
    </w:p>
    <w:p>
      <w:pPr>
        <w:pStyle w:val="ListBullet"/>
      </w:pPr>
      <w:r>
        <w:t>The shortlist is appropriate for the RFQ scope.</w:t>
      </w:r>
    </w:p>
    <w:p>
      <w:pPr>
        <w:pStyle w:val="ListBullet"/>
      </w:pPr>
      <w:r>
        <w:t>Vendor master data is accurate and controlled.</w:t>
      </w:r>
    </w:p>
    <w:p>
      <w:pPr>
        <w:pStyle w:val="ListBullet"/>
      </w:pPr>
      <w:r>
        <w:t>Future performance reviews are defined where appropriate.</w:t>
      </w:r>
    </w:p>
    <w:p>
      <w:pPr>
        <w:pStyle w:val="Heading2"/>
      </w:pPr>
      <w:r>
        <w:t>23. Interview questions and answers</w:t>
      </w:r>
    </w:p>
    <w:p>
      <w:r>
        <w:t>Q1. What is vendor identification?</w:t>
      </w:r>
    </w:p>
    <w:p>
      <w:r>
        <w:t>It is the process of discovering and documenting potential suppliers capable of meeting a defined technical, commercial, quality, delivery, and service requirement.</w:t>
      </w:r>
    </w:p>
    <w:p>
      <w:r>
        <w:t>Q2. What is the difference between vendor identification and vendor qualification?</w:t>
      </w:r>
    </w:p>
    <w:p>
      <w:r>
        <w:t>Identification finds potential suppliers. Qualification formally assesses whether those suppliers meet the organization's eligibility and capability requirements.</w:t>
      </w:r>
    </w:p>
    <w:p>
      <w:r>
        <w:t>Q3. What is an approved vendor list?</w:t>
      </w:r>
    </w:p>
    <w:p>
      <w:r>
        <w:t>It is a controlled list of suppliers authorized for specified purchasing categories or scopes under the organization's approval process.</w:t>
      </w:r>
    </w:p>
    <w:p>
      <w:r>
        <w:t>Q4. Why is OEM authorization important?</w:t>
      </w:r>
    </w:p>
    <w:p>
      <w:r>
        <w:t>It can support product authenticity, traceability, warranty coverage, technical support, and access to legitimate products and documentation.</w:t>
      </w:r>
    </w:p>
    <w:p>
      <w:r>
        <w:t>Q5. Should the lowest-priced vendor always be selected?</w:t>
      </w:r>
    </w:p>
    <w:p>
      <w:r>
        <w:t>No. The supplier must first meet mandatory requirements, and the decision should consider total cost, quality, delivery, technical suitability, risk, and support.</w:t>
      </w:r>
    </w:p>
    <w:p>
      <w:r>
        <w:t>Q6. What is a vendor capability matrix?</w:t>
      </w:r>
    </w:p>
    <w:p>
      <w:r>
        <w:t>It compares vendors across defined capabilities, such as product supply, programming, panel building, retrofit experience, and on-site service.</w:t>
      </w:r>
    </w:p>
    <w:p>
      <w:r>
        <w:t>Q7. Why is vendor identification important for obsolete automation systems?</w:t>
      </w:r>
    </w:p>
    <w:p>
      <w:r>
        <w:t>Because compatibility, lifecycle status, authenticity, repair capability, migration risk, and future support can be more important than the initial component price.</w:t>
      </w:r>
    </w:p>
    <w:p>
      <w:r>
        <w:t>Q8. What is supplier prequalification?</w:t>
      </w:r>
    </w:p>
    <w:p>
      <w:r>
        <w:t>It is an initial assessment used to determine whether a supplier meets the criteria required to participate in a procurement process.</w:t>
      </w:r>
    </w:p>
    <w:p>
      <w:r>
        <w:t>Q9. How can vendor risk be reduced?</w:t>
      </w:r>
    </w:p>
    <w:p>
      <w:r>
        <w:t>Use appropriate qualification, verified authorization, documented technical requirements, performance monitoring, lifecycle planning, and alternative sourcing where feasible.</w:t>
      </w:r>
    </w:p>
    <w:p>
      <w:r>
        <w:t>Q10. Why should vendor performance be tracked after purchase?</w:t>
      </w:r>
    </w:p>
    <w:p>
      <w:r>
        <w:t>Actual delivery, quality, service, and warranty performance provide evidence for future qualification and sourcing decisions.</w:t>
      </w:r>
    </w:p>
    <w:p>
      <w:r>
        <w:t>Q11. Can one vendor be approved for all procurement categories?</w:t>
      </w:r>
    </w:p>
    <w:p>
      <w:r>
        <w:t>Not necessarily. Approval may be restricted to specific product families, service types, plants, or risk categories.</w:t>
      </w:r>
    </w:p>
    <w:p>
      <w:r>
        <w:t>Q12. What makes vendor selection auditable?</w:t>
      </w:r>
    </w:p>
    <w:p>
      <w:r>
        <w:t>Traceable requirements, documented screening criteria, verified evidence, recorded evaluation results, authorized approvals, and controlled supplier records.</w:t>
      </w:r>
    </w:p>
    <w:p>
      <w:pPr>
        <w:pStyle w:val="Heading2"/>
      </w:pPr>
      <w:r>
        <w:t>24. Key principles</w:t>
      </w:r>
    </w:p>
    <w:p>
      <w:r>
        <w:t>Effective vendor identification combines engineering judgment with controlled procurement practices.</w:t>
      </w:r>
    </w:p>
    <w:p>
      <w:r>
        <w:t>The essential principles are:</w:t>
      </w:r>
    </w:p>
    <w:p>
      <w:pPr>
        <w:tabs>
          <w:tab w:pos="403" w:val="left"/>
        </w:tabs>
        <w:spacing w:after="40" w:line="276" w:lineRule="auto"/>
        <w:ind w:left="403" w:hanging="403"/>
        <w:jc w:val="left"/>
      </w:pPr>
      <w:r>
        <w:rPr>
          <w:color w:val="1A2E4A"/>
        </w:rPr>
        <w:t>1.</w:t>
        <w:tab/>
      </w:r>
      <w:r>
        <w:t>Requirement first: Define the actual product or service needed before searching.</w:t>
      </w:r>
    </w:p>
    <w:p>
      <w:pPr>
        <w:tabs>
          <w:tab w:pos="403" w:val="left"/>
        </w:tabs>
        <w:spacing w:after="40" w:line="276" w:lineRule="auto"/>
        <w:ind w:left="403" w:hanging="403"/>
        <w:jc w:val="left"/>
      </w:pPr>
      <w:r>
        <w:rPr>
          <w:color w:val="1A2E4A"/>
        </w:rPr>
        <w:t>2.</w:t>
        <w:tab/>
      </w:r>
      <w:r>
        <w:t>Evidence over claims: Verify technical capability, authorization, quality, and references.</w:t>
      </w:r>
    </w:p>
    <w:p>
      <w:pPr>
        <w:tabs>
          <w:tab w:pos="403" w:val="left"/>
        </w:tabs>
        <w:spacing w:after="40" w:line="276" w:lineRule="auto"/>
        <w:ind w:left="403" w:hanging="403"/>
        <w:jc w:val="left"/>
      </w:pPr>
      <w:r>
        <w:rPr>
          <w:color w:val="1A2E4A"/>
        </w:rPr>
        <w:t>3.</w:t>
        <w:tab/>
      </w:r>
      <w:r>
        <w:t>Risk-based qualification: Apply checks proportionate to purchase value and criticality.</w:t>
      </w:r>
    </w:p>
    <w:p>
      <w:pPr>
        <w:tabs>
          <w:tab w:pos="403" w:val="left"/>
        </w:tabs>
        <w:spacing w:after="40" w:line="276" w:lineRule="auto"/>
        <w:ind w:left="403" w:hanging="403"/>
        <w:jc w:val="left"/>
      </w:pPr>
      <w:r>
        <w:rPr>
          <w:color w:val="1A2E4A"/>
        </w:rPr>
        <w:t>4.</w:t>
        <w:tab/>
      </w:r>
      <w:r>
        <w:t>Compatibility: Evaluate the installed base, interfaces, lifecycle, and support requirements.</w:t>
      </w:r>
    </w:p>
    <w:p>
      <w:pPr>
        <w:tabs>
          <w:tab w:pos="403" w:val="left"/>
        </w:tabs>
        <w:spacing w:after="40" w:line="276" w:lineRule="auto"/>
        <w:ind w:left="403" w:hanging="403"/>
        <w:jc w:val="left"/>
      </w:pPr>
      <w:r>
        <w:rPr>
          <w:color w:val="1A2E4A"/>
        </w:rPr>
        <w:t>5.</w:t>
        <w:tab/>
      </w:r>
      <w:r>
        <w:t>Traceability: Record the basis for shortlisting, qualification, and rejection.</w:t>
      </w:r>
    </w:p>
    <w:p>
      <w:pPr>
        <w:tabs>
          <w:tab w:pos="403" w:val="left"/>
        </w:tabs>
        <w:spacing w:after="40" w:line="276" w:lineRule="auto"/>
        <w:ind w:left="403" w:hanging="403"/>
        <w:jc w:val="left"/>
      </w:pPr>
      <w:r>
        <w:rPr>
          <w:color w:val="1A2E4A"/>
        </w:rPr>
        <w:t>6.</w:t>
        <w:tab/>
      </w:r>
      <w:r>
        <w:t>Continuous evaluation: Use actual supplier performance to inform future procurement.</w:t>
      </w:r>
    </w:p>
    <w:p>
      <w:r>
        <w:t>For industrial automation, the objective is not merely to build a list of companies. It is to establish a reliable pool of suppliers whose capabilities are understood, whose risks are documented, and whose suitability matches the specific equipment or service being purchased.</w:t>
      </w:r>
    </w:p>
    <w:p>
      <w:pPr>
        <w:pStyle w:val="Heading2"/>
      </w:pPr>
      <w:r>
        <w:t>NEXT TOPIC</w:t>
      </w:r>
    </w:p>
    <w:p>
      <w:r>
        <w:rPr>
          <w:rFonts w:ascii="Consolas" w:hAnsi="Consolas"/>
          <w:color w:val="333333"/>
          <w:sz w:val="19"/>
          <w:shd w:val="clear" w:color="auto" w:fill="EFEFEF"/>
        </w:rPr>
        <w:t>02_PLAN_WISE_2026\02_INDUSTRY3_0\07_Lifecycle\03_Procurement\03_Tech_Commercial_Spec - Technical &amp; Commercial specification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02_PLAN_WISE_2026\02_INDUSTRY3_0\07_Lifecycle\03_Procurement\02_Vendor_Identification - Vendor identification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