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02_PLAN_WISE_2026\02_INDUSTRY3_0\07_Lifecycle\03_Procurement\03_Tech_Commercial_Spec - Technical &amp; Commercial specification</w:t>
      </w:r>
    </w:p>
    <w:p>
      <w:pPr>
        <w:pStyle w:val="Heading2"/>
      </w:pPr>
      <w:r>
        <w:t>1. What is a technical and commercial specification?</w:t>
      </w:r>
    </w:p>
    <w:p>
      <w:r>
        <w:t>A technical and commercial specification is a structured set of requirements that defines what an organization intends to purchase, the conditions the supplier must satisfy, and the commercial basis on which the purchase will be offered and delivered.</w:t>
      </w:r>
    </w:p>
    <w:p>
      <w:r>
        <w:t>In industrial automation, it establishes a common basis for suppliers to quote comparable equipment, engineering services, installation, commissioning, retrofits, and maintenance-related work.</w:t>
      </w:r>
    </w:p>
    <w:p>
      <w:r>
        <w:t>The two main parts serve different purposes:</w:t>
      </w:r>
    </w:p>
    <w:p>
      <w:pPr>
        <w:pStyle w:val="ListBullet"/>
      </w:pPr>
      <w:r>
        <w:t>Technical specification: Defines what the equipment or service must do, its performance, interfaces, construction, safety, quality, testing, and documentation requirements.</w:t>
      </w:r>
    </w:p>
    <w:p>
      <w:pPr>
        <w:pStyle w:val="ListBullet"/>
      </w:pPr>
      <w:r>
        <w:t>Commercial specification: Defines the price structure, delivery terms, payment conditions, warranty, taxes, validity, contractual responsibilities, and other purchasing conditions.</w:t>
      </w:r>
    </w:p>
    <w:p>
      <w:r>
        <w:t>A technically complete document without commercial clarity can lead to cost disputes. A commercially attractive offer without a technically complete specification can lead to unsuitable equipment, unplanned modifications, or production problems.</w:t>
      </w:r>
    </w:p>
    <w:p>
      <w:r>
        <w:t>The purpose is to make the required scope clear before suppliers submit their bids.</w:t>
      </w:r>
    </w:p>
    <w:p>
      <w:pPr>
        <w:pStyle w:val="Heading2"/>
      </w:pPr>
      <w:r>
        <w:t>2. Why specifications are important</w:t>
      </w:r>
    </w:p>
    <w:p>
      <w:r>
        <w:t>A properly prepared specification helps to:</w:t>
      </w:r>
    </w:p>
    <w:p>
      <w:pPr>
        <w:pStyle w:val="ListBullet"/>
      </w:pPr>
      <w:r>
        <w:t>Ensure all vendors quote against the same scope.</w:t>
      </w:r>
    </w:p>
    <w:p>
      <w:pPr>
        <w:pStyle w:val="ListBullet"/>
      </w:pPr>
      <w:r>
        <w:t>Prevent omissions and assumptions.</w:t>
      </w:r>
    </w:p>
    <w:p>
      <w:pPr>
        <w:pStyle w:val="ListBullet"/>
      </w:pPr>
      <w:r>
        <w:t>Define minimum acceptable technical performance.</w:t>
      </w:r>
    </w:p>
    <w:p>
      <w:pPr>
        <w:pStyle w:val="ListBullet"/>
      </w:pPr>
      <w:r>
        <w:t>Establish compatibility with existing plant equipment.</w:t>
      </w:r>
    </w:p>
    <w:p>
      <w:pPr>
        <w:pStyle w:val="ListBullet"/>
      </w:pPr>
      <w:r>
        <w:t>Identify mandatory standards and safety requirements.</w:t>
      </w:r>
    </w:p>
    <w:p>
      <w:pPr>
        <w:pStyle w:val="ListBullet"/>
      </w:pPr>
      <w:r>
        <w:t>Make supplier quotations easier to compare.</w:t>
      </w:r>
    </w:p>
    <w:p>
      <w:pPr>
        <w:pStyle w:val="ListBullet"/>
      </w:pPr>
      <w:r>
        <w:t>Reduce variation orders and disputes.</w:t>
      </w:r>
    </w:p>
    <w:p>
      <w:pPr>
        <w:pStyle w:val="ListBullet"/>
      </w:pPr>
      <w:r>
        <w:t>Control project cost and schedule.</w:t>
      </w:r>
    </w:p>
    <w:p>
      <w:pPr>
        <w:pStyle w:val="ListBullet"/>
      </w:pPr>
      <w:r>
        <w:t>Define acceptance criteria before delivery.</w:t>
      </w:r>
    </w:p>
    <w:p>
      <w:pPr>
        <w:pStyle w:val="ListBullet"/>
      </w:pPr>
      <w:r>
        <w:t>Establish the required documentation and handover package.</w:t>
      </w:r>
    </w:p>
    <w:p>
      <w:pPr>
        <w:pStyle w:val="ListBullet"/>
      </w:pPr>
      <w:r>
        <w:t>Protect long-term maintainability and spare-parts availability.</w:t>
      </w:r>
    </w:p>
    <w:p>
      <w:r>
        <w:t>The most important principle is that requirements should be measurable, testable, and unambiguous wherever possible.</w:t>
      </w:r>
    </w:p>
    <w:p>
      <w:r>
        <w:t>For example, "the PLC should be fast" is not a useful specification. A defined maximum response time, scan-time requirement, or end-to-end signal response requirement is much more useful when the application genuinely requires it.</w:t>
      </w:r>
    </w:p>
    <w:p>
      <w:pPr>
        <w:pStyle w:val="Heading2"/>
      </w:pPr>
      <w:r>
        <w:t>3. Position in the procurement lifecycle</w:t>
      </w:r>
    </w:p>
    <w:p>
      <w:pPr>
        <w:shd w:val="clear" w:color="auto" w:fill="F4F4F4"/>
        <w:spacing w:before="0" w:after="0" w:line="240" w:lineRule="auto"/>
        <w:ind w:left="216" w:right="216"/>
        <w:jc w:val="left"/>
      </w:pPr>
      <w:r>
        <w:rPr>
          <w:rFonts w:ascii="Consolas" w:hAnsi="Consolas"/>
          <w:color w:val="202020"/>
          <w:sz w:val="18"/>
        </w:rPr>
        <w:t>Requirement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Package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RFQ to Vendors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Technical and Commercial Bids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Clarifications and Negotiations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Selection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 Contract</w:t>
      </w:r>
    </w:p>
    <w:p/>
    <w:p>
      <w:r>
        <w:t>Technical and commercial specifications are often combined into one RFQ package, but they should remain logically distinct so that engineering requirements are not confused with pricing or contractual conditions.</w:t>
      </w:r>
    </w:p>
    <w:p>
      <w:pPr>
        <w:pStyle w:val="Heading2"/>
      </w:pPr>
      <w:r>
        <w:t>4. Technical specification versus commercial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Technical specification</w:t>
            </w:r>
          </w:p>
        </w:tc>
        <w:tc>
          <w:tcPr>
            <w:tcW w:type="dxa" w:w="3600"/>
            <w:shd w:val="clear" w:color="auto" w:fill="EEF2F7"/>
          </w:tcPr>
          <w:p>
            <w:pPr>
              <w:spacing w:after="0" w:before="0" w:line="240" w:lineRule="auto"/>
              <w:jc w:val="left"/>
            </w:pPr>
            <w:r>
              <w:rPr>
                <w:b/>
                <w:color w:val="1A2E4A"/>
              </w:rPr>
              <w:t>Commercial specification</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Define required technical solution and performance</w:t>
            </w:r>
          </w:p>
        </w:tc>
        <w:tc>
          <w:tcPr>
            <w:tcW w:type="dxa" w:w="3600"/>
          </w:tcPr>
          <w:p>
            <w:pPr>
              <w:spacing w:after="0" w:before="0" w:line="240" w:lineRule="auto"/>
              <w:jc w:val="left"/>
            </w:pPr>
            <w:r>
              <w:t>Define purchasing and contractual conditions</w:t>
            </w:r>
          </w:p>
        </w:tc>
      </w:tr>
      <w:tr>
        <w:tc>
          <w:tcPr>
            <w:tcW w:type="dxa" w:w="3600"/>
          </w:tcPr>
          <w:p>
            <w:pPr>
              <w:spacing w:after="0" w:before="0" w:line="240" w:lineRule="auto"/>
              <w:jc w:val="left"/>
            </w:pPr>
            <w:r>
              <w:t>Scope</w:t>
            </w:r>
          </w:p>
        </w:tc>
        <w:tc>
          <w:tcPr>
            <w:tcW w:type="dxa" w:w="3600"/>
          </w:tcPr>
          <w:p>
            <w:pPr>
              <w:spacing w:after="0" w:before="0" w:line="240" w:lineRule="auto"/>
              <w:jc w:val="left"/>
            </w:pPr>
            <w:r>
              <w:t>Hardware, software, interfaces, performance, safety</w:t>
            </w:r>
          </w:p>
        </w:tc>
        <w:tc>
          <w:tcPr>
            <w:tcW w:type="dxa" w:w="3600"/>
          </w:tcPr>
          <w:p>
            <w:pPr>
              <w:spacing w:after="0" w:before="0" w:line="240" w:lineRule="auto"/>
              <w:jc w:val="left"/>
            </w:pPr>
            <w:r>
              <w:t>Price, delivery, payment, warranty, taxes</w:t>
            </w:r>
          </w:p>
        </w:tc>
      </w:tr>
      <w:tr>
        <w:tc>
          <w:tcPr>
            <w:tcW w:type="dxa" w:w="3600"/>
          </w:tcPr>
          <w:p>
            <w:pPr>
              <w:spacing w:after="0" w:before="0" w:line="240" w:lineRule="auto"/>
              <w:jc w:val="left"/>
            </w:pPr>
            <w:r>
              <w:t>Prepared mainly by</w:t>
            </w:r>
          </w:p>
        </w:tc>
        <w:tc>
          <w:tcPr>
            <w:tcW w:type="dxa" w:w="3600"/>
          </w:tcPr>
          <w:p>
            <w:pPr>
              <w:spacing w:after="0" w:before="0" w:line="240" w:lineRule="auto"/>
              <w:jc w:val="left"/>
            </w:pPr>
            <w:r>
              <w:t>Engineering, maintenance, automation, quality, safety</w:t>
            </w:r>
          </w:p>
        </w:tc>
        <w:tc>
          <w:tcPr>
            <w:tcW w:type="dxa" w:w="3600"/>
          </w:tcPr>
          <w:p>
            <w:pPr>
              <w:spacing w:after="0" w:before="0" w:line="240" w:lineRule="auto"/>
              <w:jc w:val="left"/>
            </w:pPr>
            <w:r>
              <w:t>Procurement, finance, legal, project management</w:t>
            </w:r>
          </w:p>
        </w:tc>
      </w:tr>
      <w:tr>
        <w:tc>
          <w:tcPr>
            <w:tcW w:type="dxa" w:w="3600"/>
          </w:tcPr>
          <w:p>
            <w:pPr>
              <w:spacing w:after="0" w:before="0" w:line="240" w:lineRule="auto"/>
              <w:jc w:val="left"/>
            </w:pPr>
            <w:r>
              <w:t>Typical evidence</w:t>
            </w:r>
          </w:p>
        </w:tc>
        <w:tc>
          <w:tcPr>
            <w:tcW w:type="dxa" w:w="3600"/>
          </w:tcPr>
          <w:p>
            <w:pPr>
              <w:spacing w:after="0" w:before="0" w:line="240" w:lineRule="auto"/>
              <w:jc w:val="left"/>
            </w:pPr>
            <w:r>
              <w:t>Drawings, datasheets, compliance matrix, test plans</w:t>
            </w:r>
          </w:p>
        </w:tc>
        <w:tc>
          <w:tcPr>
            <w:tcW w:type="dxa" w:w="3600"/>
          </w:tcPr>
          <w:p>
            <w:pPr>
              <w:spacing w:after="0" w:before="0" w:line="240" w:lineRule="auto"/>
              <w:jc w:val="left"/>
            </w:pPr>
            <w:r>
              <w:t>Price schedules, delivery commitments, commercial terms</w:t>
            </w:r>
          </w:p>
        </w:tc>
      </w:tr>
      <w:tr>
        <w:tc>
          <w:tcPr>
            <w:tcW w:type="dxa" w:w="3600"/>
          </w:tcPr>
          <w:p>
            <w:pPr>
              <w:spacing w:after="0" w:before="0" w:line="240" w:lineRule="auto"/>
              <w:jc w:val="left"/>
            </w:pPr>
            <w:r>
              <w:t>Evaluation focus</w:t>
            </w:r>
          </w:p>
        </w:tc>
        <w:tc>
          <w:tcPr>
            <w:tcW w:type="dxa" w:w="3600"/>
          </w:tcPr>
          <w:p>
            <w:pPr>
              <w:spacing w:after="0" w:before="0" w:line="240" w:lineRule="auto"/>
              <w:jc w:val="left"/>
            </w:pPr>
            <w:r>
              <w:t>Compliance, suitability, technical risk</w:t>
            </w:r>
          </w:p>
        </w:tc>
        <w:tc>
          <w:tcPr>
            <w:tcW w:type="dxa" w:w="3600"/>
          </w:tcPr>
          <w:p>
            <w:pPr>
              <w:spacing w:after="0" w:before="0" w:line="240" w:lineRule="auto"/>
              <w:jc w:val="left"/>
            </w:pPr>
            <w:r>
              <w:t>Total cost, commercial risk, contractual acceptability</w:t>
            </w:r>
          </w:p>
        </w:tc>
      </w:tr>
      <w:tr>
        <w:tc>
          <w:tcPr>
            <w:tcW w:type="dxa" w:w="3600"/>
          </w:tcPr>
          <w:p>
            <w:pPr>
              <w:spacing w:after="0" w:before="0" w:line="240" w:lineRule="auto"/>
              <w:jc w:val="left"/>
            </w:pPr>
            <w:r>
              <w:t>Typical failure</w:t>
            </w:r>
          </w:p>
        </w:tc>
        <w:tc>
          <w:tcPr>
            <w:tcW w:type="dxa" w:w="3600"/>
          </w:tcPr>
          <w:p>
            <w:pPr>
              <w:spacing w:after="0" w:before="0" w:line="240" w:lineRule="auto"/>
              <w:jc w:val="left"/>
            </w:pPr>
            <w:r>
              <w:t>Wrong equipment or incomplete functionality</w:t>
            </w:r>
          </w:p>
        </w:tc>
        <w:tc>
          <w:tcPr>
            <w:tcW w:type="dxa" w:w="3600"/>
          </w:tcPr>
          <w:p>
            <w:pPr>
              <w:spacing w:after="0" w:before="0" w:line="240" w:lineRule="auto"/>
              <w:jc w:val="left"/>
            </w:pPr>
            <w:r>
              <w:t>Cost disputes, unclear obligations, delivery or payment disputes</w:t>
            </w:r>
          </w:p>
        </w:tc>
      </w:tr>
      <w:tr>
        <w:tc>
          <w:tcPr>
            <w:tcW w:type="dxa" w:w="3600"/>
          </w:tcPr>
          <w:p>
            <w:pPr>
              <w:spacing w:after="0" w:before="0" w:line="240" w:lineRule="auto"/>
              <w:jc w:val="left"/>
            </w:pPr>
            <w:r>
              <w:t>Acceptance basis</w:t>
            </w:r>
          </w:p>
        </w:tc>
        <w:tc>
          <w:tcPr>
            <w:tcW w:type="dxa" w:w="3600"/>
          </w:tcPr>
          <w:p>
            <w:pPr>
              <w:spacing w:after="0" w:before="0" w:line="240" w:lineRule="auto"/>
              <w:jc w:val="left"/>
            </w:pPr>
            <w:r>
              <w:t>Defined tests and technical deliverables</w:t>
            </w:r>
          </w:p>
        </w:tc>
        <w:tc>
          <w:tcPr>
            <w:tcW w:type="dxa" w:w="3600"/>
          </w:tcPr>
          <w:p>
            <w:pPr>
              <w:spacing w:after="0" w:before="0" w:line="240" w:lineRule="auto"/>
              <w:jc w:val="left"/>
            </w:pPr>
            <w:r>
              <w:t>Contractual milestones and agreed commercial conditions</w:t>
            </w:r>
          </w:p>
        </w:tc>
      </w:tr>
    </w:tbl>
    <w:p/>
    <w:p>
      <w:r>
        <w:t>Both sides must coordinate. For example, a technical requirement for factory acceptance testing affects the commercial offer because the supplier must account for engineering time, test equipment, travel, and any associated costs.</w:t>
      </w:r>
    </w:p>
    <w:p>
      <w:pPr>
        <w:pStyle w:val="Heading2"/>
      </w:pPr>
      <w:r>
        <w:t>5. Technical specification structure</w:t>
      </w:r>
    </w:p>
    <w:p>
      <w:r>
        <w:t>A technical specification for industrial automation may include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Typical contents</w:t>
            </w:r>
          </w:p>
        </w:tc>
      </w:tr>
      <w:tr>
        <w:tc>
          <w:tcPr>
            <w:tcW w:type="dxa" w:w="5400"/>
          </w:tcPr>
          <w:p>
            <w:pPr>
              <w:spacing w:after="0" w:before="0" w:line="240" w:lineRule="auto"/>
              <w:jc w:val="left"/>
            </w:pPr>
            <w:r>
              <w:t>General information</w:t>
            </w:r>
          </w:p>
        </w:tc>
        <w:tc>
          <w:tcPr>
            <w:tcW w:type="dxa" w:w="5400"/>
          </w:tcPr>
          <w:p>
            <w:pPr>
              <w:spacing w:after="0" w:before="0" w:line="240" w:lineRule="auto"/>
              <w:jc w:val="left"/>
            </w:pPr>
            <w:r>
              <w:t>Project name, machine number, plant, document revision</w:t>
            </w:r>
          </w:p>
        </w:tc>
      </w:tr>
      <w:tr>
        <w:tc>
          <w:tcPr>
            <w:tcW w:type="dxa" w:w="5400"/>
          </w:tcPr>
          <w:p>
            <w:pPr>
              <w:spacing w:after="0" w:before="0" w:line="240" w:lineRule="auto"/>
              <w:jc w:val="left"/>
            </w:pPr>
            <w:r>
              <w:t>Scope of supply</w:t>
            </w:r>
          </w:p>
        </w:tc>
        <w:tc>
          <w:tcPr>
            <w:tcW w:type="dxa" w:w="5400"/>
          </w:tcPr>
          <w:p>
            <w:pPr>
              <w:spacing w:after="0" w:before="0" w:line="240" w:lineRule="auto"/>
              <w:jc w:val="left"/>
            </w:pPr>
            <w:r>
              <w:t>Equipment, engineering, installation, commissioning, services</w:t>
            </w:r>
          </w:p>
        </w:tc>
      </w:tr>
      <w:tr>
        <w:tc>
          <w:tcPr>
            <w:tcW w:type="dxa" w:w="5400"/>
          </w:tcPr>
          <w:p>
            <w:pPr>
              <w:spacing w:after="0" w:before="0" w:line="240" w:lineRule="auto"/>
              <w:jc w:val="left"/>
            </w:pPr>
            <w:r>
              <w:t>Existing-system details</w:t>
            </w:r>
          </w:p>
        </w:tc>
        <w:tc>
          <w:tcPr>
            <w:tcW w:type="dxa" w:w="5400"/>
          </w:tcPr>
          <w:p>
            <w:pPr>
              <w:spacing w:after="0" w:before="0" w:line="240" w:lineRule="auto"/>
              <w:jc w:val="left"/>
            </w:pPr>
            <w:r>
              <w:t>Installed equipment, interfaces, limitations, constraints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Required operating modes, sequence, performance</w:t>
            </w:r>
          </w:p>
        </w:tc>
      </w:tr>
      <w:tr>
        <w:tc>
          <w:tcPr>
            <w:tcW w:type="dxa" w:w="5400"/>
          </w:tcPr>
          <w:p>
            <w:pPr>
              <w:spacing w:after="0" w:before="0" w:line="240" w:lineRule="auto"/>
              <w:jc w:val="left"/>
            </w:pPr>
            <w:r>
              <w:t>Hardware requirements</w:t>
            </w:r>
          </w:p>
        </w:tc>
        <w:tc>
          <w:tcPr>
            <w:tcW w:type="dxa" w:w="5400"/>
          </w:tcPr>
          <w:p>
            <w:pPr>
              <w:spacing w:after="0" w:before="0" w:line="240" w:lineRule="auto"/>
              <w:jc w:val="left"/>
            </w:pPr>
            <w:r>
              <w:t>PLC, I/O, HMI, drives, controllers, sensors</w:t>
            </w:r>
          </w:p>
        </w:tc>
      </w:tr>
      <w:tr>
        <w:tc>
          <w:tcPr>
            <w:tcW w:type="dxa" w:w="5400"/>
          </w:tcPr>
          <w:p>
            <w:pPr>
              <w:spacing w:after="0" w:before="0" w:line="240" w:lineRule="auto"/>
              <w:jc w:val="left"/>
            </w:pPr>
            <w:r>
              <w:t>Software requirements</w:t>
            </w:r>
          </w:p>
        </w:tc>
        <w:tc>
          <w:tcPr>
            <w:tcW w:type="dxa" w:w="5400"/>
          </w:tcPr>
          <w:p>
            <w:pPr>
              <w:spacing w:after="0" w:before="0" w:line="240" w:lineRule="auto"/>
              <w:jc w:val="left"/>
            </w:pPr>
            <w:r>
              <w:t>Programming platform, code standards, backups</w:t>
            </w:r>
          </w:p>
        </w:tc>
      </w:tr>
      <w:tr>
        <w:tc>
          <w:tcPr>
            <w:tcW w:type="dxa" w:w="5400"/>
          </w:tcPr>
          <w:p>
            <w:pPr>
              <w:spacing w:after="0" w:before="0" w:line="240" w:lineRule="auto"/>
              <w:jc w:val="left"/>
            </w:pPr>
            <w:r>
              <w:t>Electrical requirements</w:t>
            </w:r>
          </w:p>
        </w:tc>
        <w:tc>
          <w:tcPr>
            <w:tcW w:type="dxa" w:w="5400"/>
          </w:tcPr>
          <w:p>
            <w:pPr>
              <w:spacing w:after="0" w:before="0" w:line="240" w:lineRule="auto"/>
              <w:jc w:val="left"/>
            </w:pPr>
            <w:r>
              <w:t>Power supply, protection, wiring, earthing</w:t>
            </w:r>
          </w:p>
        </w:tc>
      </w:tr>
      <w:tr>
        <w:tc>
          <w:tcPr>
            <w:tcW w:type="dxa" w:w="5400"/>
          </w:tcPr>
          <w:p>
            <w:pPr>
              <w:spacing w:after="0" w:before="0" w:line="240" w:lineRule="auto"/>
              <w:jc w:val="left"/>
            </w:pPr>
            <w:r>
              <w:t>Communication requirements</w:t>
            </w:r>
          </w:p>
        </w:tc>
        <w:tc>
          <w:tcPr>
            <w:tcW w:type="dxa" w:w="5400"/>
          </w:tcPr>
          <w:p>
            <w:pPr>
              <w:spacing w:after="0" w:before="0" w:line="240" w:lineRule="auto"/>
              <w:jc w:val="left"/>
            </w:pPr>
            <w:r>
              <w:t>Protocols, network topology, addressing</w:t>
            </w:r>
          </w:p>
        </w:tc>
      </w:tr>
      <w:tr>
        <w:tc>
          <w:tcPr>
            <w:tcW w:type="dxa" w:w="5400"/>
          </w:tcPr>
          <w:p>
            <w:pPr>
              <w:spacing w:after="0" w:before="0" w:line="240" w:lineRule="auto"/>
              <w:jc w:val="left"/>
            </w:pPr>
            <w:r>
              <w:t>Mechanical interfaces</w:t>
            </w:r>
          </w:p>
        </w:tc>
        <w:tc>
          <w:tcPr>
            <w:tcW w:type="dxa" w:w="5400"/>
          </w:tcPr>
          <w:p>
            <w:pPr>
              <w:spacing w:after="0" w:before="0" w:line="240" w:lineRule="auto"/>
              <w:jc w:val="left"/>
            </w:pPr>
            <w:r>
              <w:t>Mounting, dimensions, connectors, environmental constraints</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Risk reduction, safety functions, validation</w:t>
            </w:r>
          </w:p>
        </w:tc>
      </w:tr>
      <w:tr>
        <w:tc>
          <w:tcPr>
            <w:tcW w:type="dxa" w:w="5400"/>
          </w:tcPr>
          <w:p>
            <w:pPr>
              <w:spacing w:after="0" w:before="0" w:line="240" w:lineRule="auto"/>
              <w:jc w:val="left"/>
            </w:pPr>
            <w:r>
              <w:t>Performance requirements</w:t>
            </w:r>
          </w:p>
        </w:tc>
        <w:tc>
          <w:tcPr>
            <w:tcW w:type="dxa" w:w="5400"/>
          </w:tcPr>
          <w:p>
            <w:pPr>
              <w:spacing w:after="0" w:before="0" w:line="240" w:lineRule="auto"/>
              <w:jc w:val="left"/>
            </w:pPr>
            <w:r>
              <w:t>Cycle time, response time, accuracy, availability</w:t>
            </w:r>
          </w:p>
        </w:tc>
      </w:tr>
      <w:tr>
        <w:tc>
          <w:tcPr>
            <w:tcW w:type="dxa" w:w="5400"/>
          </w:tcPr>
          <w:p>
            <w:pPr>
              <w:spacing w:after="0" w:before="0" w:line="240" w:lineRule="auto"/>
              <w:jc w:val="left"/>
            </w:pPr>
            <w:r>
              <w:t>Testing and acceptance</w:t>
            </w:r>
          </w:p>
        </w:tc>
        <w:tc>
          <w:tcPr>
            <w:tcW w:type="dxa" w:w="5400"/>
          </w:tcPr>
          <w:p>
            <w:pPr>
              <w:spacing w:after="0" w:before="0" w:line="240" w:lineRule="auto"/>
              <w:jc w:val="left"/>
            </w:pPr>
            <w:r>
              <w:t>FAT, SAT, inspection, validation criteria</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BOM, source code, manuals, test reports</w:t>
            </w:r>
          </w:p>
        </w:tc>
      </w:tr>
      <w:tr>
        <w:tc>
          <w:tcPr>
            <w:tcW w:type="dxa" w:w="5400"/>
          </w:tcPr>
          <w:p>
            <w:pPr>
              <w:spacing w:after="0" w:before="0" w:line="240" w:lineRule="auto"/>
              <w:jc w:val="left"/>
            </w:pPr>
            <w:r>
              <w:t>Training and support</w:t>
            </w:r>
          </w:p>
        </w:tc>
        <w:tc>
          <w:tcPr>
            <w:tcW w:type="dxa" w:w="5400"/>
          </w:tcPr>
          <w:p>
            <w:pPr>
              <w:spacing w:after="0" w:before="0" w:line="240" w:lineRule="auto"/>
              <w:jc w:val="left"/>
            </w:pPr>
            <w:r>
              <w:t>Training scope, technical support, spare parts</w:t>
            </w:r>
          </w:p>
        </w:tc>
      </w:tr>
      <w:tr>
        <w:tc>
          <w:tcPr>
            <w:tcW w:type="dxa" w:w="5400"/>
          </w:tcPr>
          <w:p>
            <w:pPr>
              <w:spacing w:after="0" w:before="0" w:line="240" w:lineRule="auto"/>
              <w:jc w:val="left"/>
            </w:pPr>
            <w:r>
              <w:t>Standards and compliance</w:t>
            </w:r>
          </w:p>
        </w:tc>
        <w:tc>
          <w:tcPr>
            <w:tcW w:type="dxa" w:w="5400"/>
          </w:tcPr>
          <w:p>
            <w:pPr>
              <w:spacing w:after="0" w:before="0" w:line="240" w:lineRule="auto"/>
              <w:jc w:val="left"/>
            </w:pPr>
            <w:r>
              <w:t>Applicable standards, customer specifications, legal requirements</w:t>
            </w:r>
          </w:p>
        </w:tc>
      </w:tr>
    </w:tbl>
    <w:p/>
    <w:p>
      <w:r>
        <w:t>The document should state which requirements are mandatory, which are preferred, and which are optional.</w:t>
      </w:r>
    </w:p>
    <w:p>
      <w:pPr>
        <w:pStyle w:val="Heading2"/>
      </w:pPr>
      <w:r>
        <w:t>6. Define the scope of supply</w:t>
      </w:r>
    </w:p>
    <w:p>
      <w:r>
        <w:t>The scope of supply identifies exactly what the vendor must provide.</w:t>
      </w:r>
    </w:p>
    <w:p>
      <w:r>
        <w:t>For a PLC retrofit, the scope might include:</w:t>
      </w:r>
    </w:p>
    <w:p>
      <w:pPr>
        <w:pStyle w:val="ListBullet"/>
      </w:pPr>
      <w:r>
        <w:t>PLC CPU and required I/O modules.</w:t>
      </w:r>
    </w:p>
    <w:p>
      <w:pPr>
        <w:pStyle w:val="ListBullet"/>
      </w:pPr>
      <w:r>
        <w:t>Power supplies and communication modules.</w:t>
      </w:r>
    </w:p>
    <w:p>
      <w:pPr>
        <w:pStyle w:val="ListBullet"/>
      </w:pPr>
      <w:r>
        <w:t>HMI hardware and software modifications.</w:t>
      </w:r>
    </w:p>
    <w:p>
      <w:pPr>
        <w:pStyle w:val="ListBullet"/>
      </w:pPr>
      <w:r>
        <w:t>Engineering and program migration.</w:t>
      </w:r>
    </w:p>
    <w:p>
      <w:pPr>
        <w:pStyle w:val="ListBullet"/>
      </w:pPr>
      <w:r>
        <w:t>Electrical drawings and I/O documentation.</w:t>
      </w:r>
    </w:p>
    <w:p>
      <w:pPr>
        <w:pStyle w:val="ListBullet"/>
      </w:pPr>
      <w:r>
        <w:t>Panel modifications and wiring.</w:t>
      </w:r>
    </w:p>
    <w:p>
      <w:pPr>
        <w:pStyle w:val="ListBullet"/>
      </w:pPr>
      <w:r>
        <w:t>Integration with existing drives and robots.</w:t>
      </w:r>
    </w:p>
    <w:p>
      <w:pPr>
        <w:pStyle w:val="ListBullet"/>
      </w:pPr>
      <w:r>
        <w:t>Software backup and restoration procedures.</w:t>
      </w:r>
    </w:p>
    <w:p>
      <w:pPr>
        <w:pStyle w:val="ListBullet"/>
      </w:pPr>
      <w:r>
        <w:t>Factory acceptance testing.</w:t>
      </w:r>
    </w:p>
    <w:p>
      <w:pPr>
        <w:pStyle w:val="ListBullet"/>
      </w:pPr>
      <w:r>
        <w:t>Site installation and commissioning.</w:t>
      </w:r>
    </w:p>
    <w:p>
      <w:pPr>
        <w:pStyle w:val="ListBullet"/>
      </w:pPr>
      <w:r>
        <w:t>Operator and maintenance training.</w:t>
      </w:r>
    </w:p>
    <w:p>
      <w:pPr>
        <w:pStyle w:val="ListBullet"/>
      </w:pPr>
      <w:r>
        <w:t>Final source code, configuration files, and documentation.</w:t>
      </w:r>
    </w:p>
    <w:p>
      <w:pPr>
        <w:pStyle w:val="Heading3"/>
      </w:pPr>
      <w:r>
        <w:t>Scope boundaries</w:t>
      </w:r>
    </w:p>
    <w:p>
      <w:r>
        <w:t>The specification must also identify exclusions and responsibilities.</w:t>
      </w:r>
    </w:p>
    <w:p>
      <w:r>
        <w:t>For example:</w:t>
      </w:r>
    </w:p>
    <w:p>
      <w:pPr>
        <w:pStyle w:val="ListBullet"/>
      </w:pPr>
      <w:r>
        <w:t>Is field wiring included?</w:t>
      </w:r>
    </w:p>
    <w:p>
      <w:pPr>
        <w:pStyle w:val="ListBullet"/>
      </w:pPr>
      <w:r>
        <w:t>Is machine downtime provided by the buyer?</w:t>
      </w:r>
    </w:p>
    <w:p>
      <w:pPr>
        <w:pStyle w:val="ListBullet"/>
      </w:pPr>
      <w:r>
        <w:t>Is mechanical modification included?</w:t>
      </w:r>
    </w:p>
    <w:p>
      <w:pPr>
        <w:pStyle w:val="ListBullet"/>
      </w:pPr>
      <w:r>
        <w:t>Is the supplier responsible for modifying existing PLC and HMI programs?</w:t>
      </w:r>
    </w:p>
    <w:p>
      <w:pPr>
        <w:pStyle w:val="ListBullet"/>
      </w:pPr>
      <w:r>
        <w:t>Is network infrastructure supplied by the buyer or vendor?</w:t>
      </w:r>
    </w:p>
    <w:p>
      <w:pPr>
        <w:pStyle w:val="ListBullet"/>
      </w:pPr>
      <w:r>
        <w:t>Who supplies temporary test equipment?</w:t>
      </w:r>
    </w:p>
    <w:p>
      <w:pPr>
        <w:pStyle w:val="ListBullet"/>
      </w:pPr>
      <w:r>
        <w:t>Who provides access permissions and plant network configuration?</w:t>
      </w:r>
    </w:p>
    <w:p>
      <w:pPr>
        <w:pStyle w:val="ListBullet"/>
      </w:pPr>
      <w:r>
        <w:t>Is production validation included after commissioning?</w:t>
      </w:r>
    </w:p>
    <w:p>
      <w:r>
        <w:t>A scope matrix can clarify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Buyer responsibility</w:t>
            </w:r>
          </w:p>
        </w:tc>
        <w:tc>
          <w:tcPr>
            <w:tcW w:type="dxa" w:w="3600"/>
            <w:shd w:val="clear" w:color="auto" w:fill="EEF2F7"/>
          </w:tcPr>
          <w:p>
            <w:pPr>
              <w:spacing w:after="0" w:before="0" w:line="240" w:lineRule="auto"/>
              <w:jc w:val="left"/>
            </w:pPr>
            <w:r>
              <w:rPr>
                <w:b/>
                <w:color w:val="1A2E4A"/>
              </w:rPr>
              <w:t>Vendor responsibility</w:t>
            </w:r>
          </w:p>
        </w:tc>
      </w:tr>
      <w:tr>
        <w:tc>
          <w:tcPr>
            <w:tcW w:type="dxa" w:w="3600"/>
          </w:tcPr>
          <w:p>
            <w:pPr>
              <w:spacing w:after="0" w:before="0" w:line="240" w:lineRule="auto"/>
              <w:jc w:val="left"/>
            </w:pPr>
            <w:r>
              <w:t>Provide existing drawings</w:t>
            </w:r>
          </w:p>
        </w:tc>
        <w:tc>
          <w:tcPr>
            <w:tcW w:type="dxa" w:w="3600"/>
          </w:tcPr>
          <w:p>
            <w:pPr>
              <w:spacing w:after="0" w:before="0" w:line="240" w:lineRule="auto"/>
              <w:jc w:val="left"/>
            </w:pPr>
            <w:r>
              <w:t>Provide available controlled drawings</w:t>
            </w:r>
          </w:p>
        </w:tc>
        <w:tc>
          <w:tcPr>
            <w:tcW w:type="dxa" w:w="3600"/>
          </w:tcPr>
          <w:p>
            <w:pPr>
              <w:spacing w:after="0" w:before="0" w:line="240" w:lineRule="auto"/>
              <w:jc w:val="left"/>
            </w:pPr>
            <w:r>
              <w:t>Review and identify gaps</w:t>
            </w:r>
          </w:p>
        </w:tc>
      </w:tr>
      <w:tr>
        <w:tc>
          <w:tcPr>
            <w:tcW w:type="dxa" w:w="3600"/>
          </w:tcPr>
          <w:p>
            <w:pPr>
              <w:spacing w:after="0" w:before="0" w:line="240" w:lineRule="auto"/>
              <w:jc w:val="left"/>
            </w:pPr>
            <w:r>
              <w:t>Supply specified PLC hardware</w:t>
            </w:r>
          </w:p>
        </w:tc>
        <w:tc>
          <w:tcPr>
            <w:tcW w:type="dxa" w:w="3600"/>
          </w:tcPr>
          <w:p>
            <w:pPr>
              <w:spacing w:after="0" w:before="0" w:line="240" w:lineRule="auto"/>
              <w:jc w:val="left"/>
            </w:pPr>
            <w:r>
              <w:t>Approve the proposed hardware</w:t>
            </w:r>
          </w:p>
        </w:tc>
        <w:tc>
          <w:tcPr>
            <w:tcW w:type="dxa" w:w="3600"/>
          </w:tcPr>
          <w:p>
            <w:pPr>
              <w:spacing w:after="0" w:before="0" w:line="240" w:lineRule="auto"/>
              <w:jc w:val="left"/>
            </w:pPr>
            <w:r>
              <w:t>Supply compliant hardware</w:t>
            </w:r>
          </w:p>
        </w:tc>
      </w:tr>
      <w:tr>
        <w:tc>
          <w:tcPr>
            <w:tcW w:type="dxa" w:w="3600"/>
          </w:tcPr>
          <w:p>
            <w:pPr>
              <w:spacing w:after="0" w:before="0" w:line="240" w:lineRule="auto"/>
              <w:jc w:val="left"/>
            </w:pPr>
            <w:r>
              <w:t>Provide production shutdown</w:t>
            </w:r>
          </w:p>
        </w:tc>
        <w:tc>
          <w:tcPr>
            <w:tcW w:type="dxa" w:w="3600"/>
          </w:tcPr>
          <w:p>
            <w:pPr>
              <w:spacing w:after="0" w:before="0" w:line="240" w:lineRule="auto"/>
              <w:jc w:val="left"/>
            </w:pPr>
            <w:r>
              <w:t>Arrange plant access and approved downtime</w:t>
            </w:r>
          </w:p>
        </w:tc>
        <w:tc>
          <w:tcPr>
            <w:tcW w:type="dxa" w:w="3600"/>
          </w:tcPr>
          <w:p>
            <w:pPr>
              <w:spacing w:after="0" w:before="0" w:line="240" w:lineRule="auto"/>
              <w:jc w:val="left"/>
            </w:pPr>
            <w:r>
              <w:t>Perform work within the agreed window</w:t>
            </w:r>
          </w:p>
        </w:tc>
      </w:tr>
      <w:tr>
        <w:tc>
          <w:tcPr>
            <w:tcW w:type="dxa" w:w="3600"/>
          </w:tcPr>
          <w:p>
            <w:pPr>
              <w:spacing w:after="0" w:before="0" w:line="240" w:lineRule="auto"/>
              <w:jc w:val="left"/>
            </w:pPr>
            <w:r>
              <w:t>Modify PLC software</w:t>
            </w:r>
          </w:p>
        </w:tc>
        <w:tc>
          <w:tcPr>
            <w:tcW w:type="dxa" w:w="3600"/>
          </w:tcPr>
          <w:p>
            <w:pPr>
              <w:spacing w:after="0" w:before="0" w:line="240" w:lineRule="auto"/>
              <w:jc w:val="left"/>
            </w:pPr>
            <w:r>
              <w:t>Approve functional changes</w:t>
            </w:r>
          </w:p>
        </w:tc>
        <w:tc>
          <w:tcPr>
            <w:tcW w:type="dxa" w:w="3600"/>
          </w:tcPr>
          <w:p>
            <w:pPr>
              <w:spacing w:after="0" w:before="0" w:line="240" w:lineRule="auto"/>
              <w:jc w:val="left"/>
            </w:pPr>
            <w:r>
              <w:t>Develop, test, and document agreed changes</w:t>
            </w:r>
          </w:p>
        </w:tc>
      </w:tr>
      <w:tr>
        <w:tc>
          <w:tcPr>
            <w:tcW w:type="dxa" w:w="3600"/>
          </w:tcPr>
          <w:p>
            <w:pPr>
              <w:spacing w:after="0" w:before="0" w:line="240" w:lineRule="auto"/>
              <w:jc w:val="left"/>
            </w:pPr>
            <w:r>
              <w:t>Validate production performance</w:t>
            </w:r>
          </w:p>
        </w:tc>
        <w:tc>
          <w:tcPr>
            <w:tcW w:type="dxa" w:w="3600"/>
          </w:tcPr>
          <w:p>
            <w:pPr>
              <w:spacing w:after="0" w:before="0" w:line="240" w:lineRule="auto"/>
              <w:jc w:val="left"/>
            </w:pPr>
            <w:r>
              <w:t>Provide production inputs and acceptance authority</w:t>
            </w:r>
          </w:p>
        </w:tc>
        <w:tc>
          <w:tcPr>
            <w:tcW w:type="dxa" w:w="3600"/>
          </w:tcPr>
          <w:p>
            <w:pPr>
              <w:spacing w:after="0" w:before="0" w:line="240" w:lineRule="auto"/>
              <w:jc w:val="left"/>
            </w:pPr>
            <w:r>
              <w:t>Support agreed performance tests</w:t>
            </w:r>
          </w:p>
        </w:tc>
      </w:tr>
    </w:tbl>
    <w:p/>
    <w:p>
      <w:r>
        <w:t>This is an illustrative allocation. The final contract must establish the actual responsibilities and account for joint activities.</w:t>
      </w:r>
    </w:p>
    <w:p>
      <w:pPr>
        <w:pStyle w:val="Heading2"/>
      </w:pPr>
      <w:r>
        <w:t>7. Writing measurable technical requirements</w:t>
      </w:r>
    </w:p>
    <w:p>
      <w:r>
        <w:t>A requirement should define an observable condition or result wherever possible.</w:t>
      </w:r>
    </w:p>
    <w:p>
      <w:r>
        <w:t>Weak requirement: "The system should have reliable communication."</w:t>
      </w:r>
    </w:p>
    <w:p>
      <w:r>
        <w:t>Better requirement: "The PLC shall exchange the specified cyclic status and command data with the drive over the agreed industrial communication network, and the communication-loss response shall follow the approved control philosophy."</w:t>
      </w:r>
    </w:p>
    <w:p>
      <w:r>
        <w:t>The second example is more useful because it identifies the system interface and expected behavior. The final specification should also define the applicable protocol, data mapping, timeout, fault indication, and recovery requirements.</w:t>
      </w:r>
    </w:p>
    <w:p>
      <w:pPr>
        <w:pStyle w:val="Heading3"/>
      </w:pPr>
      <w:r>
        <w:t>Requirement quality checklist</w:t>
      </w:r>
    </w:p>
    <w:p>
      <w:r>
        <w:t>Each important requirement should be:</w:t>
      </w:r>
    </w:p>
    <w:p>
      <w:pPr>
        <w:pStyle w:val="ListBullet"/>
      </w:pPr>
      <w:r>
        <w:t>Clear and unambiguous.</w:t>
      </w:r>
    </w:p>
    <w:p>
      <w:pPr>
        <w:pStyle w:val="ListBullet"/>
      </w:pPr>
      <w:r>
        <w:t>Necessary for the intended application.</w:t>
      </w:r>
    </w:p>
    <w:p>
      <w:pPr>
        <w:pStyle w:val="ListBullet"/>
      </w:pPr>
      <w:r>
        <w:t>Technically achievable.</w:t>
      </w:r>
    </w:p>
    <w:p>
      <w:pPr>
        <w:pStyle w:val="ListBullet"/>
      </w:pPr>
      <w:r>
        <w:t>Consistent with other requirements.</w:t>
      </w:r>
    </w:p>
    <w:p>
      <w:pPr>
        <w:pStyle w:val="ListBullet"/>
      </w:pPr>
      <w:r>
        <w:t>Verifiable by inspection, analysis, demonstration, or test.</w:t>
      </w:r>
    </w:p>
    <w:p>
      <w:pPr>
        <w:pStyle w:val="ListBullet"/>
      </w:pPr>
      <w:r>
        <w:t>Traceable to its origin.</w:t>
      </w:r>
    </w:p>
    <w:p>
      <w:pPr>
        <w:pStyle w:val="ListBullet"/>
      </w:pPr>
      <w:r>
        <w:t>Assigned to an accountable party.</w:t>
      </w:r>
    </w:p>
    <w:p>
      <w:pPr>
        <w:pStyle w:val="ListBullet"/>
      </w:pPr>
      <w:r>
        <w:t>Controlled through document revision.</w:t>
      </w:r>
    </w:p>
    <w:p>
      <w:r>
        <w:t>Avoid statements such as "latest technology," "best quality," or "fast operation" unless they are translated into defined criteria.</w:t>
      </w:r>
    </w:p>
    <w:p>
      <w:pPr>
        <w:pStyle w:val="Heading2"/>
      </w:pPr>
      <w:r>
        <w:t>8. Functional requirements</w:t>
      </w:r>
    </w:p>
    <w:p>
      <w:r>
        <w:t>Functional requirements describe what the system must do, not merely which hardware it must contain.</w:t>
      </w:r>
    </w:p>
    <w:p>
      <w:r>
        <w:t>For an automated machine, define:</w:t>
      </w:r>
    </w:p>
    <w:p>
      <w:pPr>
        <w:pStyle w:val="ListBullet"/>
      </w:pPr>
      <w:r>
        <w:t>Operating modes: automatic, manual, setup, maintenance.</w:t>
      </w:r>
    </w:p>
    <w:p>
      <w:pPr>
        <w:pStyle w:val="ListBullet"/>
      </w:pPr>
      <w:r>
        <w:t>Start, stop, reset, and restart behavior.</w:t>
      </w:r>
    </w:p>
    <w:p>
      <w:pPr>
        <w:pStyle w:val="ListBullet"/>
      </w:pPr>
      <w:r>
        <w:t>Permissives and interlocks.</w:t>
      </w:r>
    </w:p>
    <w:p>
      <w:pPr>
        <w:pStyle w:val="ListBullet"/>
      </w:pPr>
      <w:r>
        <w:t>Sequence steps and transition conditions.</w:t>
      </w:r>
    </w:p>
    <w:p>
      <w:pPr>
        <w:pStyle w:val="ListBullet"/>
      </w:pPr>
      <w:r>
        <w:t>Fault detection and alarm behavior.</w:t>
      </w:r>
    </w:p>
    <w:p>
      <w:pPr>
        <w:pStyle w:val="ListBullet"/>
      </w:pPr>
      <w:r>
        <w:t>Recovery after power loss or communication failure.</w:t>
      </w:r>
    </w:p>
    <w:p>
      <w:pPr>
        <w:pStyle w:val="ListBullet"/>
      </w:pPr>
      <w:r>
        <w:t>Data exchange with upstream and downstream machines.</w:t>
      </w:r>
    </w:p>
    <w:p>
      <w:pPr>
        <w:pStyle w:val="ListBullet"/>
      </w:pPr>
      <w:r>
        <w:t>Part identification and recipe selection.</w:t>
      </w:r>
    </w:p>
    <w:p>
      <w:pPr>
        <w:pStyle w:val="ListBullet"/>
      </w:pPr>
      <w:r>
        <w:t>Cycle-complete and production-count signals.</w:t>
      </w:r>
    </w:p>
    <w:p>
      <w:pPr>
        <w:pStyle w:val="ListBullet"/>
      </w:pPr>
      <w:r>
        <w:t>Safe behavior during abnormal conditions.</w:t>
      </w:r>
    </w:p>
    <w:p>
      <w:r>
        <w:t>For a PLC-controlled machine, a functional requirement could state:</w:t>
      </w:r>
    </w:p>
    <w:p>
      <w:r>
        <w:t>"The machine shall initiate its automatic sequence only when all defined permissives are satisfied, the selected operating mode is automatic, and no blocking fault is active."</w:t>
      </w:r>
    </w:p>
    <w:p>
      <w:r>
        <w:t>The detailed specification must identify the relevant permissives, operating modes, blocking faults, and sequence behavior.</w:t>
      </w:r>
    </w:p>
    <w:p>
      <w:pPr>
        <w:pStyle w:val="Heading2"/>
      </w:pPr>
      <w:r>
        <w:t>9. Hardware specification</w:t>
      </w:r>
    </w:p>
    <w:p>
      <w:r>
        <w:t>Hardware requirements should identify the necessary capabilities without unnecessarily restricting the design to a single product unless compatibility, standardization, or policy requires it.</w:t>
      </w:r>
    </w:p>
    <w:p>
      <w:pPr>
        <w:pStyle w:val="Heading3"/>
      </w:pPr>
      <w:r>
        <w:t>9.1 PLC and I/O</w:t>
      </w:r>
    </w:p>
    <w:p>
      <w:r>
        <w:t>Specify:</w:t>
      </w:r>
    </w:p>
    <w:p>
      <w:pPr>
        <w:pStyle w:val="ListBullet"/>
      </w:pPr>
      <w:r>
        <w:t>Required I/O count and signal types.</w:t>
      </w:r>
    </w:p>
    <w:p>
      <w:pPr>
        <w:pStyle w:val="ListBullet"/>
      </w:pPr>
      <w:r>
        <w:t>Spare I/O allowance.</w:t>
      </w:r>
    </w:p>
    <w:p>
      <w:pPr>
        <w:pStyle w:val="ListBullet"/>
      </w:pPr>
      <w:r>
        <w:t>Required communication interfaces.</w:t>
      </w:r>
    </w:p>
    <w:p>
      <w:pPr>
        <w:pStyle w:val="ListBullet"/>
      </w:pPr>
      <w:r>
        <w:t>CPU performance and memory requirements.</w:t>
      </w:r>
    </w:p>
    <w:p>
      <w:pPr>
        <w:pStyle w:val="ListBullet"/>
      </w:pPr>
      <w:r>
        <w:t>Environmental ratings.</w:t>
      </w:r>
    </w:p>
    <w:p>
      <w:pPr>
        <w:pStyle w:val="ListBullet"/>
      </w:pPr>
      <w:r>
        <w:t>Availability or redundancy requirements.</w:t>
      </w:r>
    </w:p>
    <w:p>
      <w:pPr>
        <w:pStyle w:val="ListBullet"/>
      </w:pPr>
      <w:r>
        <w:t>Supported engineering software.</w:t>
      </w:r>
    </w:p>
    <w:p>
      <w:pPr>
        <w:pStyle w:val="ListBullet"/>
      </w:pPr>
      <w:r>
        <w:t>Program backup and restoration requirements.</w:t>
      </w:r>
    </w:p>
    <w:p>
      <w:pPr>
        <w:pStyle w:val="ListBullet"/>
      </w:pPr>
      <w:r>
        <w:t>Compatibility with existing devices.</w:t>
      </w:r>
    </w:p>
    <w:p>
      <w:r>
        <w:t>I/O estimation should include realistic spare capacity, signal conditioning, safety-related I/O where required, and future expansion requirements.</w:t>
      </w:r>
    </w:p>
    <w:p>
      <w:pPr>
        <w:pStyle w:val="Heading3"/>
      </w:pPr>
      <w:r>
        <w:t>9.2 HMI and operator interface</w:t>
      </w:r>
    </w:p>
    <w:p>
      <w:r>
        <w:t>Specify:</w:t>
      </w:r>
    </w:p>
    <w:p>
      <w:pPr>
        <w:pStyle w:val="ListBullet"/>
      </w:pPr>
      <w:r>
        <w:t>Screen size and resolution where relevant.</w:t>
      </w:r>
    </w:p>
    <w:p>
      <w:pPr>
        <w:pStyle w:val="ListBullet"/>
      </w:pPr>
      <w:r>
        <w:t>Required operator functions.</w:t>
      </w:r>
    </w:p>
    <w:p>
      <w:pPr>
        <w:pStyle w:val="ListBullet"/>
      </w:pPr>
      <w:r>
        <w:t>Alarm and event handling.</w:t>
      </w:r>
    </w:p>
    <w:p>
      <w:pPr>
        <w:pStyle w:val="ListBullet"/>
      </w:pPr>
      <w:r>
        <w:t>User access levels.</w:t>
      </w:r>
    </w:p>
    <w:p>
      <w:pPr>
        <w:pStyle w:val="ListBullet"/>
      </w:pPr>
      <w:r>
        <w:t>Language requirements.</w:t>
      </w:r>
    </w:p>
    <w:p>
      <w:pPr>
        <w:pStyle w:val="ListBullet"/>
      </w:pPr>
      <w:r>
        <w:t>Recipe and parameter management.</w:t>
      </w:r>
    </w:p>
    <w:p>
      <w:pPr>
        <w:pStyle w:val="ListBullet"/>
      </w:pPr>
      <w:r>
        <w:t>Data logging and trend requirements.</w:t>
      </w:r>
    </w:p>
    <w:p>
      <w:pPr>
        <w:pStyle w:val="ListBullet"/>
      </w:pPr>
      <w:r>
        <w:t>Backup and restore capabilities.</w:t>
      </w:r>
    </w:p>
    <w:p>
      <w:pPr>
        <w:pStyle w:val="ListBullet"/>
      </w:pPr>
      <w:r>
        <w:t>Compatibility with the PLC and network architecture.</w:t>
      </w:r>
    </w:p>
    <w:p>
      <w:pPr>
        <w:pStyle w:val="Heading3"/>
      </w:pPr>
      <w:r>
        <w:t>9.3 Drives and motion systems</w:t>
      </w:r>
    </w:p>
    <w:p>
      <w:r>
        <w:t>Specify:</w:t>
      </w:r>
    </w:p>
    <w:p>
      <w:pPr>
        <w:pStyle w:val="ListBullet"/>
      </w:pPr>
      <w:r>
        <w:t>Motor rating and applicable supply conditions.</w:t>
      </w:r>
    </w:p>
    <w:p>
      <w:pPr>
        <w:pStyle w:val="ListBullet"/>
      </w:pPr>
      <w:r>
        <w:t>Required control modes.</w:t>
      </w:r>
    </w:p>
    <w:p>
      <w:pPr>
        <w:pStyle w:val="ListBullet"/>
      </w:pPr>
      <w:r>
        <w:t>Speed, torque, or position control needs.</w:t>
      </w:r>
    </w:p>
    <w:p>
      <w:pPr>
        <w:pStyle w:val="ListBullet"/>
      </w:pPr>
      <w:r>
        <w:t>Feedback and encoder requirements.</w:t>
      </w:r>
    </w:p>
    <w:p>
      <w:pPr>
        <w:pStyle w:val="ListBullet"/>
      </w:pPr>
      <w:r>
        <w:t>Communication interfaces.</w:t>
      </w:r>
    </w:p>
    <w:p>
      <w:pPr>
        <w:pStyle w:val="ListBullet"/>
      </w:pPr>
      <w:r>
        <w:t>Braking and stopping requirements.</w:t>
      </w:r>
    </w:p>
    <w:p>
      <w:pPr>
        <w:pStyle w:val="ListBullet"/>
      </w:pPr>
      <w:r>
        <w:t>Fault handling and restart behavior.</w:t>
      </w:r>
    </w:p>
    <w:p>
      <w:pPr>
        <w:pStyle w:val="ListBullet"/>
      </w:pPr>
      <w:r>
        <w:t>Required tuning, configuration, and backup files.</w:t>
      </w:r>
    </w:p>
    <w:p>
      <w:pPr>
        <w:pStyle w:val="Heading3"/>
      </w:pPr>
      <w:r>
        <w:t>9.4 Sensors and instrumentation</w:t>
      </w:r>
    </w:p>
    <w:p>
      <w:r>
        <w:t>Specify:</w:t>
      </w:r>
    </w:p>
    <w:p>
      <w:pPr>
        <w:pStyle w:val="ListBullet"/>
      </w:pPr>
      <w:r>
        <w:t>Measurement range.</w:t>
      </w:r>
    </w:p>
    <w:p>
      <w:pPr>
        <w:pStyle w:val="ListBullet"/>
      </w:pPr>
      <w:r>
        <w:t>Accuracy and repeatability.</w:t>
      </w:r>
    </w:p>
    <w:p>
      <w:pPr>
        <w:pStyle w:val="ListBullet"/>
      </w:pPr>
      <w:r>
        <w:t>Signal type and output interface.</w:t>
      </w:r>
    </w:p>
    <w:p>
      <w:pPr>
        <w:pStyle w:val="ListBullet"/>
      </w:pPr>
      <w:r>
        <w:t>Response time.</w:t>
      </w:r>
    </w:p>
    <w:p>
      <w:pPr>
        <w:pStyle w:val="ListBullet"/>
      </w:pPr>
      <w:r>
        <w:t>Environmental and protection ratings.</w:t>
      </w:r>
    </w:p>
    <w:p>
      <w:pPr>
        <w:pStyle w:val="ListBullet"/>
      </w:pPr>
      <w:r>
        <w:t>Mounting and connector requirements.</w:t>
      </w:r>
    </w:p>
    <w:p>
      <w:pPr>
        <w:pStyle w:val="ListBullet"/>
      </w:pPr>
      <w:r>
        <w:t>Calibration or verification requirements.</w:t>
      </w:r>
    </w:p>
    <w:p>
      <w:r>
        <w:t>Do not specify precision more tightly than the process requires. Excessive specifications increase cost without necessarily improving production quality.</w:t>
      </w:r>
    </w:p>
    <w:p>
      <w:pPr>
        <w:pStyle w:val="Heading2"/>
      </w:pPr>
      <w:r>
        <w:t>10. Software and configuration requirements</w:t>
      </w:r>
    </w:p>
    <w:p>
      <w:r>
        <w:t>Software requirements are especially important when purchasing automation systems, machine retrofits, or engineering services.</w:t>
      </w:r>
    </w:p>
    <w:p>
      <w:r>
        <w:t>Define:</w:t>
      </w:r>
    </w:p>
    <w:p>
      <w:pPr>
        <w:pStyle w:val="ListBullet"/>
      </w:pPr>
      <w:r>
        <w:t>Approved programming platforms and versions.</w:t>
      </w:r>
    </w:p>
    <w:p>
      <w:pPr>
        <w:pStyle w:val="ListBullet"/>
      </w:pPr>
      <w:r>
        <w:t>Controller and HMI firmware compatibility.</w:t>
      </w:r>
    </w:p>
    <w:p>
      <w:pPr>
        <w:pStyle w:val="ListBullet"/>
      </w:pPr>
      <w:r>
        <w:t>Coding and naming conventions.</w:t>
      </w:r>
    </w:p>
    <w:p>
      <w:pPr>
        <w:pStyle w:val="ListBullet"/>
      </w:pPr>
      <w:r>
        <w:t>Tag and I/O documentation.</w:t>
      </w:r>
    </w:p>
    <w:p>
      <w:pPr>
        <w:pStyle w:val="ListBullet"/>
      </w:pPr>
      <w:r>
        <w:t>Alarm text and fault-code conventions.</w:t>
      </w:r>
    </w:p>
    <w:p>
      <w:pPr>
        <w:pStyle w:val="ListBullet"/>
      </w:pPr>
      <w:r>
        <w:t>Program structure and reusable function blocks.</w:t>
      </w:r>
    </w:p>
    <w:p>
      <w:pPr>
        <w:pStyle w:val="ListBullet"/>
      </w:pPr>
      <w:r>
        <w:t>Password and access management.</w:t>
      </w:r>
    </w:p>
    <w:p>
      <w:pPr>
        <w:pStyle w:val="ListBullet"/>
      </w:pPr>
      <w:r>
        <w:t>Software backup and restore procedure.</w:t>
      </w:r>
    </w:p>
    <w:p>
      <w:pPr>
        <w:pStyle w:val="ListBullet"/>
      </w:pPr>
      <w:r>
        <w:t>Version control and change management.</w:t>
      </w:r>
    </w:p>
    <w:p>
      <w:pPr>
        <w:pStyle w:val="ListBullet"/>
      </w:pPr>
      <w:r>
        <w:t>Network and remote-access restrictions.</w:t>
      </w:r>
    </w:p>
    <w:p>
      <w:pPr>
        <w:pStyle w:val="ListBullet"/>
      </w:pPr>
      <w:r>
        <w:t>Required source files and editable project files.</w:t>
      </w:r>
    </w:p>
    <w:p>
      <w:pPr>
        <w:pStyle w:val="ListBullet"/>
      </w:pPr>
      <w:r>
        <w:t>Licensing and runtime requirements.</w:t>
      </w:r>
    </w:p>
    <w:p>
      <w:pPr>
        <w:pStyle w:val="ListBullet"/>
      </w:pPr>
      <w:r>
        <w:t>Cybersecurity responsibilities.</w:t>
      </w:r>
    </w:p>
    <w:p>
      <w:pPr>
        <w:pStyle w:val="ListBullet"/>
      </w:pPr>
      <w:r>
        <w:t>Ownership and permitted use of project deliverables.</w:t>
      </w:r>
    </w:p>
    <w:p>
      <w:pPr>
        <w:pStyle w:val="Heading3"/>
      </w:pPr>
      <w:r>
        <w:t>Source code and editable deliverables</w:t>
      </w:r>
    </w:p>
    <w:p>
      <w:r>
        <w:t>A specification that asks only for a running machine is incomplete if the plant must maintain and modify that machine later.</w:t>
      </w:r>
    </w:p>
    <w:p>
      <w:r>
        <w:t>Where appropriate, require the vendor to provide:</w:t>
      </w:r>
    </w:p>
    <w:p>
      <w:pPr>
        <w:pStyle w:val="ListBullet"/>
      </w:pPr>
      <w:r>
        <w:t>Editable PLC project.</w:t>
      </w:r>
    </w:p>
    <w:p>
      <w:pPr>
        <w:pStyle w:val="ListBullet"/>
      </w:pPr>
      <w:r>
        <w:t>Editable HMI project.</w:t>
      </w:r>
    </w:p>
    <w:p>
      <w:pPr>
        <w:pStyle w:val="ListBullet"/>
      </w:pPr>
      <w:r>
        <w:t>Robot and CNC configuration deliverables within the agreed scope.</w:t>
      </w:r>
    </w:p>
    <w:p>
      <w:pPr>
        <w:pStyle w:val="ListBullet"/>
      </w:pPr>
      <w:r>
        <w:t>Drive parameters and relevant configuration files.</w:t>
      </w:r>
    </w:p>
    <w:p>
      <w:pPr>
        <w:pStyle w:val="ListBullet"/>
      </w:pPr>
      <w:r>
        <w:t>Hardware configuration.</w:t>
      </w:r>
    </w:p>
    <w:p>
      <w:pPr>
        <w:pStyle w:val="ListBullet"/>
      </w:pPr>
      <w:r>
        <w:t>Network and addressing records.</w:t>
      </w:r>
    </w:p>
    <w:p>
      <w:pPr>
        <w:pStyle w:val="ListBullet"/>
      </w:pPr>
      <w:r>
        <w:t>License information and transfer arrangements.</w:t>
      </w:r>
    </w:p>
    <w:p>
      <w:pPr>
        <w:pStyle w:val="ListBullet"/>
      </w:pPr>
      <w:r>
        <w:t>Passwords or access credentials through approved secure procedures.</w:t>
      </w:r>
    </w:p>
    <w:p>
      <w:pPr>
        <w:pStyle w:val="ListBullet"/>
      </w:pPr>
      <w:r>
        <w:t>Backup and restoration instructions.</w:t>
      </w:r>
    </w:p>
    <w:p>
      <w:pPr>
        <w:pStyle w:val="ListBullet"/>
      </w:pPr>
      <w:r>
        <w:t>Revision history and change records.</w:t>
      </w:r>
    </w:p>
    <w:p>
      <w:r>
        <w:t>Ownership, licensing, third-party intellectual property, and usage rights must be defined contractually. Do not assume that payment automatically transfers all software rights.</w:t>
      </w:r>
    </w:p>
    <w:p>
      <w:pPr>
        <w:pStyle w:val="Heading2"/>
      </w:pPr>
      <w:r>
        <w:t>11. Electrical, network, and mechanical interfaces</w:t>
      </w:r>
    </w:p>
    <w:p>
      <w:r>
        <w:t>A technically sound system can still fail if its interfaces are poorly specified.</w:t>
      </w:r>
    </w:p>
    <w:p>
      <w:pPr>
        <w:pStyle w:val="Heading3"/>
      </w:pPr>
      <w:r>
        <w:t>Electrical interfaces</w:t>
      </w:r>
    </w:p>
    <w:p>
      <w:r>
        <w:t>Define:</w:t>
      </w:r>
    </w:p>
    <w:p>
      <w:pPr>
        <w:pStyle w:val="ListBullet"/>
      </w:pPr>
      <w:r>
        <w:t>Supply voltage and frequency.</w:t>
      </w:r>
    </w:p>
    <w:p>
      <w:pPr>
        <w:pStyle w:val="ListBullet"/>
      </w:pPr>
      <w:r>
        <w:t>Short-circuit and protection requirements where applicable.</w:t>
      </w:r>
    </w:p>
    <w:p>
      <w:pPr>
        <w:pStyle w:val="ListBullet"/>
      </w:pPr>
      <w:r>
        <w:t>Earthing and bonding arrangements.</w:t>
      </w:r>
    </w:p>
    <w:p>
      <w:pPr>
        <w:pStyle w:val="ListBullet"/>
      </w:pPr>
      <w:r>
        <w:t>Terminal and connector requirements.</w:t>
      </w:r>
    </w:p>
    <w:p>
      <w:pPr>
        <w:pStyle w:val="ListBullet"/>
      </w:pPr>
      <w:r>
        <w:t>Cable types and routing constraints.</w:t>
      </w:r>
    </w:p>
    <w:p>
      <w:pPr>
        <w:pStyle w:val="ListBullet"/>
      </w:pPr>
      <w:r>
        <w:t>Signal isolation and shielding requirements.</w:t>
      </w:r>
    </w:p>
    <w:p>
      <w:pPr>
        <w:pStyle w:val="ListBullet"/>
      </w:pPr>
      <w:r>
        <w:t>Panel space and heat-dissipation constraints.</w:t>
      </w:r>
    </w:p>
    <w:p>
      <w:pPr>
        <w:pStyle w:val="ListBullet"/>
      </w:pPr>
      <w:r>
        <w:t>Electrical drawings and wire identification.</w:t>
      </w:r>
    </w:p>
    <w:p>
      <w:pPr>
        <w:pStyle w:val="Heading3"/>
      </w:pPr>
      <w:r>
        <w:t>Network interfaces</w:t>
      </w:r>
    </w:p>
    <w:p>
      <w:r>
        <w:t>Define:</w:t>
      </w:r>
    </w:p>
    <w:p>
      <w:pPr>
        <w:pStyle w:val="ListBullet"/>
      </w:pPr>
      <w:r>
        <w:t>Required protocols.</w:t>
      </w:r>
    </w:p>
    <w:p>
      <w:pPr>
        <w:pStyle w:val="ListBullet"/>
      </w:pPr>
      <w:r>
        <w:t>Network topology.</w:t>
      </w:r>
    </w:p>
    <w:p>
      <w:pPr>
        <w:pStyle w:val="ListBullet"/>
      </w:pPr>
      <w:r>
        <w:t>IP addressing and subnet arrangements.</w:t>
      </w:r>
    </w:p>
    <w:p>
      <w:pPr>
        <w:pStyle w:val="ListBullet"/>
      </w:pPr>
      <w:r>
        <w:t>Switch and port requirements.</w:t>
      </w:r>
    </w:p>
    <w:p>
      <w:pPr>
        <w:pStyle w:val="ListBullet"/>
      </w:pPr>
      <w:r>
        <w:t>Device naming and configuration.</w:t>
      </w:r>
    </w:p>
    <w:p>
      <w:pPr>
        <w:pStyle w:val="ListBullet"/>
      </w:pPr>
      <w:r>
        <w:t>Communication data mapping.</w:t>
      </w:r>
    </w:p>
    <w:p>
      <w:pPr>
        <w:pStyle w:val="ListBullet"/>
      </w:pPr>
      <w:r>
        <w:t>Time synchronization where needed.</w:t>
      </w:r>
    </w:p>
    <w:p>
      <w:pPr>
        <w:pStyle w:val="ListBullet"/>
      </w:pPr>
      <w:r>
        <w:t>Network segmentation and remote access.</w:t>
      </w:r>
    </w:p>
    <w:p>
      <w:pPr>
        <w:pStyle w:val="ListBullet"/>
      </w:pPr>
      <w:r>
        <w:t>Communication-loss behavior.</w:t>
      </w:r>
    </w:p>
    <w:p>
      <w:pPr>
        <w:pStyle w:val="ListBullet"/>
      </w:pPr>
      <w:r>
        <w:t>Network documentation and testing.</w:t>
      </w:r>
    </w:p>
    <w:p>
      <w:pPr>
        <w:pStyle w:val="Heading3"/>
      </w:pPr>
      <w:r>
        <w:t>Mechanical interfaces</w:t>
      </w:r>
    </w:p>
    <w:p>
      <w:r>
        <w:t>Define:</w:t>
      </w:r>
    </w:p>
    <w:p>
      <w:pPr>
        <w:pStyle w:val="ListBullet"/>
      </w:pPr>
      <w:r>
        <w:t>Overall dimensions and mounting.</w:t>
      </w:r>
    </w:p>
    <w:p>
      <w:pPr>
        <w:pStyle w:val="ListBullet"/>
      </w:pPr>
      <w:r>
        <w:t>Mounting-hole patterns.</w:t>
      </w:r>
    </w:p>
    <w:p>
      <w:pPr>
        <w:pStyle w:val="ListBullet"/>
      </w:pPr>
      <w:r>
        <w:t>Connector positions.</w:t>
      </w:r>
    </w:p>
    <w:p>
      <w:pPr>
        <w:pStyle w:val="ListBullet"/>
      </w:pPr>
      <w:r>
        <w:t>Environmental conditions.</w:t>
      </w:r>
    </w:p>
    <w:p>
      <w:pPr>
        <w:pStyle w:val="ListBullet"/>
      </w:pPr>
      <w:r>
        <w:t>Vibration and shock requirements.</w:t>
      </w:r>
    </w:p>
    <w:p>
      <w:pPr>
        <w:pStyle w:val="ListBullet"/>
      </w:pPr>
      <w:r>
        <w:t>Cable entry and service clearance.</w:t>
      </w:r>
    </w:p>
    <w:p>
      <w:pPr>
        <w:pStyle w:val="ListBullet"/>
      </w:pPr>
      <w:r>
        <w:t>Interface with existing tooling or machinery.</w:t>
      </w:r>
    </w:p>
    <w:p>
      <w:pPr>
        <w:pStyle w:val="ListBullet"/>
      </w:pPr>
      <w:r>
        <w:t>Required mechanical drawings.</w:t>
      </w:r>
    </w:p>
    <w:p>
      <w:r>
        <w:t>An interface control document is useful when multiple vendors are responsible for different parts of the same machine.</w:t>
      </w:r>
    </w:p>
    <w:p>
      <w:pPr>
        <w:pStyle w:val="Heading2"/>
      </w:pPr>
      <w:r>
        <w:t>12. Safety and compliance requirements</w:t>
      </w:r>
    </w:p>
    <w:p>
      <w:r>
        <w:t>Safety requirements should be derived from the applicable risk assessment, machine design, customer standards, and legal obligations.</w:t>
      </w:r>
    </w:p>
    <w:p>
      <w:r>
        <w:t>The specification may identify requirements concerning:</w:t>
      </w:r>
    </w:p>
    <w:p>
      <w:pPr>
        <w:pStyle w:val="ListBullet"/>
      </w:pPr>
      <w:r>
        <w:t>Emergency-stop functionality.</w:t>
      </w:r>
    </w:p>
    <w:p>
      <w:pPr>
        <w:pStyle w:val="ListBullet"/>
      </w:pPr>
      <w:r>
        <w:t>Guarding and guard interlocks.</w:t>
      </w:r>
    </w:p>
    <w:p>
      <w:pPr>
        <w:pStyle w:val="ListBullet"/>
      </w:pPr>
      <w:r>
        <w:t>Safety-related control functions.</w:t>
      </w:r>
    </w:p>
    <w:p>
      <w:pPr>
        <w:pStyle w:val="ListBullet"/>
      </w:pPr>
      <w:r>
        <w:t>Safe motion and drive functions where required.</w:t>
      </w:r>
    </w:p>
    <w:p>
      <w:pPr>
        <w:pStyle w:val="ListBullet"/>
      </w:pPr>
      <w:r>
        <w:t>Safety PLCs and safety I/O.</w:t>
      </w:r>
    </w:p>
    <w:p>
      <w:pPr>
        <w:pStyle w:val="ListBullet"/>
      </w:pPr>
      <w:r>
        <w:t>Isolation and lockout/tagout arrangements.</w:t>
      </w:r>
    </w:p>
    <w:p>
      <w:pPr>
        <w:pStyle w:val="ListBullet"/>
      </w:pPr>
      <w:r>
        <w:t>Electrical protection and earthing.</w:t>
      </w:r>
    </w:p>
    <w:p>
      <w:pPr>
        <w:pStyle w:val="ListBullet"/>
      </w:pPr>
      <w:r>
        <w:t>Risk assessment and validation records.</w:t>
      </w:r>
    </w:p>
    <w:p>
      <w:pPr>
        <w:pStyle w:val="ListBullet"/>
      </w:pPr>
      <w:r>
        <w:t>Safety-related drawings and documentation.</w:t>
      </w:r>
    </w:p>
    <w:p>
      <w:r>
        <w:t>Applicable standards may include relevant parts of IEC 60204-1, ISO 12100, ISO 13849, or IEC 62061, depending on the equipment and safety function.</w:t>
      </w:r>
    </w:p>
    <w:p>
      <w:r>
        <w:t>The specification must identify the applicable editions and required compliance approach where necessary. Merely naming a standard does not establish that a machine meets it.</w:t>
      </w:r>
    </w:p>
    <w:p>
      <w:r>
        <w:t>Safety requirements should not be reduced to a generic checklist. The required safety functions, performance targets, validation activities, and responsibilities must be established for the actual application.</w:t>
      </w:r>
    </w:p>
    <w:p>
      <w:pPr>
        <w:pStyle w:val="Heading2"/>
      </w:pPr>
      <w:r>
        <w:t>13. Performance and acceptance requirements</w:t>
      </w:r>
    </w:p>
    <w:p>
      <w:r>
        <w:t>Performance requirements define the measurable results expected from the delivered system.</w:t>
      </w:r>
    </w:p>
    <w:p>
      <w:r>
        <w:t>Examples include:</w:t>
      </w:r>
    </w:p>
    <w:p>
      <w:pPr>
        <w:pStyle w:val="ListBullet"/>
      </w:pPr>
      <w:r>
        <w:t>Cycle time under specified operating conditions.</w:t>
      </w:r>
    </w:p>
    <w:p>
      <w:pPr>
        <w:pStyle w:val="ListBullet"/>
      </w:pPr>
      <w:r>
        <w:t>Throughput or production rate.</w:t>
      </w:r>
    </w:p>
    <w:p>
      <w:pPr>
        <w:pStyle w:val="ListBullet"/>
      </w:pPr>
      <w:r>
        <w:t>Positioning accuracy and repeatability.</w:t>
      </w:r>
    </w:p>
    <w:p>
      <w:pPr>
        <w:pStyle w:val="ListBullet"/>
      </w:pPr>
      <w:r>
        <w:t>Measurement accuracy.</w:t>
      </w:r>
    </w:p>
    <w:p>
      <w:pPr>
        <w:pStyle w:val="ListBullet"/>
      </w:pPr>
      <w:r>
        <w:t>Communication response time.</w:t>
      </w:r>
    </w:p>
    <w:p>
      <w:pPr>
        <w:pStyle w:val="ListBullet"/>
      </w:pPr>
      <w:r>
        <w:t>Changeover time.</w:t>
      </w:r>
    </w:p>
    <w:p>
      <w:pPr>
        <w:pStyle w:val="ListBullet"/>
      </w:pPr>
      <w:r>
        <w:t>Fault detection and recovery behavior.</w:t>
      </w:r>
    </w:p>
    <w:p>
      <w:pPr>
        <w:pStyle w:val="ListBullet"/>
      </w:pPr>
      <w:r>
        <w:t>Data retention or logging performance.</w:t>
      </w:r>
    </w:p>
    <w:p>
      <w:pPr>
        <w:pStyle w:val="ListBullet"/>
      </w:pPr>
      <w:r>
        <w:t>Availability requirements, where specified.</w:t>
      </w:r>
    </w:p>
    <w:p>
      <w:r>
        <w:t>For a cycle-time requirement, define the measurement start and end points, operating mode, product variant, and relevant conditions. Otherwise, two parties can measure the same machine and produce two different answers.</w:t>
      </w:r>
    </w:p>
    <w:p>
      <w:r>
        <w:t>Acceptance criteria should be agreed before the supplier begins work. They should identify the test method, test conditions, permitted tolerances, required evidence, and handling of failed tests.</w:t>
      </w:r>
    </w:p>
    <w:p>
      <w:pPr>
        <w:pStyle w:val="Heading2"/>
      </w:pPr>
      <w:r>
        <w:t>14. Testing and acceptance specification</w:t>
      </w:r>
    </w:p>
    <w:p>
      <w:pPr>
        <w:pStyle w:val="Heading3"/>
      </w:pPr>
      <w:r>
        <w:t>Factory Acceptance Test (FAT)</w:t>
      </w:r>
    </w:p>
    <w:p>
      <w:r>
        <w:t>FAT is conducted before shipment or site installation, usually at the supplier's facility or another agreed location.</w:t>
      </w:r>
    </w:p>
    <w:p>
      <w:r>
        <w:t>A FAT plan may cover:</w:t>
      </w:r>
    </w:p>
    <w:p>
      <w:pPr>
        <w:pStyle w:val="ListBullet"/>
      </w:pPr>
      <w:r>
        <w:t>Hardware inspection.</w:t>
      </w:r>
    </w:p>
    <w:p>
      <w:pPr>
        <w:pStyle w:val="ListBullet"/>
      </w:pPr>
      <w:r>
        <w:t>Wiring and panel checks.</w:t>
      </w:r>
    </w:p>
    <w:p>
      <w:pPr>
        <w:pStyle w:val="ListBullet"/>
      </w:pPr>
      <w:r>
        <w:t>I/O simulation.</w:t>
      </w:r>
    </w:p>
    <w:p>
      <w:pPr>
        <w:pStyle w:val="ListBullet"/>
      </w:pPr>
      <w:r>
        <w:t>Sequence testing.</w:t>
      </w:r>
    </w:p>
    <w:p>
      <w:pPr>
        <w:pStyle w:val="ListBullet"/>
      </w:pPr>
      <w:r>
        <w:t>Alarm and fault testing.</w:t>
      </w:r>
    </w:p>
    <w:p>
      <w:pPr>
        <w:pStyle w:val="ListBullet"/>
      </w:pPr>
      <w:r>
        <w:t>Communication testing.</w:t>
      </w:r>
    </w:p>
    <w:p>
      <w:pPr>
        <w:pStyle w:val="ListBullet"/>
      </w:pPr>
      <w:r>
        <w:t>Safety-function verification as appropriate to the agreed test stage.</w:t>
      </w:r>
    </w:p>
    <w:p>
      <w:pPr>
        <w:pStyle w:val="ListBullet"/>
      </w:pPr>
      <w:r>
        <w:t>Backup and restore checks.</w:t>
      </w:r>
    </w:p>
    <w:p>
      <w:pPr>
        <w:pStyle w:val="ListBullet"/>
      </w:pPr>
      <w:r>
        <w:t>Documentation review.</w:t>
      </w:r>
    </w:p>
    <w:p>
      <w:pPr>
        <w:pStyle w:val="Heading3"/>
      </w:pPr>
      <w:r>
        <w:t>Site Acceptance Test (SAT)</w:t>
      </w:r>
    </w:p>
    <w:p>
      <w:r>
        <w:t>SAT verifies the installed system under the agreed site conditions.</w:t>
      </w:r>
    </w:p>
    <w:p>
      <w:r>
        <w:t>It may include:</w:t>
      </w:r>
    </w:p>
    <w:p>
      <w:pPr>
        <w:pStyle w:val="ListBullet"/>
      </w:pPr>
      <w:r>
        <w:t>Installation inspection.</w:t>
      </w:r>
    </w:p>
    <w:p>
      <w:pPr>
        <w:pStyle w:val="ListBullet"/>
      </w:pPr>
      <w:r>
        <w:t>Power-up and commissioning checks.</w:t>
      </w:r>
    </w:p>
    <w:p>
      <w:pPr>
        <w:pStyle w:val="ListBullet"/>
      </w:pPr>
      <w:r>
        <w:t>Field I/O verification.</w:t>
      </w:r>
    </w:p>
    <w:p>
      <w:pPr>
        <w:pStyle w:val="ListBullet"/>
      </w:pPr>
      <w:r>
        <w:t>Integration with existing equipment.</w:t>
      </w:r>
    </w:p>
    <w:p>
      <w:pPr>
        <w:pStyle w:val="ListBullet"/>
      </w:pPr>
      <w:r>
        <w:t>Production sequence testing.</w:t>
      </w:r>
    </w:p>
    <w:p>
      <w:pPr>
        <w:pStyle w:val="ListBullet"/>
      </w:pPr>
      <w:r>
        <w:t>Communication-loss and recovery tests.</w:t>
      </w:r>
    </w:p>
    <w:p>
      <w:pPr>
        <w:pStyle w:val="ListBullet"/>
      </w:pPr>
      <w:r>
        <w:t>Performance testing.</w:t>
      </w:r>
    </w:p>
    <w:p>
      <w:pPr>
        <w:pStyle w:val="ListBullet"/>
      </w:pPr>
      <w:r>
        <w:t>Operator and maintenance handover.</w:t>
      </w:r>
    </w:p>
    <w:p>
      <w:pPr>
        <w:pStyle w:val="ListBullet"/>
      </w:pPr>
      <w:r>
        <w:t>Closure of punch-list items.</w:t>
      </w:r>
    </w:p>
    <w:p>
      <w:r>
        <w:t>FAT does not replace all site validation. Some functions cannot be fully demonstrated until the system is installed and connected to actual field equipment.</w:t>
      </w:r>
    </w:p>
    <w:p>
      <w:pPr>
        <w:pStyle w:val="Heading2"/>
      </w:pPr>
      <w:r>
        <w:t>15. Documentation and handover requirements</w:t>
      </w:r>
    </w:p>
    <w:p>
      <w:r>
        <w:t>The technical specification should identify the exact deliverables and their required formats.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Deliverable</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Electrical schematics</w:t>
            </w:r>
          </w:p>
        </w:tc>
        <w:tc>
          <w:tcPr>
            <w:tcW w:type="dxa" w:w="5400"/>
          </w:tcPr>
          <w:p>
            <w:pPr>
              <w:spacing w:after="0" w:before="0" w:line="240" w:lineRule="auto"/>
              <w:jc w:val="left"/>
            </w:pPr>
            <w:r>
              <w:t>Maintenance and troubleshooting</w:t>
            </w:r>
          </w:p>
        </w:tc>
      </w:tr>
      <w:tr>
        <w:tc>
          <w:tcPr>
            <w:tcW w:type="dxa" w:w="5400"/>
          </w:tcPr>
          <w:p>
            <w:pPr>
              <w:spacing w:after="0" w:before="0" w:line="240" w:lineRule="auto"/>
              <w:jc w:val="left"/>
            </w:pPr>
            <w:r>
              <w:t>I/O list</w:t>
            </w:r>
          </w:p>
        </w:tc>
        <w:tc>
          <w:tcPr>
            <w:tcW w:type="dxa" w:w="5400"/>
          </w:tcPr>
          <w:p>
            <w:pPr>
              <w:spacing w:after="0" w:before="0" w:line="240" w:lineRule="auto"/>
              <w:jc w:val="left"/>
            </w:pPr>
            <w:r>
              <w:t>Signal identification and verification</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Spare-parts and procurement management</w:t>
            </w:r>
          </w:p>
        </w:tc>
      </w:tr>
      <w:tr>
        <w:tc>
          <w:tcPr>
            <w:tcW w:type="dxa" w:w="5400"/>
          </w:tcPr>
          <w:p>
            <w:pPr>
              <w:spacing w:after="0" w:before="0" w:line="240" w:lineRule="auto"/>
              <w:jc w:val="left"/>
            </w:pPr>
            <w:r>
              <w:t>PLC source project</w:t>
            </w:r>
          </w:p>
        </w:tc>
        <w:tc>
          <w:tcPr>
            <w:tcW w:type="dxa" w:w="5400"/>
          </w:tcPr>
          <w:p>
            <w:pPr>
              <w:spacing w:after="0" w:before="0" w:line="240" w:lineRule="auto"/>
              <w:jc w:val="left"/>
            </w:pPr>
            <w:r>
              <w:t>Future modifications and fault diagnosis</w:t>
            </w:r>
          </w:p>
        </w:tc>
      </w:tr>
      <w:tr>
        <w:tc>
          <w:tcPr>
            <w:tcW w:type="dxa" w:w="5400"/>
          </w:tcPr>
          <w:p>
            <w:pPr>
              <w:spacing w:after="0" w:before="0" w:line="240" w:lineRule="auto"/>
              <w:jc w:val="left"/>
            </w:pPr>
            <w:r>
              <w:t>HMI source project</w:t>
            </w:r>
          </w:p>
        </w:tc>
        <w:tc>
          <w:tcPr>
            <w:tcW w:type="dxa" w:w="5400"/>
          </w:tcPr>
          <w:p>
            <w:pPr>
              <w:spacing w:after="0" w:before="0" w:line="240" w:lineRule="auto"/>
              <w:jc w:val="left"/>
            </w:pPr>
            <w:r>
              <w:t>Screen and alarm maintenance</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Communication troubleshooting</w:t>
            </w:r>
          </w:p>
        </w:tc>
      </w:tr>
      <w:tr>
        <w:tc>
          <w:tcPr>
            <w:tcW w:type="dxa" w:w="5400"/>
          </w:tcPr>
          <w:p>
            <w:pPr>
              <w:spacing w:after="0" w:before="0" w:line="240" w:lineRule="auto"/>
              <w:jc w:val="left"/>
            </w:pPr>
            <w:r>
              <w:t>Device configuration files</w:t>
            </w:r>
          </w:p>
        </w:tc>
        <w:tc>
          <w:tcPr>
            <w:tcW w:type="dxa" w:w="5400"/>
          </w:tcPr>
          <w:p>
            <w:pPr>
              <w:spacing w:after="0" w:before="0" w:line="240" w:lineRule="auto"/>
              <w:jc w:val="left"/>
            </w:pPr>
            <w:r>
              <w:t>Restoration and replacement</w:t>
            </w:r>
          </w:p>
        </w:tc>
      </w:tr>
      <w:tr>
        <w:tc>
          <w:tcPr>
            <w:tcW w:type="dxa" w:w="5400"/>
          </w:tcPr>
          <w:p>
            <w:pPr>
              <w:spacing w:after="0" w:before="0" w:line="240" w:lineRule="auto"/>
              <w:jc w:val="left"/>
            </w:pPr>
            <w:r>
              <w:t>Test reports</w:t>
            </w:r>
          </w:p>
        </w:tc>
        <w:tc>
          <w:tcPr>
            <w:tcW w:type="dxa" w:w="5400"/>
          </w:tcPr>
          <w:p>
            <w:pPr>
              <w:spacing w:after="0" w:before="0" w:line="240" w:lineRule="auto"/>
              <w:jc w:val="left"/>
            </w:pPr>
            <w:r>
              <w:t>Evidence of verification and acceptance</w:t>
            </w:r>
          </w:p>
        </w:tc>
      </w:tr>
      <w:tr>
        <w:tc>
          <w:tcPr>
            <w:tcW w:type="dxa" w:w="5400"/>
          </w:tcPr>
          <w:p>
            <w:pPr>
              <w:spacing w:after="0" w:before="0" w:line="240" w:lineRule="auto"/>
              <w:jc w:val="left"/>
            </w:pPr>
            <w:r>
              <w:t>Operating manuals</w:t>
            </w:r>
          </w:p>
        </w:tc>
        <w:tc>
          <w:tcPr>
            <w:tcW w:type="dxa" w:w="5400"/>
          </w:tcPr>
          <w:p>
            <w:pPr>
              <w:spacing w:after="0" w:before="0" w:line="240" w:lineRule="auto"/>
              <w:jc w:val="left"/>
            </w:pPr>
            <w:r>
              <w:t>Operator guidance</w:t>
            </w:r>
          </w:p>
        </w:tc>
      </w:tr>
      <w:tr>
        <w:tc>
          <w:tcPr>
            <w:tcW w:type="dxa" w:w="5400"/>
          </w:tcPr>
          <w:p>
            <w:pPr>
              <w:spacing w:after="0" w:before="0" w:line="240" w:lineRule="auto"/>
              <w:jc w:val="left"/>
            </w:pPr>
            <w:r>
              <w:t>Maintenance manuals</w:t>
            </w:r>
          </w:p>
        </w:tc>
        <w:tc>
          <w:tcPr>
            <w:tcW w:type="dxa" w:w="5400"/>
          </w:tcPr>
          <w:p>
            <w:pPr>
              <w:spacing w:after="0" w:before="0" w:line="240" w:lineRule="auto"/>
              <w:jc w:val="left"/>
            </w:pPr>
            <w:r>
              <w:t>Preventive and corrective maintenance</w:t>
            </w:r>
          </w:p>
        </w:tc>
      </w:tr>
      <w:tr>
        <w:tc>
          <w:tcPr>
            <w:tcW w:type="dxa" w:w="5400"/>
          </w:tcPr>
          <w:p>
            <w:pPr>
              <w:spacing w:after="0" w:before="0" w:line="240" w:lineRule="auto"/>
              <w:jc w:val="left"/>
            </w:pPr>
            <w:r>
              <w:t>Backup and recovery instructions</w:t>
            </w:r>
          </w:p>
        </w:tc>
        <w:tc>
          <w:tcPr>
            <w:tcW w:type="dxa" w:w="5400"/>
          </w:tcPr>
          <w:p>
            <w:pPr>
              <w:spacing w:after="0" w:before="0" w:line="240" w:lineRule="auto"/>
              <w:jc w:val="left"/>
            </w:pPr>
            <w:r>
              <w:t>System restoration</w:t>
            </w:r>
          </w:p>
        </w:tc>
      </w:tr>
      <w:tr>
        <w:tc>
          <w:tcPr>
            <w:tcW w:type="dxa" w:w="5400"/>
          </w:tcPr>
          <w:p>
            <w:pPr>
              <w:spacing w:after="0" w:before="0" w:line="240" w:lineRule="auto"/>
              <w:jc w:val="left"/>
            </w:pPr>
            <w:r>
              <w:t>As-built drawings</w:t>
            </w:r>
          </w:p>
        </w:tc>
        <w:tc>
          <w:tcPr>
            <w:tcW w:type="dxa" w:w="5400"/>
          </w:tcPr>
          <w:p>
            <w:pPr>
              <w:spacing w:after="0" w:before="0" w:line="240" w:lineRule="auto"/>
              <w:jc w:val="left"/>
            </w:pPr>
            <w:r>
              <w:t>Record of the final installed condition</w:t>
            </w:r>
          </w:p>
        </w:tc>
      </w:tr>
      <w:tr>
        <w:tc>
          <w:tcPr>
            <w:tcW w:type="dxa" w:w="5400"/>
          </w:tcPr>
          <w:p>
            <w:pPr>
              <w:spacing w:after="0" w:before="0" w:line="240" w:lineRule="auto"/>
              <w:jc w:val="left"/>
            </w:pPr>
            <w:r>
              <w:t>Training records</w:t>
            </w:r>
          </w:p>
        </w:tc>
        <w:tc>
          <w:tcPr>
            <w:tcW w:type="dxa" w:w="5400"/>
          </w:tcPr>
          <w:p>
            <w:pPr>
              <w:spacing w:after="0" w:before="0" w:line="240" w:lineRule="auto"/>
              <w:jc w:val="left"/>
            </w:pPr>
            <w:r>
              <w:t>Evidence of handover and knowledge transfer</w:t>
            </w:r>
          </w:p>
        </w:tc>
      </w:tr>
    </w:tbl>
    <w:p/>
    <w:p>
      <w:r>
        <w:t>Define the submission format, revision, timing, review process, and acceptance responsibility. "Documentation included" is too vague to be an enforceable deliverable.</w:t>
      </w:r>
    </w:p>
    <w:p>
      <w:pPr>
        <w:pStyle w:val="Heading2"/>
      </w:pPr>
      <w:r>
        <w:t>16. Commercial specification structure</w:t>
      </w:r>
    </w:p>
    <w:p>
      <w:r>
        <w:t>Commercial requirements define the financial and contractual basis of the purchase.</w:t>
      </w:r>
    </w:p>
    <w:p>
      <w:r>
        <w:t>Common sections include:</w:t>
      </w:r>
    </w:p>
    <w:p>
      <w:pPr>
        <w:pStyle w:val="ListBullet"/>
      </w:pPr>
      <w:r>
        <w:t>Quotation currency.</w:t>
      </w:r>
    </w:p>
    <w:p>
      <w:pPr>
        <w:pStyle w:val="ListBullet"/>
      </w:pPr>
      <w:r>
        <w:t>Itemized pricing.</w:t>
      </w:r>
    </w:p>
    <w:p>
      <w:pPr>
        <w:pStyle w:val="ListBullet"/>
      </w:pPr>
      <w:r>
        <w:t>Quantity and unit of measure.</w:t>
      </w:r>
    </w:p>
    <w:p>
      <w:pPr>
        <w:pStyle w:val="ListBullet"/>
      </w:pPr>
      <w:r>
        <w:t>Engineering and programming charges.</w:t>
      </w:r>
    </w:p>
    <w:p>
      <w:pPr>
        <w:pStyle w:val="ListBullet"/>
      </w:pPr>
      <w:r>
        <w:t>Installation and commissioning charges.</w:t>
      </w:r>
    </w:p>
    <w:p>
      <w:pPr>
        <w:pStyle w:val="ListBullet"/>
      </w:pPr>
      <w:r>
        <w:t>Freight, packaging, and insurance.</w:t>
      </w:r>
    </w:p>
    <w:p>
      <w:pPr>
        <w:pStyle w:val="ListBullet"/>
      </w:pPr>
      <w:r>
        <w:t>Taxes and duties as applicable.</w:t>
      </w:r>
    </w:p>
    <w:p>
      <w:pPr>
        <w:pStyle w:val="ListBullet"/>
      </w:pPr>
      <w:r>
        <w:t>Delivery schedule.</w:t>
      </w:r>
    </w:p>
    <w:p>
      <w:pPr>
        <w:pStyle w:val="ListBullet"/>
      </w:pPr>
      <w:r>
        <w:t>Delivery location and agreed delivery terms.</w:t>
      </w:r>
    </w:p>
    <w:p>
      <w:pPr>
        <w:pStyle w:val="ListBullet"/>
      </w:pPr>
      <w:r>
        <w:t>Payment milestones.</w:t>
      </w:r>
    </w:p>
    <w:p>
      <w:pPr>
        <w:pStyle w:val="ListBullet"/>
      </w:pPr>
      <w:r>
        <w:t>Quotation validity.</w:t>
      </w:r>
    </w:p>
    <w:p>
      <w:pPr>
        <w:pStyle w:val="ListBullet"/>
      </w:pPr>
      <w:r>
        <w:t>Warranty period and scope.</w:t>
      </w:r>
    </w:p>
    <w:p>
      <w:pPr>
        <w:pStyle w:val="ListBullet"/>
      </w:pPr>
      <w:r>
        <w:t>Price adjustment conditions.</w:t>
      </w:r>
    </w:p>
    <w:p>
      <w:pPr>
        <w:pStyle w:val="ListBullet"/>
      </w:pPr>
      <w:r>
        <w:t>Cancellation and change-order conditions.</w:t>
      </w:r>
    </w:p>
    <w:p>
      <w:pPr>
        <w:pStyle w:val="ListBullet"/>
      </w:pPr>
      <w:r>
        <w:t>Delay and other contractual remedies where applicable.</w:t>
      </w:r>
    </w:p>
    <w:p>
      <w:pPr>
        <w:pStyle w:val="ListBullet"/>
      </w:pPr>
      <w:r>
        <w:t>Training and support charges.</w:t>
      </w:r>
    </w:p>
    <w:p>
      <w:pPr>
        <w:pStyle w:val="ListBullet"/>
      </w:pPr>
      <w:r>
        <w:t>Spare-parts pricing.</w:t>
      </w:r>
    </w:p>
    <w:p>
      <w:pPr>
        <w:pStyle w:val="ListBullet"/>
      </w:pPr>
      <w:r>
        <w:t>Optional items and alternatives.</w:t>
      </w:r>
    </w:p>
    <w:p>
      <w:pPr>
        <w:pStyle w:val="ListBullet"/>
      </w:pPr>
      <w:r>
        <w:t>Contractual exclusions and assumptions.</w:t>
      </w:r>
    </w:p>
    <w:p>
      <w:r>
        <w:t>Commercial conditions should be consistent with the organization's procurement policy and the governing purchase order or contract.</w:t>
      </w:r>
    </w:p>
    <w:p>
      <w:pPr>
        <w:pStyle w:val="Heading2"/>
      </w:pPr>
      <w:r>
        <w:t>17. Price breakdown and total cost</w:t>
      </w:r>
    </w:p>
    <w:p>
      <w:r>
        <w:t>A supplier should provide a transparent breakdown so that competing offers can be compared consistently.</w:t>
      </w:r>
    </w:p>
    <w:p>
      <w:r>
        <w:t>Example price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Line item</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Unit price</w:t>
            </w:r>
          </w:p>
        </w:tc>
        <w:tc>
          <w:tcPr>
            <w:tcW w:type="dxa" w:w="2700"/>
            <w:shd w:val="clear" w:color="auto" w:fill="EEF2F7"/>
          </w:tcPr>
          <w:p>
            <w:pPr>
              <w:spacing w:after="0" w:before="0" w:line="240" w:lineRule="auto"/>
              <w:jc w:val="left"/>
            </w:pPr>
            <w:r>
              <w:rPr>
                <w:b/>
                <w:color w:val="1A2E4A"/>
              </w:rPr>
              <w:t>Total price</w:t>
            </w:r>
          </w:p>
        </w:tc>
      </w:tr>
      <w:tr>
        <w:tc>
          <w:tcPr>
            <w:tcW w:type="dxa" w:w="2700"/>
          </w:tcPr>
          <w:p>
            <w:pPr>
              <w:spacing w:after="0" w:before="0" w:line="240" w:lineRule="auto"/>
              <w:jc w:val="left"/>
            </w:pPr>
            <w:r>
              <w:t>PLC hardware</w:t>
            </w:r>
          </w:p>
        </w:tc>
        <w:tc>
          <w:tcPr>
            <w:tcW w:type="dxa" w:w="2700"/>
          </w:tcPr>
          <w:p>
            <w:pPr>
              <w:spacing w:after="0" w:before="0" w:line="240" w:lineRule="auto"/>
              <w:jc w:val="left"/>
            </w:pPr>
            <w:r>
              <w:t>1 set</w:t>
            </w:r>
          </w:p>
        </w:tc>
        <w:tc>
          <w:tcPr>
            <w:tcW w:type="dxa" w:w="2700"/>
          </w:tcPr>
          <w:p>
            <w:pPr>
              <w:spacing w:after="0" w:before="0" w:line="240" w:lineRule="auto"/>
              <w:jc w:val="left"/>
            </w:pPr>
            <w:r>
              <w:t>180000</w:t>
            </w:r>
          </w:p>
        </w:tc>
        <w:tc>
          <w:tcPr>
            <w:tcW w:type="dxa" w:w="2700"/>
          </w:tcPr>
          <w:p>
            <w:pPr>
              <w:spacing w:after="0" w:before="0" w:line="240" w:lineRule="auto"/>
              <w:jc w:val="left"/>
            </w:pPr>
            <w:r>
              <w:t>180000</w:t>
            </w:r>
          </w:p>
        </w:tc>
      </w:tr>
      <w:tr>
        <w:tc>
          <w:tcPr>
            <w:tcW w:type="dxa" w:w="2700"/>
          </w:tcPr>
          <w:p>
            <w:pPr>
              <w:spacing w:after="0" w:before="0" w:line="240" w:lineRule="auto"/>
              <w:jc w:val="left"/>
            </w:pPr>
            <w:r>
              <w:t>HMI hardware</w:t>
            </w:r>
          </w:p>
        </w:tc>
        <w:tc>
          <w:tcPr>
            <w:tcW w:type="dxa" w:w="2700"/>
          </w:tcPr>
          <w:p>
            <w:pPr>
              <w:spacing w:after="0" w:before="0" w:line="240" w:lineRule="auto"/>
              <w:jc w:val="left"/>
            </w:pPr>
            <w:r>
              <w:t>1 unit</w:t>
            </w:r>
          </w:p>
        </w:tc>
        <w:tc>
          <w:tcPr>
            <w:tcW w:type="dxa" w:w="2700"/>
          </w:tcPr>
          <w:p>
            <w:pPr>
              <w:spacing w:after="0" w:before="0" w:line="240" w:lineRule="auto"/>
              <w:jc w:val="left"/>
            </w:pPr>
            <w:r>
              <w:t>65000</w:t>
            </w:r>
          </w:p>
        </w:tc>
        <w:tc>
          <w:tcPr>
            <w:tcW w:type="dxa" w:w="2700"/>
          </w:tcPr>
          <w:p>
            <w:pPr>
              <w:spacing w:after="0" w:before="0" w:line="240" w:lineRule="auto"/>
              <w:jc w:val="left"/>
            </w:pPr>
            <w:r>
              <w:t>65000</w:t>
            </w:r>
          </w:p>
        </w:tc>
      </w:tr>
      <w:tr>
        <w:tc>
          <w:tcPr>
            <w:tcW w:type="dxa" w:w="2700"/>
          </w:tcPr>
          <w:p>
            <w:pPr>
              <w:spacing w:after="0" w:before="0" w:line="240" w:lineRule="auto"/>
              <w:jc w:val="left"/>
            </w:pPr>
            <w:r>
              <w:t>Engineering and programming</w:t>
            </w:r>
          </w:p>
        </w:tc>
        <w:tc>
          <w:tcPr>
            <w:tcW w:type="dxa" w:w="2700"/>
          </w:tcPr>
          <w:p>
            <w:pPr>
              <w:spacing w:after="0" w:before="0" w:line="240" w:lineRule="auto"/>
              <w:jc w:val="left"/>
            </w:pPr>
            <w:r>
              <w:t>1 lot</w:t>
            </w:r>
          </w:p>
        </w:tc>
        <w:tc>
          <w:tcPr>
            <w:tcW w:type="dxa" w:w="2700"/>
          </w:tcPr>
          <w:p>
            <w:pPr>
              <w:spacing w:after="0" w:before="0" w:line="240" w:lineRule="auto"/>
              <w:jc w:val="left"/>
            </w:pPr>
            <w:r>
              <w:t>90000</w:t>
            </w:r>
          </w:p>
        </w:tc>
        <w:tc>
          <w:tcPr>
            <w:tcW w:type="dxa" w:w="2700"/>
          </w:tcPr>
          <w:p>
            <w:pPr>
              <w:spacing w:after="0" w:before="0" w:line="240" w:lineRule="auto"/>
              <w:jc w:val="left"/>
            </w:pPr>
            <w:r>
              <w:t>90000</w:t>
            </w:r>
          </w:p>
        </w:tc>
      </w:tr>
      <w:tr>
        <w:tc>
          <w:tcPr>
            <w:tcW w:type="dxa" w:w="2700"/>
          </w:tcPr>
          <w:p>
            <w:pPr>
              <w:spacing w:after="0" w:before="0" w:line="240" w:lineRule="auto"/>
              <w:jc w:val="left"/>
            </w:pPr>
            <w:r>
              <w:t>Installation and commissioning</w:t>
            </w:r>
          </w:p>
        </w:tc>
        <w:tc>
          <w:tcPr>
            <w:tcW w:type="dxa" w:w="2700"/>
          </w:tcPr>
          <w:p>
            <w:pPr>
              <w:spacing w:after="0" w:before="0" w:line="240" w:lineRule="auto"/>
              <w:jc w:val="left"/>
            </w:pPr>
            <w:r>
              <w:t>1 lot</w:t>
            </w:r>
          </w:p>
        </w:tc>
        <w:tc>
          <w:tcPr>
            <w:tcW w:type="dxa" w:w="2700"/>
          </w:tcPr>
          <w:p>
            <w:pPr>
              <w:spacing w:after="0" w:before="0" w:line="240" w:lineRule="auto"/>
              <w:jc w:val="left"/>
            </w:pPr>
            <w:r>
              <w:t>45000</w:t>
            </w:r>
          </w:p>
        </w:tc>
        <w:tc>
          <w:tcPr>
            <w:tcW w:type="dxa" w:w="2700"/>
          </w:tcPr>
          <w:p>
            <w:pPr>
              <w:spacing w:after="0" w:before="0" w:line="240" w:lineRule="auto"/>
              <w:jc w:val="left"/>
            </w:pPr>
            <w:r>
              <w:t>45000</w:t>
            </w:r>
          </w:p>
        </w:tc>
      </w:tr>
      <w:tr>
        <w:tc>
          <w:tcPr>
            <w:tcW w:type="dxa" w:w="2700"/>
          </w:tcPr>
          <w:p>
            <w:pPr>
              <w:spacing w:after="0" w:before="0" w:line="240" w:lineRule="auto"/>
              <w:jc w:val="left"/>
            </w:pPr>
            <w:r>
              <w:t>Training and documentation</w:t>
            </w:r>
          </w:p>
        </w:tc>
        <w:tc>
          <w:tcPr>
            <w:tcW w:type="dxa" w:w="2700"/>
          </w:tcPr>
          <w:p>
            <w:pPr>
              <w:spacing w:after="0" w:before="0" w:line="240" w:lineRule="auto"/>
              <w:jc w:val="left"/>
            </w:pPr>
            <w:r>
              <w:t>1 lot</w:t>
            </w:r>
          </w:p>
        </w:tc>
        <w:tc>
          <w:tcPr>
            <w:tcW w:type="dxa" w:w="2700"/>
          </w:tcPr>
          <w:p>
            <w:pPr>
              <w:spacing w:after="0" w:before="0" w:line="240" w:lineRule="auto"/>
              <w:jc w:val="left"/>
            </w:pPr>
            <w:r>
              <w:t>20000</w:t>
            </w:r>
          </w:p>
        </w:tc>
        <w:tc>
          <w:tcPr>
            <w:tcW w:type="dxa" w:w="2700"/>
          </w:tcPr>
          <w:p>
            <w:pPr>
              <w:spacing w:after="0" w:before="0" w:line="240" w:lineRule="auto"/>
              <w:jc w:val="left"/>
            </w:pPr>
            <w:r>
              <w:t>20000</w:t>
            </w:r>
          </w:p>
        </w:tc>
      </w:tr>
      <w:tr>
        <w:tc>
          <w:tcPr>
            <w:tcW w:type="dxa" w:w="2700"/>
          </w:tcPr>
          <w:p>
            <w:pPr>
              <w:spacing w:after="0" w:before="0" w:line="240" w:lineRule="auto"/>
              <w:jc w:val="left"/>
            </w:pPr>
            <w:r>
              <w:t>Total before applicable taxes</w:t>
            </w:r>
          </w:p>
        </w:tc>
        <w:tc>
          <w:tcPr>
            <w:tcW w:type="dxa" w:w="2700"/>
          </w:tcPr>
          <w:p>
            <w:pPr>
              <w:spacing w:after="0" w:before="0" w:line="240" w:lineRule="auto"/>
              <w:jc w:val="left"/>
            </w:pPr>
            <w:r>
              <w:t>1 lot</w:t>
            </w:r>
          </w:p>
        </w:tc>
        <w:tc>
          <w:tcPr>
            <w:tcW w:type="dxa" w:w="2700"/>
          </w:tcPr>
          <w:p>
            <w:pPr>
              <w:spacing w:after="0" w:before="0" w:line="240" w:lineRule="auto"/>
              <w:jc w:val="left"/>
            </w:pPr>
            <w:r>
              <w:t>400000</w:t>
            </w:r>
          </w:p>
        </w:tc>
        <w:tc>
          <w:tcPr>
            <w:tcW w:type="dxa" w:w="2700"/>
          </w:tcPr>
          <w:p>
            <w:pPr>
              <w:spacing w:after="0" w:before="0" w:line="240" w:lineRule="auto"/>
              <w:jc w:val="left"/>
            </w:pPr>
            <w:r>
              <w:t>400000</w:t>
            </w:r>
          </w:p>
        </w:tc>
      </w:tr>
    </w:tbl>
    <w:p/>
    <w:p>
      <w:r>
        <w:t>The figures are illustrative and expressed in Indian rupees. Actual taxes, freight, duties, and other applicable charges must be stated separately or incorporated according to the required quotation format.</w:t>
      </w:r>
    </w:p>
    <w:p>
      <w:pPr>
        <w:pStyle w:val="Heading3"/>
      </w:pPr>
      <w:r>
        <w:t>Total Cost of Ownership (TCO)</w:t>
      </w:r>
    </w:p>
    <w:p>
      <w:r>
        <w:t>The lowest purchase price is not necessarily the lowest lifecycle cost.</w:t>
      </w:r>
    </w:p>
    <w:p>
      <w:r>
        <w:t>A simplified lifecycle-cost model is:</w:t>
      </w:r>
    </w:p>
    <w:p>
      <w:pPr>
        <w:spacing w:before="120" w:after="160"/>
        <w:jc w:val="center"/>
      </w:pPr>
      <m:oMathPara>
        <m:oMath>
          <m:r>
            <m:t>TCO=</m:t>
          </m:r>
          <m:sSub>
            <m:e>
              <m:r>
                <m:t>C</m:t>
              </m:r>
            </m:e>
            <m:sub>
              <m:r>
                <m:rPr>
                  <m:nor/>
                </m:rPr>
                <m:t>purchase</m:t>
              </m:r>
            </m:sub>
          </m:sSub>
          <m:r>
            <m:t>+</m:t>
          </m:r>
          <m:sSub>
            <m:e>
              <m:r>
                <m:t>C</m:t>
              </m:r>
            </m:e>
            <m:sub>
              <m:r>
                <m:rPr>
                  <m:nor/>
                </m:rPr>
                <m:t>installation</m:t>
              </m:r>
            </m:sub>
          </m:sSub>
          <m:r>
            <m:t>+</m:t>
          </m:r>
          <m:sSub>
            <m:e>
              <m:r>
                <m:t>C</m:t>
              </m:r>
            </m:e>
            <m:sub>
              <m:r>
                <m:rPr>
                  <m:nor/>
                </m:rPr>
                <m:t>operation</m:t>
              </m:r>
            </m:sub>
          </m:sSub>
          <m:r>
            <m:t>+</m:t>
          </m:r>
          <m:sSub>
            <m:e>
              <m:r>
                <m:t>C</m:t>
              </m:r>
            </m:e>
            <m:sub>
              <m:r>
                <m:rPr>
                  <m:nor/>
                </m:rPr>
                <m:t>maintenance</m:t>
              </m:r>
            </m:sub>
          </m:sSub>
          <m:r>
            <m:t>+</m:t>
          </m:r>
          <m:sSub>
            <m:e>
              <m:r>
                <m:t>C</m:t>
              </m:r>
            </m:e>
            <m:sub>
              <m:r>
                <m:rPr>
                  <m:nor/>
                </m:rPr>
                <m:t>downtime</m:t>
              </m:r>
            </m:sub>
          </m:sSub>
          <m:r>
            <m:t>+</m:t>
          </m:r>
          <m:sSub>
            <m:e>
              <m:r>
                <m:t>C</m:t>
              </m:r>
            </m:e>
            <m:sub>
              <m:r>
                <m:rPr>
                  <m:nor/>
                </m:rPr>
                <m:t>end-of-life</m:t>
              </m:r>
            </m:sub>
          </m:sSub>
        </m:oMath>
      </m:oMathPara>
    </w:p>
    <w:p>
      <w:r>
        <w:t>The calculation should use a defined evaluation period and avoid double-counting costs.</w:t>
      </w:r>
    </w:p>
    <w:p>
      <w:r>
        <w:t>For industrial automation, lifecycle costs can include:</w:t>
      </w:r>
    </w:p>
    <w:p>
      <w:pPr>
        <w:pStyle w:val="ListBullet"/>
      </w:pPr>
      <w:r>
        <w:t>Engineering and commissioning.</w:t>
      </w:r>
    </w:p>
    <w:p>
      <w:pPr>
        <w:pStyle w:val="ListBullet"/>
      </w:pPr>
      <w:r>
        <w:t>Software licenses.</w:t>
      </w:r>
    </w:p>
    <w:p>
      <w:pPr>
        <w:pStyle w:val="ListBullet"/>
      </w:pPr>
      <w:r>
        <w:t>Spare parts.</w:t>
      </w:r>
    </w:p>
    <w:p>
      <w:pPr>
        <w:pStyle w:val="ListBullet"/>
      </w:pPr>
      <w:r>
        <w:t>Preventive maintenance.</w:t>
      </w:r>
    </w:p>
    <w:p>
      <w:pPr>
        <w:pStyle w:val="ListBullet"/>
      </w:pPr>
      <w:r>
        <w:t>Repair and service.</w:t>
      </w:r>
    </w:p>
    <w:p>
      <w:pPr>
        <w:pStyle w:val="ListBullet"/>
      </w:pPr>
      <w:r>
        <w:t>Training.</w:t>
      </w:r>
    </w:p>
    <w:p>
      <w:pPr>
        <w:pStyle w:val="ListBullet"/>
      </w:pPr>
      <w:r>
        <w:t>Energy consumption.</w:t>
      </w:r>
    </w:p>
    <w:p>
      <w:pPr>
        <w:pStyle w:val="ListBullet"/>
      </w:pPr>
      <w:r>
        <w:t>Production losses caused by downtime.</w:t>
      </w:r>
    </w:p>
    <w:p>
      <w:pPr>
        <w:pStyle w:val="ListBullet"/>
      </w:pPr>
      <w:r>
        <w:t>Future migration or obsolescence.</w:t>
      </w:r>
    </w:p>
    <w:p>
      <w:pPr>
        <w:pStyle w:val="ListBullet"/>
      </w:pPr>
      <w:r>
        <w:t>Decommissioning and disposal.</w:t>
      </w:r>
    </w:p>
    <w:p>
      <w:r>
        <w:t>For critical production equipment, the financial impact of downtime may justify a higher initial investment in better supportability or reliability.</w:t>
      </w:r>
    </w:p>
    <w:p>
      <w:pPr>
        <w:pStyle w:val="Heading2"/>
      </w:pPr>
      <w:r>
        <w:t>18. Delivery, warranty, and payment conditions</w:t>
      </w:r>
    </w:p>
    <w:p>
      <w:pPr>
        <w:pStyle w:val="Heading3"/>
      </w:pPr>
      <w:r>
        <w:t>Delivery</w:t>
      </w:r>
    </w:p>
    <w:p>
      <w:r>
        <w:t>Specify:</w:t>
      </w:r>
    </w:p>
    <w:p>
      <w:pPr>
        <w:pStyle w:val="ListBullet"/>
      </w:pPr>
      <w:r>
        <w:t>Required delivery date or lead time.</w:t>
      </w:r>
    </w:p>
    <w:p>
      <w:pPr>
        <w:pStyle w:val="ListBullet"/>
      </w:pPr>
      <w:r>
        <w:t>Delivery location.</w:t>
      </w:r>
    </w:p>
    <w:p>
      <w:pPr>
        <w:pStyle w:val="ListBullet"/>
      </w:pPr>
      <w:r>
        <w:t>Packaging and preservation requirements.</w:t>
      </w:r>
    </w:p>
    <w:p>
      <w:pPr>
        <w:pStyle w:val="ListBullet"/>
      </w:pPr>
      <w:r>
        <w:t>Shipping responsibilities.</w:t>
      </w:r>
    </w:p>
    <w:p>
      <w:pPr>
        <w:pStyle w:val="ListBullet"/>
      </w:pPr>
      <w:r>
        <w:t>Required delivery documents.</w:t>
      </w:r>
    </w:p>
    <w:p>
      <w:pPr>
        <w:pStyle w:val="ListBullet"/>
      </w:pPr>
      <w:r>
        <w:t>Partial-delivery rules.</w:t>
      </w:r>
    </w:p>
    <w:p>
      <w:pPr>
        <w:pStyle w:val="ListBullet"/>
      </w:pPr>
      <w:r>
        <w:t>Notification and escalation for delays.</w:t>
      </w:r>
    </w:p>
    <w:p>
      <w:r>
        <w:t>Distinguish between the date of shipment, the date of delivery, and the date the equipment is available for use.</w:t>
      </w:r>
    </w:p>
    <w:p>
      <w:pPr>
        <w:pStyle w:val="Heading3"/>
      </w:pPr>
      <w:r>
        <w:t>Warranty</w:t>
      </w:r>
    </w:p>
    <w:p>
      <w:r>
        <w:t>Define:</w:t>
      </w:r>
    </w:p>
    <w:p>
      <w:pPr>
        <w:pStyle w:val="ListBullet"/>
      </w:pPr>
      <w:r>
        <w:t>Warranty commencement event.</w:t>
      </w:r>
    </w:p>
    <w:p>
      <w:pPr>
        <w:pStyle w:val="ListBullet"/>
      </w:pPr>
      <w:r>
        <w:t>Warranty duration.</w:t>
      </w:r>
    </w:p>
    <w:p>
      <w:pPr>
        <w:pStyle w:val="ListBullet"/>
      </w:pPr>
      <w:r>
        <w:t>Coverage of parts, labor, and travel.</w:t>
      </w:r>
    </w:p>
    <w:p>
      <w:pPr>
        <w:pStyle w:val="ListBullet"/>
      </w:pPr>
      <w:r>
        <w:t>Exclusions.</w:t>
      </w:r>
    </w:p>
    <w:p>
      <w:pPr>
        <w:pStyle w:val="ListBullet"/>
      </w:pPr>
      <w:r>
        <w:t>Response and repair arrangements.</w:t>
      </w:r>
    </w:p>
    <w:p>
      <w:pPr>
        <w:pStyle w:val="ListBullet"/>
      </w:pPr>
      <w:r>
        <w:t>Return and replacement procedure.</w:t>
      </w:r>
    </w:p>
    <w:p>
      <w:pPr>
        <w:pStyle w:val="ListBullet"/>
      </w:pPr>
      <w:r>
        <w:t>Treatment of repeated failures.</w:t>
      </w:r>
    </w:p>
    <w:p>
      <w:pPr>
        <w:pStyle w:val="ListBullet"/>
      </w:pPr>
      <w:r>
        <w:t>Warranty responsibility for subcontracted components.</w:t>
      </w:r>
    </w:p>
    <w:p>
      <w:r>
        <w:t>The warranty start date should be explicit, particularly when installation and commissioning occur after delivery.</w:t>
      </w:r>
    </w:p>
    <w:p>
      <w:pPr>
        <w:pStyle w:val="Heading3"/>
      </w:pPr>
      <w:r>
        <w:t>Payment</w:t>
      </w:r>
    </w:p>
    <w:p>
      <w:r>
        <w:t>Possible milestones include:</w:t>
      </w:r>
    </w:p>
    <w:p>
      <w:pPr>
        <w:pStyle w:val="ListBullet"/>
      </w:pPr>
      <w:r>
        <w:t>Advance payment, where approved.</w:t>
      </w:r>
    </w:p>
    <w:p>
      <w:pPr>
        <w:pStyle w:val="ListBullet"/>
      </w:pPr>
      <w:r>
        <w:t>Delivery of hardware.</w:t>
      </w:r>
    </w:p>
    <w:p>
      <w:pPr>
        <w:pStyle w:val="ListBullet"/>
      </w:pPr>
      <w:r>
        <w:t>Completion of installation.</w:t>
      </w:r>
    </w:p>
    <w:p>
      <w:pPr>
        <w:pStyle w:val="ListBullet"/>
      </w:pPr>
      <w:r>
        <w:t>Successful commissioning.</w:t>
      </w:r>
    </w:p>
    <w:p>
      <w:pPr>
        <w:pStyle w:val="ListBullet"/>
      </w:pPr>
      <w:r>
        <w:t>Acceptance of documentation.</w:t>
      </w:r>
    </w:p>
    <w:p>
      <w:pPr>
        <w:pStyle w:val="ListBullet"/>
      </w:pPr>
      <w:r>
        <w:t>Final acceptance after defined conditions are met.</w:t>
      </w:r>
    </w:p>
    <w:p>
      <w:r>
        <w:t>Payment milestones should correspond to verifiable deliverables and comply with the agreed commercial terms. Do not assume a milestone is payable merely because a calendar date has arrived.</w:t>
      </w:r>
    </w:p>
    <w:p>
      <w:pPr>
        <w:pStyle w:val="Heading2"/>
      </w:pPr>
      <w:r>
        <w:t>19. Commercial assumptions, exclusions, and deviations</w:t>
      </w:r>
    </w:p>
    <w:p>
      <w:r>
        <w:t>Suppliers often include assumptions that change the apparent cost or scope.</w:t>
      </w:r>
    </w:p>
    <w:p>
      <w:r>
        <w:t>Examples include:</w:t>
      </w:r>
    </w:p>
    <w:p>
      <w:pPr>
        <w:pStyle w:val="ListBullet"/>
      </w:pPr>
      <w:r>
        <w:t>Installation excluded.</w:t>
      </w:r>
    </w:p>
    <w:p>
      <w:pPr>
        <w:pStyle w:val="ListBullet"/>
      </w:pPr>
      <w:r>
        <w:t>Travel and accommodation excluded.</w:t>
      </w:r>
    </w:p>
    <w:p>
      <w:pPr>
        <w:pStyle w:val="ListBullet"/>
      </w:pPr>
      <w:r>
        <w:t>Taxes excluded.</w:t>
      </w:r>
    </w:p>
    <w:p>
      <w:pPr>
        <w:pStyle w:val="ListBullet"/>
      </w:pPr>
      <w:r>
        <w:t>Existing wiring assumed reusable.</w:t>
      </w:r>
    </w:p>
    <w:p>
      <w:pPr>
        <w:pStyle w:val="ListBullet"/>
      </w:pPr>
      <w:r>
        <w:t>Mechanical modifications excluded.</w:t>
      </w:r>
    </w:p>
    <w:p>
      <w:pPr>
        <w:pStyle w:val="ListBullet"/>
      </w:pPr>
      <w:r>
        <w:t>Production downtime provided by the buyer.</w:t>
      </w:r>
    </w:p>
    <w:p>
      <w:pPr>
        <w:pStyle w:val="ListBullet"/>
      </w:pPr>
      <w:r>
        <w:t>Additional licenses charged separately.</w:t>
      </w:r>
    </w:p>
    <w:p>
      <w:pPr>
        <w:pStyle w:val="ListBullet"/>
      </w:pPr>
      <w:r>
        <w:t>Performance testing excluded.</w:t>
      </w:r>
    </w:p>
    <w:p>
      <w:pPr>
        <w:pStyle w:val="ListBullet"/>
      </w:pPr>
      <w:r>
        <w:t>Commissioning support limited to a specified number of days.</w:t>
      </w:r>
    </w:p>
    <w:p>
      <w:r>
        <w:t>The RFQ should require suppliers to disclose assumptions, exclusions, deviations, and optional charges explicitly.</w:t>
      </w:r>
    </w:p>
    <w:p>
      <w:r>
        <w:t>A deviation register can record each departure from the specification, its impact, and the responsible decision-maker.</w:t>
      </w:r>
    </w:p>
    <w:p>
      <w:r>
        <w:t>A deviation must not be accepted merely because it appears in small print in the quotation.</w:t>
      </w:r>
    </w:p>
    <w:p>
      <w:pPr>
        <w:pStyle w:val="Heading2"/>
      </w:pPr>
      <w:r>
        <w:t>20. Technical and commercial compliance matrices</w:t>
      </w:r>
    </w:p>
    <w:p>
      <w:r>
        <w:t>Compliance matrices make it easier to assess supplier responses consistently.</w:t>
      </w:r>
    </w:p>
    <w:p>
      <w:pPr>
        <w:pStyle w:val="Heading3"/>
      </w:pPr>
      <w:r>
        <w:t>Technical compliance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 ID</w:t>
            </w:r>
          </w:p>
        </w:tc>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Supplier response</w:t>
            </w:r>
          </w:p>
        </w:tc>
        <w:tc>
          <w:tcPr>
            <w:tcW w:type="dxa" w:w="2700"/>
            <w:shd w:val="clear" w:color="auto" w:fill="EEF2F7"/>
          </w:tcPr>
          <w:p>
            <w:pPr>
              <w:spacing w:after="0" w:before="0" w:line="240" w:lineRule="auto"/>
              <w:jc w:val="left"/>
            </w:pPr>
            <w:r>
              <w:rPr>
                <w:b/>
                <w:color w:val="1A2E4A"/>
              </w:rPr>
              <w:t>Evidence or deviation</w:t>
            </w:r>
          </w:p>
        </w:tc>
      </w:tr>
      <w:tr>
        <w:tc>
          <w:tcPr>
            <w:tcW w:type="dxa" w:w="2700"/>
          </w:tcPr>
          <w:p>
            <w:pPr>
              <w:spacing w:after="0" w:before="0" w:line="240" w:lineRule="auto"/>
              <w:jc w:val="left"/>
            </w:pPr>
            <w:r>
              <w:t>TR-001</w:t>
            </w:r>
          </w:p>
        </w:tc>
        <w:tc>
          <w:tcPr>
            <w:tcW w:type="dxa" w:w="2700"/>
          </w:tcPr>
          <w:p>
            <w:pPr>
              <w:spacing w:after="0" w:before="0" w:line="240" w:lineRule="auto"/>
              <w:jc w:val="left"/>
            </w:pPr>
            <w:r>
              <w:t>PLC shall support the specified network protocol</w:t>
            </w:r>
          </w:p>
        </w:tc>
        <w:tc>
          <w:tcPr>
            <w:tcW w:type="dxa" w:w="2700"/>
          </w:tcPr>
          <w:p>
            <w:pPr>
              <w:spacing w:after="0" w:before="0" w:line="240" w:lineRule="auto"/>
              <w:jc w:val="left"/>
            </w:pPr>
            <w:r>
              <w:t>Comply</w:t>
            </w:r>
          </w:p>
        </w:tc>
        <w:tc>
          <w:tcPr>
            <w:tcW w:type="dxa" w:w="2700"/>
          </w:tcPr>
          <w:p>
            <w:pPr>
              <w:spacing w:after="0" w:before="0" w:line="240" w:lineRule="auto"/>
              <w:jc w:val="left"/>
            </w:pPr>
            <w:r>
              <w:t>Proposed controller datasheet</w:t>
            </w:r>
          </w:p>
        </w:tc>
      </w:tr>
      <w:tr>
        <w:tc>
          <w:tcPr>
            <w:tcW w:type="dxa" w:w="2700"/>
          </w:tcPr>
          <w:p>
            <w:pPr>
              <w:spacing w:after="0" w:before="0" w:line="240" w:lineRule="auto"/>
              <w:jc w:val="left"/>
            </w:pPr>
            <w:r>
              <w:t>TR-002</w:t>
            </w:r>
          </w:p>
        </w:tc>
        <w:tc>
          <w:tcPr>
            <w:tcW w:type="dxa" w:w="2700"/>
          </w:tcPr>
          <w:p>
            <w:pPr>
              <w:spacing w:after="0" w:before="0" w:line="240" w:lineRule="auto"/>
              <w:jc w:val="left"/>
            </w:pPr>
            <w:r>
              <w:t>Editable PLC source project shall be delivered</w:t>
            </w:r>
          </w:p>
        </w:tc>
        <w:tc>
          <w:tcPr>
            <w:tcW w:type="dxa" w:w="2700"/>
          </w:tcPr>
          <w:p>
            <w:pPr>
              <w:spacing w:after="0" w:before="0" w:line="240" w:lineRule="auto"/>
              <w:jc w:val="left"/>
            </w:pPr>
            <w:r>
              <w:t>Comply</w:t>
            </w:r>
          </w:p>
        </w:tc>
        <w:tc>
          <w:tcPr>
            <w:tcW w:type="dxa" w:w="2700"/>
          </w:tcPr>
          <w:p>
            <w:pPr>
              <w:spacing w:after="0" w:before="0" w:line="240" w:lineRule="auto"/>
              <w:jc w:val="left"/>
            </w:pPr>
            <w:r>
              <w:t>Included in handover list</w:t>
            </w:r>
          </w:p>
        </w:tc>
      </w:tr>
      <w:tr>
        <w:tc>
          <w:tcPr>
            <w:tcW w:type="dxa" w:w="2700"/>
          </w:tcPr>
          <w:p>
            <w:pPr>
              <w:spacing w:after="0" w:before="0" w:line="240" w:lineRule="auto"/>
              <w:jc w:val="left"/>
            </w:pPr>
            <w:r>
              <w:t>TR-003</w:t>
            </w:r>
          </w:p>
        </w:tc>
        <w:tc>
          <w:tcPr>
            <w:tcW w:type="dxa" w:w="2700"/>
          </w:tcPr>
          <w:p>
            <w:pPr>
              <w:spacing w:after="0" w:before="0" w:line="240" w:lineRule="auto"/>
              <w:jc w:val="left"/>
            </w:pPr>
            <w:r>
              <w:t>Required cycle time shall be demonstrated</w:t>
            </w:r>
          </w:p>
        </w:tc>
        <w:tc>
          <w:tcPr>
            <w:tcW w:type="dxa" w:w="2700"/>
          </w:tcPr>
          <w:p>
            <w:pPr>
              <w:spacing w:after="0" w:before="0" w:line="240" w:lineRule="auto"/>
              <w:jc w:val="left"/>
            </w:pPr>
            <w:r>
              <w:t>Deviation</w:t>
            </w:r>
          </w:p>
        </w:tc>
        <w:tc>
          <w:tcPr>
            <w:tcW w:type="dxa" w:w="2700"/>
          </w:tcPr>
          <w:p>
            <w:pPr>
              <w:spacing w:after="0" w:before="0" w:line="240" w:lineRule="auto"/>
              <w:jc w:val="left"/>
            </w:pPr>
            <w:r>
              <w:t>Supplier proposes a different test condition</w:t>
            </w:r>
          </w:p>
        </w:tc>
      </w:tr>
      <w:tr>
        <w:tc>
          <w:tcPr>
            <w:tcW w:type="dxa" w:w="2700"/>
          </w:tcPr>
          <w:p>
            <w:pPr>
              <w:spacing w:after="0" w:before="0" w:line="240" w:lineRule="auto"/>
              <w:jc w:val="left"/>
            </w:pPr>
            <w:r>
              <w:t>TR-004</w:t>
            </w:r>
          </w:p>
        </w:tc>
        <w:tc>
          <w:tcPr>
            <w:tcW w:type="dxa" w:w="2700"/>
          </w:tcPr>
          <w:p>
            <w:pPr>
              <w:spacing w:after="0" w:before="0" w:line="240" w:lineRule="auto"/>
              <w:jc w:val="left"/>
            </w:pPr>
            <w:r>
              <w:t>Communication-loss behavior shall be defined</w:t>
            </w:r>
          </w:p>
        </w:tc>
        <w:tc>
          <w:tcPr>
            <w:tcW w:type="dxa" w:w="2700"/>
          </w:tcPr>
          <w:p>
            <w:pPr>
              <w:spacing w:after="0" w:before="0" w:line="240" w:lineRule="auto"/>
              <w:jc w:val="left"/>
            </w:pPr>
            <w:r>
              <w:t>Partial compliance</w:t>
            </w:r>
          </w:p>
        </w:tc>
        <w:tc>
          <w:tcPr>
            <w:tcW w:type="dxa" w:w="2700"/>
          </w:tcPr>
          <w:p>
            <w:pPr>
              <w:spacing w:after="0" w:before="0" w:line="240" w:lineRule="auto"/>
              <w:jc w:val="left"/>
            </w:pPr>
            <w:r>
              <w:t>Timeout value requires confirmation</w:t>
            </w:r>
          </w:p>
        </w:tc>
      </w:tr>
    </w:tbl>
    <w:p/>
    <w:p>
      <w:r>
        <w:t>Supplier responses should use defined categories such as Comply, Partially Comply, Does Not Comply, and Clarification Required.</w:t>
      </w:r>
    </w:p>
    <w:p>
      <w:r>
        <w:t>A blank response is not proof of compliance. Deviations should be resolved before technical acceptance.</w:t>
      </w:r>
    </w:p>
    <w:p>
      <w:pPr>
        <w:pStyle w:val="Heading3"/>
      </w:pPr>
      <w:r>
        <w:t>Commercial compliance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Commercial item</w:t>
            </w:r>
          </w:p>
        </w:tc>
        <w:tc>
          <w:tcPr>
            <w:tcW w:type="dxa" w:w="2700"/>
            <w:shd w:val="clear" w:color="auto" w:fill="EEF2F7"/>
          </w:tcPr>
          <w:p>
            <w:pPr>
              <w:spacing w:after="0" w:before="0" w:line="240" w:lineRule="auto"/>
              <w:jc w:val="left"/>
            </w:pPr>
            <w:r>
              <w:rPr>
                <w:b/>
                <w:color w:val="1A2E4A"/>
              </w:rPr>
              <w:t>Required condition</w:t>
            </w:r>
          </w:p>
        </w:tc>
        <w:tc>
          <w:tcPr>
            <w:tcW w:type="dxa" w:w="2700"/>
            <w:shd w:val="clear" w:color="auto" w:fill="EEF2F7"/>
          </w:tcPr>
          <w:p>
            <w:pPr>
              <w:spacing w:after="0" w:before="0" w:line="240" w:lineRule="auto"/>
              <w:jc w:val="left"/>
            </w:pPr>
            <w:r>
              <w:rPr>
                <w:b/>
                <w:color w:val="1A2E4A"/>
              </w:rPr>
              <w:t>Supplier response</w:t>
            </w:r>
          </w:p>
        </w:tc>
        <w:tc>
          <w:tcPr>
            <w:tcW w:type="dxa" w:w="2700"/>
            <w:shd w:val="clear" w:color="auto" w:fill="EEF2F7"/>
          </w:tcPr>
          <w:p>
            <w:pPr>
              <w:spacing w:after="0" w:before="0" w:line="240" w:lineRule="auto"/>
              <w:jc w:val="left"/>
            </w:pPr>
            <w:r>
              <w:rPr>
                <w:b/>
                <w:color w:val="1A2E4A"/>
              </w:rPr>
              <w:t>Evaluation status</w:t>
            </w:r>
          </w:p>
        </w:tc>
      </w:tr>
      <w:tr>
        <w:tc>
          <w:tcPr>
            <w:tcW w:type="dxa" w:w="2700"/>
          </w:tcPr>
          <w:p>
            <w:pPr>
              <w:spacing w:after="0" w:before="0" w:line="240" w:lineRule="auto"/>
              <w:jc w:val="left"/>
            </w:pPr>
            <w:r>
              <w:t>Quotation validity</w:t>
            </w:r>
          </w:p>
        </w:tc>
        <w:tc>
          <w:tcPr>
            <w:tcW w:type="dxa" w:w="2700"/>
          </w:tcPr>
          <w:p>
            <w:pPr>
              <w:spacing w:after="0" w:before="0" w:line="240" w:lineRule="auto"/>
              <w:jc w:val="left"/>
            </w:pPr>
            <w:r>
              <w:t>At least the specified validity period</w:t>
            </w:r>
          </w:p>
        </w:tc>
        <w:tc>
          <w:tcPr>
            <w:tcW w:type="dxa" w:w="2700"/>
          </w:tcPr>
          <w:p>
            <w:pPr>
              <w:spacing w:after="0" w:before="0" w:line="240" w:lineRule="auto"/>
              <w:jc w:val="left"/>
            </w:pPr>
            <w:r>
              <w:t>Compliant</w:t>
            </w:r>
          </w:p>
        </w:tc>
        <w:tc>
          <w:tcPr>
            <w:tcW w:type="dxa" w:w="2700"/>
          </w:tcPr>
          <w:p>
            <w:pPr>
              <w:spacing w:after="0" w:before="0" w:line="240" w:lineRule="auto"/>
              <w:jc w:val="left"/>
            </w:pPr>
            <w:r>
              <w:t>Acceptable</w:t>
            </w:r>
          </w:p>
        </w:tc>
      </w:tr>
      <w:tr>
        <w:tc>
          <w:tcPr>
            <w:tcW w:type="dxa" w:w="2700"/>
          </w:tcPr>
          <w:p>
            <w:pPr>
              <w:spacing w:after="0" w:before="0" w:line="240" w:lineRule="auto"/>
              <w:jc w:val="left"/>
            </w:pPr>
            <w:r>
              <w:t>Delivery</w:t>
            </w:r>
          </w:p>
        </w:tc>
        <w:tc>
          <w:tcPr>
            <w:tcW w:type="dxa" w:w="2700"/>
          </w:tcPr>
          <w:p>
            <w:pPr>
              <w:spacing w:after="0" w:before="0" w:line="240" w:lineRule="auto"/>
              <w:jc w:val="left"/>
            </w:pPr>
            <w:r>
              <w:t>Required delivery schedule</w:t>
            </w:r>
          </w:p>
        </w:tc>
        <w:tc>
          <w:tcPr>
            <w:tcW w:type="dxa" w:w="2700"/>
          </w:tcPr>
          <w:p>
            <w:pPr>
              <w:spacing w:after="0" w:before="0" w:line="240" w:lineRule="auto"/>
              <w:jc w:val="left"/>
            </w:pPr>
            <w:r>
              <w:t>Deviation</w:t>
            </w:r>
          </w:p>
        </w:tc>
        <w:tc>
          <w:tcPr>
            <w:tcW w:type="dxa" w:w="2700"/>
          </w:tcPr>
          <w:p>
            <w:pPr>
              <w:spacing w:after="0" w:before="0" w:line="240" w:lineRule="auto"/>
              <w:jc w:val="left"/>
            </w:pPr>
            <w:r>
              <w:t>Clarification required</w:t>
            </w:r>
          </w:p>
        </w:tc>
      </w:tr>
      <w:tr>
        <w:tc>
          <w:tcPr>
            <w:tcW w:type="dxa" w:w="2700"/>
          </w:tcPr>
          <w:p>
            <w:pPr>
              <w:spacing w:after="0" w:before="0" w:line="240" w:lineRule="auto"/>
              <w:jc w:val="left"/>
            </w:pPr>
            <w:r>
              <w:t>Warranty</w:t>
            </w:r>
          </w:p>
        </w:tc>
        <w:tc>
          <w:tcPr>
            <w:tcW w:type="dxa" w:w="2700"/>
          </w:tcPr>
          <w:p>
            <w:pPr>
              <w:spacing w:after="0" w:before="0" w:line="240" w:lineRule="auto"/>
              <w:jc w:val="left"/>
            </w:pPr>
            <w:r>
              <w:t>Defined warranty scope and duration</w:t>
            </w:r>
          </w:p>
        </w:tc>
        <w:tc>
          <w:tcPr>
            <w:tcW w:type="dxa" w:w="2700"/>
          </w:tcPr>
          <w:p>
            <w:pPr>
              <w:spacing w:after="0" w:before="0" w:line="240" w:lineRule="auto"/>
              <w:jc w:val="left"/>
            </w:pPr>
            <w:r>
              <w:t>Compliant</w:t>
            </w:r>
          </w:p>
        </w:tc>
        <w:tc>
          <w:tcPr>
            <w:tcW w:type="dxa" w:w="2700"/>
          </w:tcPr>
          <w:p>
            <w:pPr>
              <w:spacing w:after="0" w:before="0" w:line="240" w:lineRule="auto"/>
              <w:jc w:val="left"/>
            </w:pPr>
            <w:r>
              <w:t>Acceptable</w:t>
            </w:r>
          </w:p>
        </w:tc>
      </w:tr>
      <w:tr>
        <w:tc>
          <w:tcPr>
            <w:tcW w:type="dxa" w:w="2700"/>
          </w:tcPr>
          <w:p>
            <w:pPr>
              <w:spacing w:after="0" w:before="0" w:line="240" w:lineRule="auto"/>
              <w:jc w:val="left"/>
            </w:pPr>
            <w:r>
              <w:t>Installation</w:t>
            </w:r>
          </w:p>
        </w:tc>
        <w:tc>
          <w:tcPr>
            <w:tcW w:type="dxa" w:w="2700"/>
          </w:tcPr>
          <w:p>
            <w:pPr>
              <w:spacing w:after="0" w:before="0" w:line="240" w:lineRule="auto"/>
              <w:jc w:val="left"/>
            </w:pPr>
            <w:r>
              <w:t>Included in quoted scope</w:t>
            </w:r>
          </w:p>
        </w:tc>
        <w:tc>
          <w:tcPr>
            <w:tcW w:type="dxa" w:w="2700"/>
          </w:tcPr>
          <w:p>
            <w:pPr>
              <w:spacing w:after="0" w:before="0" w:line="240" w:lineRule="auto"/>
              <w:jc w:val="left"/>
            </w:pPr>
            <w:r>
              <w:t>Excluded</w:t>
            </w:r>
          </w:p>
        </w:tc>
        <w:tc>
          <w:tcPr>
            <w:tcW w:type="dxa" w:w="2700"/>
          </w:tcPr>
          <w:p>
            <w:pPr>
              <w:spacing w:after="0" w:before="0" w:line="240" w:lineRule="auto"/>
              <w:jc w:val="left"/>
            </w:pPr>
            <w:r>
              <w:t>Commercial deviation</w:t>
            </w:r>
          </w:p>
        </w:tc>
      </w:tr>
      <w:tr>
        <w:tc>
          <w:tcPr>
            <w:tcW w:type="dxa" w:w="2700"/>
          </w:tcPr>
          <w:p>
            <w:pPr>
              <w:spacing w:after="0" w:before="0" w:line="240" w:lineRule="auto"/>
              <w:jc w:val="left"/>
            </w:pPr>
            <w:r>
              <w:t>Taxes and freight</w:t>
            </w:r>
          </w:p>
        </w:tc>
        <w:tc>
          <w:tcPr>
            <w:tcW w:type="dxa" w:w="2700"/>
          </w:tcPr>
          <w:p>
            <w:pPr>
              <w:spacing w:after="0" w:before="0" w:line="240" w:lineRule="auto"/>
              <w:jc w:val="left"/>
            </w:pPr>
            <w:r>
              <w:t>Separately identified</w:t>
            </w:r>
          </w:p>
        </w:tc>
        <w:tc>
          <w:tcPr>
            <w:tcW w:type="dxa" w:w="2700"/>
          </w:tcPr>
          <w:p>
            <w:pPr>
              <w:spacing w:after="0" w:before="0" w:line="240" w:lineRule="auto"/>
              <w:jc w:val="left"/>
            </w:pPr>
            <w:r>
              <w:t>Compliant</w:t>
            </w:r>
          </w:p>
        </w:tc>
        <w:tc>
          <w:tcPr>
            <w:tcW w:type="dxa" w:w="2700"/>
          </w:tcPr>
          <w:p>
            <w:pPr>
              <w:spacing w:after="0" w:before="0" w:line="240" w:lineRule="auto"/>
              <w:jc w:val="left"/>
            </w:pPr>
            <w:r>
              <w:t>Acceptable</w:t>
            </w:r>
          </w:p>
        </w:tc>
      </w:tr>
    </w:tbl>
    <w:p/>
    <w:p>
      <w:r>
        <w:t>These matrices help identify differences that a simple comparison of quotation totals would miss.</w:t>
      </w:r>
    </w:p>
    <w:p>
      <w:pPr>
        <w:pStyle w:val="Heading2"/>
      </w:pPr>
      <w:r>
        <w:t>21. Avoid over-specification and under-specification</w:t>
      </w:r>
    </w:p>
    <w:p>
      <w:pPr>
        <w:pStyle w:val="Heading3"/>
      </w:pPr>
      <w:r>
        <w:t>Over-specification</w:t>
      </w:r>
    </w:p>
    <w:p>
      <w:r>
        <w:t>Over-specification imposes unnecessary restrictions or excessive requirements.</w:t>
      </w:r>
    </w:p>
    <w:p>
      <w:r>
        <w:t>Examples:</w:t>
      </w:r>
    </w:p>
    <w:p>
      <w:pPr>
        <w:pStyle w:val="ListBullet"/>
      </w:pPr>
      <w:r>
        <w:t>Naming one exact make when an equivalent product would satisfy the need.</w:t>
      </w:r>
    </w:p>
    <w:p>
      <w:pPr>
        <w:pStyle w:val="ListBullet"/>
      </w:pPr>
      <w:r>
        <w:t>Requiring excessive spare capacity without justification.</w:t>
      </w:r>
    </w:p>
    <w:p>
      <w:pPr>
        <w:pStyle w:val="ListBullet"/>
      </w:pPr>
      <w:r>
        <w:t>Demanding precision beyond process requirements.</w:t>
      </w:r>
    </w:p>
    <w:p>
      <w:pPr>
        <w:pStyle w:val="ListBullet"/>
      </w:pPr>
      <w:r>
        <w:t>Specifying unnecessary certificates or tests.</w:t>
      </w:r>
    </w:p>
    <w:p>
      <w:pPr>
        <w:pStyle w:val="ListBullet"/>
      </w:pPr>
      <w:r>
        <w:t>Requiring a proprietary solution without a valid compatibility reason.</w:t>
      </w:r>
    </w:p>
    <w:p>
      <w:r>
        <w:t>Potential consequences include higher cost, fewer qualified bidders, longer lead times, and supplier dependence.</w:t>
      </w:r>
    </w:p>
    <w:p>
      <w:pPr>
        <w:pStyle w:val="Heading3"/>
      </w:pPr>
      <w:r>
        <w:t>Under-specification</w:t>
      </w:r>
    </w:p>
    <w:p>
      <w:r>
        <w:t>Under-specification leaves critical requirements undefined.</w:t>
      </w:r>
    </w:p>
    <w:p>
      <w:r>
        <w:t>Examples:</w:t>
      </w:r>
    </w:p>
    <w:p>
      <w:pPr>
        <w:pStyle w:val="ListBullet"/>
      </w:pPr>
      <w:r>
        <w:t>Not defining PLC/HMI interfaces.</w:t>
      </w:r>
    </w:p>
    <w:p>
      <w:pPr>
        <w:pStyle w:val="ListBullet"/>
      </w:pPr>
      <w:r>
        <w:t>Omitting software handover.</w:t>
      </w:r>
    </w:p>
    <w:p>
      <w:pPr>
        <w:pStyle w:val="ListBullet"/>
      </w:pPr>
      <w:r>
        <w:t>Failing to specify acceptance tests.</w:t>
      </w:r>
    </w:p>
    <w:p>
      <w:pPr>
        <w:pStyle w:val="ListBullet"/>
      </w:pPr>
      <w:r>
        <w:t>Leaving commissioning responsibilities unclear.</w:t>
      </w:r>
    </w:p>
    <w:p>
      <w:pPr>
        <w:pStyle w:val="ListBullet"/>
      </w:pPr>
      <w:r>
        <w:t>Omitting cybersecurity or access requirements.</w:t>
      </w:r>
    </w:p>
    <w:p>
      <w:pPr>
        <w:pStyle w:val="ListBullet"/>
      </w:pPr>
      <w:r>
        <w:t>Failing to define warranty commencement.</w:t>
      </w:r>
    </w:p>
    <w:p>
      <w:pPr>
        <w:pStyle w:val="ListBullet"/>
      </w:pPr>
      <w:r>
        <w:t>Not specifying the required cycle-time measurement method.</w:t>
      </w:r>
    </w:p>
    <w:p>
      <w:r>
        <w:t>Potential consequences include change orders, disputes, rework, commissioning delays, and poor maintainability.</w:t>
      </w:r>
    </w:p>
    <w:p>
      <w:r>
        <w:t>The goal is neither the longest specification nor the shortest one. It is a specification complete enough to control risk without imposing irrelevant restrictions.</w:t>
      </w:r>
    </w:p>
    <w:p>
      <w:pPr>
        <w:pStyle w:val="Heading2"/>
      </w:pPr>
      <w:r>
        <w:t>22. Revision control and change management</w:t>
      </w:r>
    </w:p>
    <w:p>
      <w:r>
        <w:t>Specifications must be controlled because engineering requirements can change during procurement.</w:t>
      </w:r>
    </w:p>
    <w:p>
      <w:r>
        <w:t>A controlled document should identify:</w:t>
      </w:r>
    </w:p>
    <w:p>
      <w:pPr>
        <w:pStyle w:val="ListBullet"/>
      </w:pPr>
      <w:r>
        <w:t>Document number.</w:t>
      </w:r>
    </w:p>
    <w:p>
      <w:pPr>
        <w:pStyle w:val="ListBullet"/>
      </w:pPr>
      <w:r>
        <w:t>Title and project reference.</w:t>
      </w:r>
    </w:p>
    <w:p>
      <w:pPr>
        <w:pStyle w:val="ListBullet"/>
      </w:pPr>
      <w:r>
        <w:t>Revision number.</w:t>
      </w:r>
    </w:p>
    <w:p>
      <w:pPr>
        <w:pStyle w:val="ListBullet"/>
      </w:pPr>
      <w:r>
        <w:t>Issue date.</w:t>
      </w:r>
    </w:p>
    <w:p>
      <w:pPr>
        <w:pStyle w:val="ListBullet"/>
      </w:pPr>
      <w:r>
        <w:t>Author and reviewer.</w:t>
      </w:r>
    </w:p>
    <w:p>
      <w:pPr>
        <w:pStyle w:val="ListBullet"/>
      </w:pPr>
      <w:r>
        <w:t>Approval status.</w:t>
      </w:r>
    </w:p>
    <w:p>
      <w:pPr>
        <w:pStyle w:val="ListBullet"/>
      </w:pPr>
      <w:r>
        <w:t>Revision history.</w:t>
      </w:r>
    </w:p>
    <w:p>
      <w:pPr>
        <w:pStyle w:val="ListBullet"/>
      </w:pPr>
      <w:r>
        <w:t>Related drawings and documents.</w:t>
      </w:r>
    </w:p>
    <w:p>
      <w:r>
        <w:t>If a requirement changes after the RFQ is issued, the change should be communicated consistently to all affected bidders.</w:t>
      </w:r>
    </w:p>
    <w:p>
      <w:r>
        <w:t>For example, increasing the number of remote I/O points after receiving quotations can change hardware selection, panel design, network architecture, cost, and delivery time. The impact must be evaluated rather than silently inserting the change into the final order.</w:t>
      </w:r>
    </w:p>
    <w:p>
      <w:r>
        <w:t>Use formal change control for changes affecting scope, safety, performance, cost, schedule, or contractual responsibilities.</w:t>
      </w:r>
    </w:p>
    <w:p>
      <w:pPr>
        <w:pStyle w:val="Heading2"/>
      </w:pPr>
      <w:r>
        <w:t>23. Practical example: specification for a PLC retrofit</w:t>
      </w:r>
    </w:p>
    <w:p>
      <w:r>
        <w:t>Assume a machine requires replacement of an obsolete PLC system.</w:t>
      </w:r>
    </w:p>
    <w:p>
      <w:pPr>
        <w:pStyle w:val="Heading3"/>
      </w:pPr>
      <w:r>
        <w:t>Technical requirements</w:t>
      </w:r>
    </w:p>
    <w:p>
      <w:pPr>
        <w:pStyle w:val="ListBullet"/>
      </w:pPr>
      <w:r>
        <w:t>Replace the specified obsolete controller with an approved, supportable controller.</w:t>
      </w:r>
    </w:p>
    <w:p>
      <w:pPr>
        <w:pStyle w:val="ListBullet"/>
      </w:pPr>
      <w:r>
        <w:t>Retain existing field devices where technically suitable.</w:t>
      </w:r>
    </w:p>
    <w:p>
      <w:pPr>
        <w:pStyle w:val="ListBullet"/>
      </w:pPr>
      <w:r>
        <w:t>Provide the required digital and analog I/O capacity.</w:t>
      </w:r>
    </w:p>
    <w:p>
      <w:pPr>
        <w:pStyle w:val="ListBullet"/>
      </w:pPr>
      <w:r>
        <w:t>Integrate the HMI, drives, and machine interfaces.</w:t>
      </w:r>
    </w:p>
    <w:p>
      <w:pPr>
        <w:pStyle w:val="ListBullet"/>
      </w:pPr>
      <w:r>
        <w:t>Preserve the approved operating sequence unless changes are formally authorized.</w:t>
      </w:r>
    </w:p>
    <w:p>
      <w:pPr>
        <w:pStyle w:val="ListBullet"/>
      </w:pPr>
      <w:r>
        <w:t>Define fault detection, communication-loss response, and recovery behavior.</w:t>
      </w:r>
    </w:p>
    <w:p>
      <w:pPr>
        <w:pStyle w:val="ListBullet"/>
      </w:pPr>
      <w:r>
        <w:t>Provide editable source code and final configuration files.</w:t>
      </w:r>
    </w:p>
    <w:p>
      <w:pPr>
        <w:pStyle w:val="ListBullet"/>
      </w:pPr>
      <w:r>
        <w:t>Complete agreed FAT and SAT activities.</w:t>
      </w:r>
    </w:p>
    <w:p>
      <w:pPr>
        <w:pStyle w:val="ListBullet"/>
      </w:pPr>
      <w:r>
        <w:t>Deliver updated electrical drawings, I/O lists, BOM, and test reports.</w:t>
      </w:r>
    </w:p>
    <w:p>
      <w:pPr>
        <w:pStyle w:val="ListBullet"/>
      </w:pPr>
      <w:r>
        <w:t>Demonstrate the agreed machine performance and safety-related requirements.</w:t>
      </w:r>
    </w:p>
    <w:p>
      <w:pPr>
        <w:pStyle w:val="Heading3"/>
      </w:pPr>
      <w:r>
        <w:t>Commercial requirements</w:t>
      </w:r>
    </w:p>
    <w:p>
      <w:pPr>
        <w:pStyle w:val="ListBullet"/>
      </w:pPr>
      <w:r>
        <w:t>Itemized hardware and software pricing.</w:t>
      </w:r>
    </w:p>
    <w:p>
      <w:pPr>
        <w:pStyle w:val="ListBullet"/>
      </w:pPr>
      <w:r>
        <w:t>Separate engineering and programming charges.</w:t>
      </w:r>
    </w:p>
    <w:p>
      <w:pPr>
        <w:pStyle w:val="ListBullet"/>
      </w:pPr>
      <w:r>
        <w:t>Installation and commissioning charges.</w:t>
      </w:r>
    </w:p>
    <w:p>
      <w:pPr>
        <w:pStyle w:val="ListBullet"/>
      </w:pPr>
      <w:r>
        <w:t>Delivery schedule and required completion date.</w:t>
      </w:r>
    </w:p>
    <w:p>
      <w:pPr>
        <w:pStyle w:val="ListBullet"/>
      </w:pPr>
      <w:r>
        <w:t>Warranty duration and coverage.</w:t>
      </w:r>
    </w:p>
    <w:p>
      <w:pPr>
        <w:pStyle w:val="ListBullet"/>
      </w:pPr>
      <w:r>
        <w:t>Travel and freight costs.</w:t>
      </w:r>
    </w:p>
    <w:p>
      <w:pPr>
        <w:pStyle w:val="ListBullet"/>
      </w:pPr>
      <w:r>
        <w:t>Taxes and other applicable charges.</w:t>
      </w:r>
    </w:p>
    <w:p>
      <w:pPr>
        <w:pStyle w:val="ListBullet"/>
      </w:pPr>
      <w:r>
        <w:t>Training and documentation costs.</w:t>
      </w:r>
    </w:p>
    <w:p>
      <w:pPr>
        <w:pStyle w:val="ListBullet"/>
      </w:pPr>
      <w:r>
        <w:t>Payment milestones.</w:t>
      </w:r>
    </w:p>
    <w:p>
      <w:pPr>
        <w:pStyle w:val="ListBullet"/>
      </w:pPr>
      <w:r>
        <w:t>Quotation validity.</w:t>
      </w:r>
    </w:p>
    <w:p>
      <w:pPr>
        <w:pStyle w:val="ListBullet"/>
      </w:pPr>
      <w:r>
        <w:t>Explicit assumptions, exclusions, and deviations.</w:t>
      </w:r>
    </w:p>
    <w:p>
      <w:pPr>
        <w:pStyle w:val="Heading3"/>
      </w:pPr>
      <w:r>
        <w:t>Evaluation approach</w:t>
      </w:r>
    </w:p>
    <w:p>
      <w:r>
        <w:t>First establish technical compliance and resolve material deviations. Then compare the commercial offers on a consistent scope and calculate relevant lifecycle costs.</w:t>
      </w:r>
    </w:p>
    <w:p>
      <w:r>
        <w:t>A vendor quoting a lower hardware price but excluding programming, commissioning, and documentation is not necessarily cheaper. The missing items are still going to cost money; they have merely been moved outside the first quotation.</w:t>
      </w:r>
    </w:p>
    <w:p>
      <w:pPr>
        <w:pStyle w:val="Heading2"/>
      </w:pPr>
      <w:r>
        <w:t>24. Common mistakes in technical and commercial specifications</w:t>
      </w:r>
    </w:p>
    <w:p>
      <w:pPr>
        <w:pStyle w:val="ListBullet"/>
      </w:pPr>
      <w:r>
        <w:t>Mixing technical requirements and commercial terms without clear sections.</w:t>
      </w:r>
    </w:p>
    <w:p>
      <w:pPr>
        <w:pStyle w:val="ListBullet"/>
      </w:pPr>
      <w:r>
        <w:t>Using vague requirements that cannot be tested.</w:t>
      </w:r>
    </w:p>
    <w:p>
      <w:pPr>
        <w:pStyle w:val="ListBullet"/>
      </w:pPr>
      <w:r>
        <w:t>Failing to define the scope of supply.</w:t>
      </w:r>
    </w:p>
    <w:p>
      <w:pPr>
        <w:pStyle w:val="ListBullet"/>
      </w:pPr>
      <w:r>
        <w:t>Ignoring existing equipment and interfaces.</w:t>
      </w:r>
    </w:p>
    <w:p>
      <w:pPr>
        <w:pStyle w:val="ListBullet"/>
      </w:pPr>
      <w:r>
        <w:t>Not specifying software ownership, licensing, or editable deliverables.</w:t>
      </w:r>
    </w:p>
    <w:p>
      <w:pPr>
        <w:pStyle w:val="ListBullet"/>
      </w:pPr>
      <w:r>
        <w:t>Omitting cybersecurity and backup requirements.</w:t>
      </w:r>
    </w:p>
    <w:p>
      <w:pPr>
        <w:pStyle w:val="ListBullet"/>
      </w:pPr>
      <w:r>
        <w:t>Failing to identify the applicable safety requirements.</w:t>
      </w:r>
    </w:p>
    <w:p>
      <w:pPr>
        <w:pStyle w:val="ListBullet"/>
      </w:pPr>
      <w:r>
        <w:t>Leaving FAT, SAT, and acceptance criteria undefined.</w:t>
      </w:r>
    </w:p>
    <w:p>
      <w:pPr>
        <w:pStyle w:val="ListBullet"/>
      </w:pPr>
      <w:r>
        <w:t>Comparing prices that cover different scopes.</w:t>
      </w:r>
    </w:p>
    <w:p>
      <w:pPr>
        <w:pStyle w:val="ListBullet"/>
      </w:pPr>
      <w:r>
        <w:t>Ignoring freight, taxes, commissioning, and training.</w:t>
      </w:r>
    </w:p>
    <w:p>
      <w:pPr>
        <w:pStyle w:val="ListBullet"/>
      </w:pPr>
      <w:r>
        <w:t>Accepting undocumented supplier deviations.</w:t>
      </w:r>
    </w:p>
    <w:p>
      <w:pPr>
        <w:pStyle w:val="ListBullet"/>
      </w:pPr>
      <w:r>
        <w:t>Failing to specify warranty commencement and responsibilities.</w:t>
      </w:r>
    </w:p>
    <w:p>
      <w:pPr>
        <w:pStyle w:val="ListBullet"/>
      </w:pPr>
      <w:r>
        <w:t>Allowing uncontrolled revisions after RFQ release.</w:t>
      </w:r>
    </w:p>
    <w:p>
      <w:pPr>
        <w:pStyle w:val="ListBullet"/>
      </w:pPr>
      <w:r>
        <w:t>Over-constraining the design without technical justification.</w:t>
      </w:r>
    </w:p>
    <w:p>
      <w:pPr>
        <w:pStyle w:val="ListBullet"/>
      </w:pPr>
      <w:r>
        <w:t>Leaving critical assumptions and exclusions hidden in supplier quotations.</w:t>
      </w:r>
    </w:p>
    <w:p>
      <w:pPr>
        <w:pStyle w:val="Heading2"/>
      </w:pPr>
      <w:r>
        <w:t>25. Practical preparation checklist</w:t>
      </w:r>
    </w:p>
    <w:p>
      <w:pPr>
        <w:pStyle w:val="Heading3"/>
      </w:pPr>
      <w:r>
        <w:t>Technical specification</w:t>
      </w:r>
    </w:p>
    <w:p>
      <w:pPr>
        <w:pStyle w:val="ListBullet"/>
      </w:pPr>
      <w:r>
        <w:t>Scope and boundaries are defined.</w:t>
      </w:r>
    </w:p>
    <w:p>
      <w:pPr>
        <w:pStyle w:val="ListBullet"/>
      </w:pPr>
      <w:r>
        <w:t>Existing system and interface information is available.</w:t>
      </w:r>
    </w:p>
    <w:p>
      <w:pPr>
        <w:pStyle w:val="ListBullet"/>
      </w:pPr>
      <w:r>
        <w:t>Functional requirements are measurable and testable.</w:t>
      </w:r>
    </w:p>
    <w:p>
      <w:pPr>
        <w:pStyle w:val="ListBullet"/>
      </w:pPr>
      <w:r>
        <w:t>Hardware requirements are clearly stated.</w:t>
      </w:r>
    </w:p>
    <w:p>
      <w:pPr>
        <w:pStyle w:val="ListBullet"/>
      </w:pPr>
      <w:r>
        <w:t>Software, source code, backup, and licensing requirements are defined.</w:t>
      </w:r>
    </w:p>
    <w:p>
      <w:pPr>
        <w:pStyle w:val="ListBullet"/>
      </w:pPr>
      <w:r>
        <w:t>Electrical, mechanical, and network interfaces are addressed.</w:t>
      </w:r>
    </w:p>
    <w:p>
      <w:pPr>
        <w:pStyle w:val="ListBullet"/>
      </w:pPr>
      <w:r>
        <w:t>Safety and applicable standards are identified.</w:t>
      </w:r>
    </w:p>
    <w:p>
      <w:pPr>
        <w:pStyle w:val="ListBullet"/>
      </w:pPr>
      <w:r>
        <w:t>Performance criteria and test conditions are defined.</w:t>
      </w:r>
    </w:p>
    <w:p>
      <w:pPr>
        <w:pStyle w:val="ListBullet"/>
      </w:pPr>
      <w:r>
        <w:t>FAT, SAT, and acceptance requirements are documented.</w:t>
      </w:r>
    </w:p>
    <w:p>
      <w:pPr>
        <w:pStyle w:val="ListBullet"/>
      </w:pPr>
      <w:r>
        <w:t>Documentation, training, and handover deliverables are listed.</w:t>
      </w:r>
    </w:p>
    <w:p>
      <w:pPr>
        <w:pStyle w:val="ListBullet"/>
      </w:pPr>
      <w:r>
        <w:t>Mandatory requirements are distinguished from preferences.</w:t>
      </w:r>
    </w:p>
    <w:p>
      <w:pPr>
        <w:pStyle w:val="ListBullet"/>
      </w:pPr>
      <w:r>
        <w:t>Technical deviations require explicit disclosure.</w:t>
      </w:r>
    </w:p>
    <w:p>
      <w:pPr>
        <w:pStyle w:val="Heading3"/>
      </w:pPr>
      <w:r>
        <w:t>Commercial specification</w:t>
      </w:r>
    </w:p>
    <w:p>
      <w:pPr>
        <w:pStyle w:val="ListBullet"/>
      </w:pPr>
      <w:r>
        <w:t>Pricing format and currency are defined.</w:t>
      </w:r>
    </w:p>
    <w:p>
      <w:pPr>
        <w:pStyle w:val="ListBullet"/>
      </w:pPr>
      <w:r>
        <w:t>Hardware, engineering, installation, and service costs are separated where needed.</w:t>
      </w:r>
    </w:p>
    <w:p>
      <w:pPr>
        <w:pStyle w:val="ListBullet"/>
      </w:pPr>
      <w:r>
        <w:t>Taxes, freight, duties, and other charges are addressed.</w:t>
      </w:r>
    </w:p>
    <w:p>
      <w:pPr>
        <w:pStyle w:val="ListBullet"/>
      </w:pPr>
      <w:r>
        <w:t>Delivery requirements are defined.</w:t>
      </w:r>
    </w:p>
    <w:p>
      <w:pPr>
        <w:pStyle w:val="ListBullet"/>
      </w:pPr>
      <w:r>
        <w:t>Payment milestones are stated.</w:t>
      </w:r>
    </w:p>
    <w:p>
      <w:pPr>
        <w:pStyle w:val="ListBullet"/>
      </w:pPr>
      <w:r>
        <w:t>Warranty conditions are defined.</w:t>
      </w:r>
    </w:p>
    <w:p>
      <w:pPr>
        <w:pStyle w:val="ListBullet"/>
      </w:pPr>
      <w:r>
        <w:t>Quotation validity is specified.</w:t>
      </w:r>
    </w:p>
    <w:p>
      <w:pPr>
        <w:pStyle w:val="ListBullet"/>
      </w:pPr>
      <w:r>
        <w:t>Optional items and alternatives are identified separately.</w:t>
      </w:r>
    </w:p>
    <w:p>
      <w:pPr>
        <w:pStyle w:val="ListBullet"/>
      </w:pPr>
      <w:r>
        <w:t>Assumptions and exclusions must be disclosed.</w:t>
      </w:r>
    </w:p>
    <w:p>
      <w:pPr>
        <w:pStyle w:val="ListBullet"/>
      </w:pPr>
      <w:r>
        <w:t>Contractual and procurement-policy requirements are included.</w:t>
      </w:r>
    </w:p>
    <w:p>
      <w:pPr>
        <w:pStyle w:val="ListBullet"/>
      </w:pPr>
      <w:r>
        <w:t>Technical and commercial revisions are controlled.</w:t>
      </w:r>
    </w:p>
    <w:p>
      <w:pPr>
        <w:pStyle w:val="ListBullet"/>
      </w:pPr>
      <w:r>
        <w:t>The RFQ package provides a consistent basis for all bidders.</w:t>
      </w:r>
    </w:p>
    <w:p>
      <w:pPr>
        <w:pStyle w:val="Heading2"/>
      </w:pPr>
      <w:r>
        <w:t>26. Interview questions and answers</w:t>
      </w:r>
    </w:p>
    <w:p>
      <w:r>
        <w:t>Q1. What is a technical specification?</w:t>
      </w:r>
    </w:p>
    <w:p>
      <w:r>
        <w:t>It is a controlled document defining the required equipment or service capabilities, performance, interfaces, safety, quality, testing, and technical deliverables.</w:t>
      </w:r>
    </w:p>
    <w:p>
      <w:r>
        <w:t>Q2. What is a commercial specification?</w:t>
      </w:r>
    </w:p>
    <w:p>
      <w:r>
        <w:t>It defines the financial and contractual conditions, including pricing, delivery, payment, warranty, taxes, validity, and supplier responsibilities.</w:t>
      </w:r>
    </w:p>
    <w:p>
      <w:r>
        <w:t>Q3. Why must all vendors receive the same RFQ specification?</w:t>
      </w:r>
    </w:p>
    <w:p>
      <w:r>
        <w:t>A common scope enables fair comparison and reduces differences caused by inconsistent assumptions or missing requirements.</w:t>
      </w:r>
    </w:p>
    <w:p>
      <w:r>
        <w:t>Q4. What is a compliance matrix?</w:t>
      </w:r>
    </w:p>
    <w:p>
      <w:r>
        <w:t>It is a structured record showing how a supplier's offer meets, partially meets, or deviates from each requirement.</w:t>
      </w:r>
    </w:p>
    <w:p>
      <w:r>
        <w:t>Q5. What is the difference between FAT and SAT?</w:t>
      </w:r>
    </w:p>
    <w:p>
      <w:r>
        <w:t>FAT verifies agreed functions before shipment or site installation. SAT verifies the installed system under agreed site conditions.</w:t>
      </w:r>
    </w:p>
    <w:p>
      <w:r>
        <w:t>Q6. Why should source code and editable project files be specified?</w:t>
      </w:r>
    </w:p>
    <w:p>
      <w:r>
        <w:t>They support future troubleshooting, maintenance, modification, recovery, and system lifecycle management, subject to the agreed intellectual-property and licensing terms.</w:t>
      </w:r>
    </w:p>
    <w:p>
      <w:r>
        <w:t>Q7. What is a technical deviation?</w:t>
      </w:r>
    </w:p>
    <w:p>
      <w:r>
        <w:t>It is a supplier-proposed departure from a stated technical requirement. It must be documented, evaluated, and formally resolved.</w:t>
      </w:r>
    </w:p>
    <w:p>
      <w:r>
        <w:t>Q8. Why is total cost of ownership important?</w:t>
      </w:r>
    </w:p>
    <w:p>
      <w:r>
        <w:t>It considers lifecycle costs beyond the initial purchase price, including installation, maintenance, downtime, licensing, and future migration.</w:t>
      </w:r>
    </w:p>
    <w:p>
      <w:r>
        <w:t>Q9. What happens if acceptance criteria are not defined?</w:t>
      </w:r>
    </w:p>
    <w:p>
      <w:r>
        <w:t>The buyer and supplier may disagree about whether the system is complete or meets the required performance, causing delays and disputes.</w:t>
      </w:r>
    </w:p>
    <w:p>
      <w:r>
        <w:t>Q10. What is the purpose of specification revision control?</w:t>
      </w:r>
    </w:p>
    <w:p>
      <w:r>
        <w:t>It ensures that suppliers, engineering, procurement, and project teams work from the correct approved requirements and that changes are traceable.</w:t>
      </w:r>
    </w:p>
    <w:p>
      <w:r>
        <w:t>Q11. Should a specification name a specific manufacturer?</w:t>
      </w:r>
    </w:p>
    <w:p>
      <w:r>
        <w:t>When compatibility, standardization, or another justified constraint requires it, a make or model may be specified. Otherwise, performance-based requirements and suitable equivalent options can improve competition, subject to procurement policy.</w:t>
      </w:r>
    </w:p>
    <w:p>
      <w:r>
        <w:t>Q12. Who prepares the technical and commercial specification?</w:t>
      </w:r>
    </w:p>
    <w:p>
      <w:r>
        <w:t>Engineering and the relevant technical stakeholders generally define technical requirements. Procurement coordinates commercial conditions with finance, legal, project management, and other responsible functions. Final responsibilities depend on company procedures.</w:t>
      </w:r>
    </w:p>
    <w:p>
      <w:pPr>
        <w:pStyle w:val="Heading2"/>
      </w:pPr>
      <w:r>
        <w:t>27. Key principles</w:t>
      </w:r>
    </w:p>
    <w:p>
      <w:r>
        <w:t>A strong technical and commercial specification is the foundation for a reliable procurement process.</w:t>
      </w:r>
    </w:p>
    <w:p>
      <w:pPr>
        <w:pStyle w:val="ListBullet"/>
      </w:pPr>
      <w:r>
        <w:t>Define the requirement before requesting a price.</w:t>
      </w:r>
    </w:p>
    <w:p>
      <w:pPr>
        <w:pStyle w:val="ListBullet"/>
      </w:pPr>
      <w:r>
        <w:t>Make critical requirements verifiable.</w:t>
      </w:r>
    </w:p>
    <w:p>
      <w:pPr>
        <w:pStyle w:val="ListBullet"/>
      </w:pPr>
      <w:r>
        <w:t>Specify interfaces and responsibilities explicitly.</w:t>
      </w:r>
    </w:p>
    <w:p>
      <w:pPr>
        <w:pStyle w:val="ListBullet"/>
      </w:pPr>
      <w:r>
        <w:t>Include safety, cybersecurity, lifecycle, and maintainability requirements where relevant.</w:t>
      </w:r>
    </w:p>
    <w:p>
      <w:pPr>
        <w:pStyle w:val="ListBullet"/>
      </w:pPr>
      <w:r>
        <w:t>Define acceptance and handover before the work begins.</w:t>
      </w:r>
    </w:p>
    <w:p>
      <w:pPr>
        <w:pStyle w:val="ListBullet"/>
      </w:pPr>
      <w:r>
        <w:t>Compare suppliers against a common scope.</w:t>
      </w:r>
    </w:p>
    <w:p>
      <w:pPr>
        <w:pStyle w:val="ListBullet"/>
      </w:pPr>
      <w:r>
        <w:t>Record deviations and control changes formally.</w:t>
      </w:r>
    </w:p>
    <w:p>
      <w:r>
        <w:t>For automation projects, the specification should describe not only what equipment is being purchased, but also how it must operate, integrate, be tested, be maintained, and be handed over. That is how a purchase becomes a supportable industrial system rather than a collection of expensive components.</w:t>
      </w:r>
    </w:p>
    <w:p>
      <w:pPr>
        <w:pStyle w:val="Heading2"/>
      </w:pPr>
      <w:r>
        <w:t>NEXT TOPIC</w:t>
      </w:r>
    </w:p>
    <w:p>
      <w:r>
        <w:rPr>
          <w:rFonts w:ascii="Consolas" w:hAnsi="Consolas"/>
          <w:color w:val="333333"/>
          <w:sz w:val="19"/>
          <w:shd w:val="clear" w:color="auto" w:fill="EFEFEF"/>
        </w:rPr>
        <w:t>02_PLAN_WISE_2026\02_INDUSTRY3_0\07_Lifecycle\03_Procurement\04_Technical_Commercial_Bid - Technical/Commercial bid evaluation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02_PLAN_WISE_2026\02_INDUSTRY3_0\07_Lifecycle\03_Procurement\03_Tech_Commercial_Spec - Technical &amp; Commercial specification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