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02_PLAN_WISE_2026\02_INDUSTRY3_0\07_Lifecycle\03_Procurement\04_Technical_Commercial_Bid - Technical/Commercial bid evaluation</w:t>
      </w:r>
    </w:p>
    <w:p>
      <w:pPr>
        <w:pStyle w:val="Heading2"/>
      </w:pPr>
      <w:r>
        <w:t>1. What is technical and commercial bid evaluation?</w:t>
      </w:r>
    </w:p>
    <w:p>
      <w:r>
        <w:t>Technical and commercial bid evaluation is the structured process of examining supplier quotations against the approved technical specification, commercial requirements, and procurement rules to determine which offers are compliant, suitable, and commercially acceptable.</w:t>
      </w:r>
    </w:p>
    <w:p>
      <w:r>
        <w:t>In industrial automation, a bid may include PLC hardware, HMI systems, drives, CNC equipment, robot integration, electrical panels, software development, installation, commissioning, and maintenance support.</w:t>
      </w:r>
    </w:p>
    <w:p>
      <w:r>
        <w:t>Bid evaluation answers two different questions:</w:t>
      </w:r>
    </w:p>
    <w:p>
      <w:pPr>
        <w:pStyle w:val="ListBullet"/>
      </w:pPr>
      <w:r>
        <w:t>Technical evaluation: Can the supplier deliver the required solution and meet the defined technical requirements?</w:t>
      </w:r>
    </w:p>
    <w:p>
      <w:pPr>
        <w:pStyle w:val="ListBullet"/>
      </w:pPr>
      <w:r>
        <w:t>Commercial evaluation: What will the solution cost under the specified commercial conditions, and are those conditions acceptable?</w:t>
      </w:r>
    </w:p>
    <w:p>
      <w:r>
        <w:t>The two evaluations must be coordinated but should not be confused. A technically noncompliant offer should not automatically become acceptable because its price is attractive.</w:t>
      </w:r>
    </w:p>
    <w:p>
      <w:r>
        <w:t>The purpose is to identify a defensible award recommendation based on documented evidence rather than assumptions, personal preference, or headline price alone.</w:t>
      </w:r>
    </w:p>
    <w:p>
      <w:pPr>
        <w:pStyle w:val="Heading2"/>
      </w:pPr>
      <w:r>
        <w:t>2. Objectives of bid evaluation</w:t>
      </w:r>
    </w:p>
    <w:p>
      <w:r>
        <w:t>A proper evaluation should:</w:t>
      </w:r>
    </w:p>
    <w:p>
      <w:pPr>
        <w:pStyle w:val="ListBullet"/>
      </w:pPr>
      <w:r>
        <w:t>Verify compliance with the approved RFQ and specification.</w:t>
      </w:r>
    </w:p>
    <w:p>
      <w:pPr>
        <w:pStyle w:val="ListBullet"/>
      </w:pPr>
      <w:r>
        <w:t>Identify technical deviations, exclusions, and assumptions.</w:t>
      </w:r>
    </w:p>
    <w:p>
      <w:pPr>
        <w:pStyle w:val="ListBullet"/>
      </w:pPr>
      <w:r>
        <w:t>Confirm that all bidders have quoted comparable scopes.</w:t>
      </w:r>
    </w:p>
    <w:p>
      <w:pPr>
        <w:pStyle w:val="ListBullet"/>
      </w:pPr>
      <w:r>
        <w:t>Assess technical risks and proposed alternatives.</w:t>
      </w:r>
    </w:p>
    <w:p>
      <w:pPr>
        <w:pStyle w:val="ListBullet"/>
      </w:pPr>
      <w:r>
        <w:t>Check delivery commitments and implementation capability.</w:t>
      </w:r>
    </w:p>
    <w:p>
      <w:pPr>
        <w:pStyle w:val="ListBullet"/>
      </w:pPr>
      <w:r>
        <w:t>Normalize commercial quotations to a common basis.</w:t>
      </w:r>
    </w:p>
    <w:p>
      <w:pPr>
        <w:pStyle w:val="ListBullet"/>
      </w:pPr>
      <w:r>
        <w:t>Identify hidden costs and contractual risks.</w:t>
      </w:r>
    </w:p>
    <w:p>
      <w:pPr>
        <w:pStyle w:val="ListBullet"/>
      </w:pPr>
      <w:r>
        <w:t>Evaluate total cost where required.</w:t>
      </w:r>
    </w:p>
    <w:p>
      <w:pPr>
        <w:pStyle w:val="ListBullet"/>
      </w:pPr>
      <w:r>
        <w:t>Record clarifications and approved deviations.</w:t>
      </w:r>
    </w:p>
    <w:p>
      <w:pPr>
        <w:pStyle w:val="ListBullet"/>
      </w:pPr>
      <w:r>
        <w:t>Recommend the most suitable offer according to the approved evaluation method.</w:t>
      </w:r>
    </w:p>
    <w:p>
      <w:pPr>
        <w:pStyle w:val="ListBullet"/>
      </w:pPr>
      <w:r>
        <w:t>Maintain transparency, traceability, and compliance with procurement policy.</w:t>
      </w:r>
    </w:p>
    <w:p>
      <w:r>
        <w:t>Bid evaluation does not mean choosing the supplier with the highest score under every circumstance. Mandatory requirements, approved evaluation criteria, risk, and procurement rules govern the decision.</w:t>
      </w:r>
    </w:p>
    <w:p>
      <w:pPr>
        <w:pStyle w:val="Heading2"/>
      </w:pPr>
      <w:r>
        <w:t>3. Where bid evaluation fits in the procurement lifecycle</w:t>
      </w:r>
    </w:p>
    <w:p>
      <w:pPr>
        <w:shd w:val="clear" w:color="auto" w:fill="F4F4F4"/>
        <w:spacing w:before="0" w:after="0" w:line="240" w:lineRule="auto"/>
        <w:ind w:left="216" w:right="216"/>
        <w:jc w:val="left"/>
      </w:pPr>
      <w:r>
        <w:rPr>
          <w:rFonts w:ascii="Consolas" w:hAnsi="Consolas"/>
          <w:color w:val="202020"/>
          <w:sz w:val="18"/>
        </w:rPr>
        <w:t>Requirement and Scope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Identification and Qualification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and Commercial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Issued to Approved Bidders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Bids Received and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Bid Completeness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Clarifications and Compliance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Evaluation of Eligible Bids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Commercial Clarifications and Negotiations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Bid Comparison and Risk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Award Recommendation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 Contract</w:t>
      </w:r>
    </w:p>
    <w:p/>
    <w:p>
      <w:r>
        <w:t>The precise order of technical and commercial opening depends on the procurement process. Some organizations use separate technical and commercial submissions, with commercial bids opened only for technically qualified bidders.</w:t>
      </w:r>
    </w:p>
    <w:p>
      <w:pPr>
        <w:pStyle w:val="Heading2"/>
      </w:pPr>
      <w:r>
        <w:t>4. Types of bids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Bid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Evaluation focus</w:t>
            </w:r>
          </w:p>
        </w:tc>
      </w:tr>
      <w:tr>
        <w:tc>
          <w:tcPr>
            <w:tcW w:type="dxa" w:w="3600"/>
          </w:tcPr>
          <w:p>
            <w:pPr>
              <w:spacing w:after="0" w:before="0" w:line="240" w:lineRule="auto"/>
              <w:jc w:val="left"/>
            </w:pPr>
            <w:r>
              <w:t>Supply-only bid</w:t>
            </w:r>
          </w:p>
        </w:tc>
        <w:tc>
          <w:tcPr>
            <w:tcW w:type="dxa" w:w="3600"/>
          </w:tcPr>
          <w:p>
            <w:pPr>
              <w:spacing w:after="0" w:before="0" w:line="240" w:lineRule="auto"/>
              <w:jc w:val="left"/>
            </w:pPr>
            <w:r>
              <w:t>Equipment or materials without installation</w:t>
            </w:r>
          </w:p>
        </w:tc>
        <w:tc>
          <w:tcPr>
            <w:tcW w:type="dxa" w:w="3600"/>
          </w:tcPr>
          <w:p>
            <w:pPr>
              <w:spacing w:after="0" w:before="0" w:line="240" w:lineRule="auto"/>
              <w:jc w:val="left"/>
            </w:pPr>
            <w:r>
              <w:t>Product compliance, authenticity, price, delivery</w:t>
            </w:r>
          </w:p>
        </w:tc>
      </w:tr>
      <w:tr>
        <w:tc>
          <w:tcPr>
            <w:tcW w:type="dxa" w:w="3600"/>
          </w:tcPr>
          <w:p>
            <w:pPr>
              <w:spacing w:after="0" w:before="0" w:line="240" w:lineRule="auto"/>
              <w:jc w:val="left"/>
            </w:pPr>
            <w:r>
              <w:t>Supply-and-install bid</w:t>
            </w:r>
          </w:p>
        </w:tc>
        <w:tc>
          <w:tcPr>
            <w:tcW w:type="dxa" w:w="3600"/>
          </w:tcPr>
          <w:p>
            <w:pPr>
              <w:spacing w:after="0" w:before="0" w:line="240" w:lineRule="auto"/>
              <w:jc w:val="left"/>
            </w:pPr>
            <w:r>
              <w:t>Equipment plus installation</w:t>
            </w:r>
          </w:p>
        </w:tc>
        <w:tc>
          <w:tcPr>
            <w:tcW w:type="dxa" w:w="3600"/>
          </w:tcPr>
          <w:p>
            <w:pPr>
              <w:spacing w:after="0" w:before="0" w:line="240" w:lineRule="auto"/>
              <w:jc w:val="left"/>
            </w:pPr>
            <w:r>
              <w:t>Hardware, installation scope, site responsibilities</w:t>
            </w:r>
          </w:p>
        </w:tc>
      </w:tr>
      <w:tr>
        <w:tc>
          <w:tcPr>
            <w:tcW w:type="dxa" w:w="3600"/>
          </w:tcPr>
          <w:p>
            <w:pPr>
              <w:spacing w:after="0" w:before="0" w:line="240" w:lineRule="auto"/>
              <w:jc w:val="left"/>
            </w:pPr>
            <w:r>
              <w:t>Engineering-services bid</w:t>
            </w:r>
          </w:p>
        </w:tc>
        <w:tc>
          <w:tcPr>
            <w:tcW w:type="dxa" w:w="3600"/>
          </w:tcPr>
          <w:p>
            <w:pPr>
              <w:spacing w:after="0" w:before="0" w:line="240" w:lineRule="auto"/>
              <w:jc w:val="left"/>
            </w:pPr>
            <w:r>
              <w:t>Programming, design, integration, or consultancy</w:t>
            </w:r>
          </w:p>
        </w:tc>
        <w:tc>
          <w:tcPr>
            <w:tcW w:type="dxa" w:w="3600"/>
          </w:tcPr>
          <w:p>
            <w:pPr>
              <w:spacing w:after="0" w:before="0" w:line="240" w:lineRule="auto"/>
              <w:jc w:val="left"/>
            </w:pPr>
            <w:r>
              <w:t>Methodology, technical capability, resources, deliverables</w:t>
            </w:r>
          </w:p>
        </w:tc>
      </w:tr>
      <w:tr>
        <w:tc>
          <w:tcPr>
            <w:tcW w:type="dxa" w:w="3600"/>
          </w:tcPr>
          <w:p>
            <w:pPr>
              <w:spacing w:after="0" w:before="0" w:line="240" w:lineRule="auto"/>
              <w:jc w:val="left"/>
            </w:pPr>
            <w:r>
              <w:t>Turnkey bid</w:t>
            </w:r>
          </w:p>
        </w:tc>
        <w:tc>
          <w:tcPr>
            <w:tcW w:type="dxa" w:w="3600"/>
          </w:tcPr>
          <w:p>
            <w:pPr>
              <w:spacing w:after="0" w:before="0" w:line="240" w:lineRule="auto"/>
              <w:jc w:val="left"/>
            </w:pPr>
            <w:r>
              <w:t>Complete solution from design through commissioning</w:t>
            </w:r>
          </w:p>
        </w:tc>
        <w:tc>
          <w:tcPr>
            <w:tcW w:type="dxa" w:w="3600"/>
          </w:tcPr>
          <w:p>
            <w:pPr>
              <w:spacing w:after="0" w:before="0" w:line="240" w:lineRule="auto"/>
              <w:jc w:val="left"/>
            </w:pPr>
            <w:r>
              <w:t>End-to-end functionality, interfaces, performance, total cost</w:t>
            </w:r>
          </w:p>
        </w:tc>
      </w:tr>
      <w:tr>
        <w:tc>
          <w:tcPr>
            <w:tcW w:type="dxa" w:w="3600"/>
          </w:tcPr>
          <w:p>
            <w:pPr>
              <w:spacing w:after="0" w:before="0" w:line="240" w:lineRule="auto"/>
              <w:jc w:val="left"/>
            </w:pPr>
            <w:r>
              <w:t>Retrofit bid</w:t>
            </w:r>
          </w:p>
        </w:tc>
        <w:tc>
          <w:tcPr>
            <w:tcW w:type="dxa" w:w="3600"/>
          </w:tcPr>
          <w:p>
            <w:pPr>
              <w:spacing w:after="0" w:before="0" w:line="240" w:lineRule="auto"/>
              <w:jc w:val="left"/>
            </w:pPr>
            <w:r>
              <w:t>Modification or replacement of an existing system</w:t>
            </w:r>
          </w:p>
        </w:tc>
        <w:tc>
          <w:tcPr>
            <w:tcW w:type="dxa" w:w="3600"/>
          </w:tcPr>
          <w:p>
            <w:pPr>
              <w:spacing w:after="0" w:before="0" w:line="240" w:lineRule="auto"/>
              <w:jc w:val="left"/>
            </w:pPr>
            <w:r>
              <w:t>Compatibility, migration risk, downtime, recovery</w:t>
            </w:r>
          </w:p>
        </w:tc>
      </w:tr>
      <w:tr>
        <w:tc>
          <w:tcPr>
            <w:tcW w:type="dxa" w:w="3600"/>
          </w:tcPr>
          <w:p>
            <w:pPr>
              <w:spacing w:after="0" w:before="0" w:line="240" w:lineRule="auto"/>
              <w:jc w:val="left"/>
            </w:pPr>
            <w:r>
              <w:t>Repair-service bid</w:t>
            </w:r>
          </w:p>
        </w:tc>
        <w:tc>
          <w:tcPr>
            <w:tcW w:type="dxa" w:w="3600"/>
          </w:tcPr>
          <w:p>
            <w:pPr>
              <w:spacing w:after="0" w:before="0" w:line="240" w:lineRule="auto"/>
              <w:jc w:val="left"/>
            </w:pPr>
            <w:r>
              <w:t>Diagnosis and repair of existing equipment</w:t>
            </w:r>
          </w:p>
        </w:tc>
        <w:tc>
          <w:tcPr>
            <w:tcW w:type="dxa" w:w="3600"/>
          </w:tcPr>
          <w:p>
            <w:pPr>
              <w:spacing w:after="0" w:before="0" w:line="240" w:lineRule="auto"/>
              <w:jc w:val="left"/>
            </w:pPr>
            <w:r>
              <w:t>Repair method, test capability, turnaround, warranty</w:t>
            </w:r>
          </w:p>
        </w:tc>
      </w:tr>
      <w:tr>
        <w:tc>
          <w:tcPr>
            <w:tcW w:type="dxa" w:w="3600"/>
          </w:tcPr>
          <w:p>
            <w:pPr>
              <w:spacing w:after="0" w:before="0" w:line="240" w:lineRule="auto"/>
              <w:jc w:val="left"/>
            </w:pPr>
            <w:r>
              <w:t>Framework or rate-contract bid</w:t>
            </w:r>
          </w:p>
        </w:tc>
        <w:tc>
          <w:tcPr>
            <w:tcW w:type="dxa" w:w="3600"/>
          </w:tcPr>
          <w:p>
            <w:pPr>
              <w:spacing w:after="0" w:before="0" w:line="240" w:lineRule="auto"/>
              <w:jc w:val="left"/>
            </w:pPr>
            <w:r>
              <w:t>Agreed rates for recurring purchases</w:t>
            </w:r>
          </w:p>
        </w:tc>
        <w:tc>
          <w:tcPr>
            <w:tcW w:type="dxa" w:w="3600"/>
          </w:tcPr>
          <w:p>
            <w:pPr>
              <w:spacing w:after="0" w:before="0" w:line="240" w:lineRule="auto"/>
              <w:jc w:val="left"/>
            </w:pPr>
            <w:r>
              <w:t>Rates, scope, service levels, validity, ordering conditions</w:t>
            </w:r>
          </w:p>
        </w:tc>
      </w:tr>
    </w:tbl>
    <w:p/>
    <w:p>
      <w:r>
        <w:t>Different bid types require different evaluation criteria. A vendor supplying standard terminals should not necessarily be evaluated using the same methodology as a contractor responsible for an entire machine safety retrofit.</w:t>
      </w:r>
    </w:p>
    <w:p>
      <w:pPr>
        <w:pStyle w:val="Heading2"/>
      </w:pPr>
      <w:r>
        <w:t>5. Bid opening and administrative checks</w:t>
      </w:r>
    </w:p>
    <w:p>
      <w:r>
        <w:t>Before technical evaluation begins, verify that each submission satisfies the applicable bidding procedure.</w:t>
      </w:r>
    </w:p>
    <w:p>
      <w:r>
        <w:t>Typical checks include:</w:t>
      </w:r>
    </w:p>
    <w:p>
      <w:pPr>
        <w:pStyle w:val="ListBullet"/>
      </w:pPr>
      <w:r>
        <w:t>Bid received within the specified deadline.</w:t>
      </w:r>
    </w:p>
    <w:p>
      <w:pPr>
        <w:pStyle w:val="ListBullet"/>
      </w:pPr>
      <w:r>
        <w:t>Required documents submitted.</w:t>
      </w:r>
    </w:p>
    <w:p>
      <w:pPr>
        <w:pStyle w:val="ListBullet"/>
      </w:pPr>
      <w:r>
        <w:t>Quotation signed or authenticated as required.</w:t>
      </w:r>
    </w:p>
    <w:p>
      <w:pPr>
        <w:pStyle w:val="ListBullet"/>
      </w:pPr>
      <w:r>
        <w:t>Correct RFQ and revision referenced.</w:t>
      </w:r>
    </w:p>
    <w:p>
      <w:pPr>
        <w:pStyle w:val="ListBullet"/>
      </w:pPr>
      <w:r>
        <w:t>Required forms and declarations completed.</w:t>
      </w:r>
    </w:p>
    <w:p>
      <w:pPr>
        <w:pStyle w:val="ListBullet"/>
      </w:pPr>
      <w:r>
        <w:t>Bid validity stated.</w:t>
      </w:r>
    </w:p>
    <w:p>
      <w:pPr>
        <w:pStyle w:val="ListBullet"/>
      </w:pPr>
      <w:r>
        <w:t>Required technical and commercial files received.</w:t>
      </w:r>
    </w:p>
    <w:p>
      <w:pPr>
        <w:pStyle w:val="ListBullet"/>
      </w:pPr>
      <w:r>
        <w:t>Mandatory certificates or eligibility documents provided.</w:t>
      </w:r>
    </w:p>
    <w:p>
      <w:pPr>
        <w:pStyle w:val="ListBullet"/>
      </w:pPr>
      <w:r>
        <w:t>No unexplained mismatch between the bidder's identity and quotation.</w:t>
      </w:r>
    </w:p>
    <w:p>
      <w:pPr>
        <w:pStyle w:val="ListBullet"/>
      </w:pPr>
      <w:r>
        <w:t>Submission handled according to confidentiality and procurement controls.</w:t>
      </w:r>
    </w:p>
    <w:p>
      <w:r>
        <w:t>Administrative deficiencies should be handled according to the stated rules. Do not invent new rejection criteria after bids have been received.</w:t>
      </w:r>
    </w:p>
    <w:p>
      <w:r>
        <w:t>Depending on policy, minor clarifications may be permitted while material changes to the offer may be prohibited.</w:t>
      </w:r>
    </w:p>
    <w:p>
      <w:pPr>
        <w:pStyle w:val="Heading2"/>
      </w:pPr>
      <w:r>
        <w:t>6. Technical bid evaluation</w:t>
      </w:r>
    </w:p>
    <w:p>
      <w:r>
        <w:t>Technical evaluation determines whether the proposed equipment or service satisfies the approved requirements.</w:t>
      </w:r>
    </w:p>
    <w:p>
      <w:pPr>
        <w:pStyle w:val="Heading3"/>
      </w:pPr>
      <w:r>
        <w:t>6.1 What should be evaluated?</w:t>
      </w:r>
    </w:p>
    <w:p>
      <w:r>
        <w:t>For an industrial automation project, review:</w:t>
      </w:r>
    </w:p>
    <w:p>
      <w:pPr>
        <w:pStyle w:val="ListBullet"/>
      </w:pPr>
      <w:r>
        <w:t>Compliance with functional requirements.</w:t>
      </w:r>
    </w:p>
    <w:p>
      <w:pPr>
        <w:pStyle w:val="ListBullet"/>
      </w:pPr>
      <w:r>
        <w:t>Proposed hardware models and configurations.</w:t>
      </w:r>
    </w:p>
    <w:p>
      <w:pPr>
        <w:pStyle w:val="ListBullet"/>
      </w:pPr>
      <w:r>
        <w:t>I/O capacity and signal compatibility.</w:t>
      </w:r>
    </w:p>
    <w:p>
      <w:pPr>
        <w:pStyle w:val="ListBullet"/>
      </w:pPr>
      <w:r>
        <w:t>PLC, HMI, drive, CNC, and robot interfaces.</w:t>
      </w:r>
    </w:p>
    <w:p>
      <w:pPr>
        <w:pStyle w:val="ListBullet"/>
      </w:pPr>
      <w:r>
        <w:t>Communication protocols and network design.</w:t>
      </w:r>
    </w:p>
    <w:p>
      <w:pPr>
        <w:pStyle w:val="ListBullet"/>
      </w:pPr>
      <w:r>
        <w:t>Electrical and mechanical compatibility.</w:t>
      </w:r>
    </w:p>
    <w:p>
      <w:pPr>
        <w:pStyle w:val="ListBullet"/>
      </w:pPr>
      <w:r>
        <w:t>Software platform and version compatibility.</w:t>
      </w:r>
    </w:p>
    <w:p>
      <w:pPr>
        <w:pStyle w:val="ListBullet"/>
      </w:pPr>
      <w:r>
        <w:t>Safety-related requirements.</w:t>
      </w:r>
    </w:p>
    <w:p>
      <w:pPr>
        <w:pStyle w:val="ListBullet"/>
      </w:pPr>
      <w:r>
        <w:t>Performance and cycle-time commitments.</w:t>
      </w:r>
    </w:p>
    <w:p>
      <w:pPr>
        <w:pStyle w:val="ListBullet"/>
      </w:pPr>
      <w:r>
        <w:t>Installation and commissioning methodology.</w:t>
      </w:r>
    </w:p>
    <w:p>
      <w:pPr>
        <w:pStyle w:val="ListBullet"/>
      </w:pPr>
      <w:r>
        <w:t>FAT and SAT plans.</w:t>
      </w:r>
    </w:p>
    <w:p>
      <w:pPr>
        <w:pStyle w:val="ListBullet"/>
      </w:pPr>
      <w:r>
        <w:t>Required drawings, source code, and documentation.</w:t>
      </w:r>
    </w:p>
    <w:p>
      <w:pPr>
        <w:pStyle w:val="ListBullet"/>
      </w:pPr>
      <w:r>
        <w:t>Warranty and technical support capability.</w:t>
      </w:r>
    </w:p>
    <w:p>
      <w:pPr>
        <w:pStyle w:val="ListBullet"/>
      </w:pPr>
      <w:r>
        <w:t>Spare-parts availability and lifecycle status.</w:t>
      </w:r>
    </w:p>
    <w:p>
      <w:pPr>
        <w:pStyle w:val="ListBullet"/>
      </w:pPr>
      <w:r>
        <w:t>Technical deviations, assumptions, and exclusions.</w:t>
      </w:r>
    </w:p>
    <w:p>
      <w:r>
        <w:t>Evaluate the proposed solution against the actual requirement, not merely the product brochure.</w:t>
      </w:r>
    </w:p>
    <w:p>
      <w:pPr>
        <w:pStyle w:val="Heading3"/>
      </w:pPr>
      <w:r>
        <w:t>6.2 Technical compliance categories</w:t>
      </w:r>
    </w:p>
    <w:p>
      <w:r>
        <w:t>A consistent response classification makes technical review easier.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treatment</w:t>
            </w:r>
          </w:p>
        </w:tc>
      </w:tr>
      <w:tr>
        <w:tc>
          <w:tcPr>
            <w:tcW w:type="dxa" w:w="3600"/>
          </w:tcPr>
          <w:p>
            <w:pPr>
              <w:spacing w:after="0" w:before="0" w:line="240" w:lineRule="auto"/>
              <w:jc w:val="left"/>
            </w:pPr>
            <w:r>
              <w:t>Compliant</w:t>
            </w:r>
          </w:p>
        </w:tc>
        <w:tc>
          <w:tcPr>
            <w:tcW w:type="dxa" w:w="3600"/>
          </w:tcPr>
          <w:p>
            <w:pPr>
              <w:spacing w:after="0" w:before="0" w:line="240" w:lineRule="auto"/>
              <w:jc w:val="left"/>
            </w:pPr>
            <w:r>
              <w:t>Meets the requirement as specified</w:t>
            </w:r>
          </w:p>
        </w:tc>
        <w:tc>
          <w:tcPr>
            <w:tcW w:type="dxa" w:w="3600"/>
          </w:tcPr>
          <w:p>
            <w:pPr>
              <w:spacing w:after="0" w:before="0" w:line="240" w:lineRule="auto"/>
              <w:jc w:val="left"/>
            </w:pPr>
            <w:r>
              <w:t>Accept, subject to evidence and other checks</w:t>
            </w:r>
          </w:p>
        </w:tc>
      </w:tr>
      <w:tr>
        <w:tc>
          <w:tcPr>
            <w:tcW w:type="dxa" w:w="3600"/>
          </w:tcPr>
          <w:p>
            <w:pPr>
              <w:spacing w:after="0" w:before="0" w:line="240" w:lineRule="auto"/>
              <w:jc w:val="left"/>
            </w:pPr>
            <w:r>
              <w:t>Partially compliant</w:t>
            </w:r>
          </w:p>
        </w:tc>
        <w:tc>
          <w:tcPr>
            <w:tcW w:type="dxa" w:w="3600"/>
          </w:tcPr>
          <w:p>
            <w:pPr>
              <w:spacing w:after="0" w:before="0" w:line="240" w:lineRule="auto"/>
              <w:jc w:val="left"/>
            </w:pPr>
            <w:r>
              <w:t>Meets some but not all aspects</w:t>
            </w:r>
          </w:p>
        </w:tc>
        <w:tc>
          <w:tcPr>
            <w:tcW w:type="dxa" w:w="3600"/>
          </w:tcPr>
          <w:p>
            <w:pPr>
              <w:spacing w:after="0" w:before="0" w:line="240" w:lineRule="auto"/>
              <w:jc w:val="left"/>
            </w:pPr>
            <w:r>
              <w:t>Clarify impact and determine acceptability</w:t>
            </w:r>
          </w:p>
        </w:tc>
      </w:tr>
      <w:tr>
        <w:tc>
          <w:tcPr>
            <w:tcW w:type="dxa" w:w="3600"/>
          </w:tcPr>
          <w:p>
            <w:pPr>
              <w:spacing w:after="0" w:before="0" w:line="240" w:lineRule="auto"/>
              <w:jc w:val="left"/>
            </w:pPr>
            <w:r>
              <w:t>Noncompliant</w:t>
            </w:r>
          </w:p>
        </w:tc>
        <w:tc>
          <w:tcPr>
            <w:tcW w:type="dxa" w:w="3600"/>
          </w:tcPr>
          <w:p>
            <w:pPr>
              <w:spacing w:after="0" w:before="0" w:line="240" w:lineRule="auto"/>
              <w:jc w:val="left"/>
            </w:pPr>
            <w:r>
              <w:t>Fails a stated requirement</w:t>
            </w:r>
          </w:p>
        </w:tc>
        <w:tc>
          <w:tcPr>
            <w:tcW w:type="dxa" w:w="3600"/>
          </w:tcPr>
          <w:p>
            <w:pPr>
              <w:spacing w:after="0" w:before="0" w:line="240" w:lineRule="auto"/>
              <w:jc w:val="left"/>
            </w:pPr>
            <w:r>
              <w:t>Reject or handle under the permitted deviation process</w:t>
            </w:r>
          </w:p>
        </w:tc>
      </w:tr>
      <w:tr>
        <w:tc>
          <w:tcPr>
            <w:tcW w:type="dxa" w:w="3600"/>
          </w:tcPr>
          <w:p>
            <w:pPr>
              <w:spacing w:after="0" w:before="0" w:line="240" w:lineRule="auto"/>
              <w:jc w:val="left"/>
            </w:pPr>
            <w:r>
              <w:t>Clarification required</w:t>
            </w:r>
          </w:p>
        </w:tc>
        <w:tc>
          <w:tcPr>
            <w:tcW w:type="dxa" w:w="3600"/>
          </w:tcPr>
          <w:p>
            <w:pPr>
              <w:spacing w:after="0" w:before="0" w:line="240" w:lineRule="auto"/>
              <w:jc w:val="left"/>
            </w:pPr>
            <w:r>
              <w:t>Evidence or interpretation is insufficient</w:t>
            </w:r>
          </w:p>
        </w:tc>
        <w:tc>
          <w:tcPr>
            <w:tcW w:type="dxa" w:w="3600"/>
          </w:tcPr>
          <w:p>
            <w:pPr>
              <w:spacing w:after="0" w:before="0" w:line="240" w:lineRule="auto"/>
              <w:jc w:val="left"/>
            </w:pPr>
            <w:r>
              <w:t>Seek an authorized clarification</w:t>
            </w:r>
          </w:p>
        </w:tc>
      </w:tr>
      <w:tr>
        <w:tc>
          <w:tcPr>
            <w:tcW w:type="dxa" w:w="3600"/>
          </w:tcPr>
          <w:p>
            <w:pPr>
              <w:spacing w:after="0" w:before="0" w:line="240" w:lineRule="auto"/>
              <w:jc w:val="left"/>
            </w:pPr>
            <w:r>
              <w:t>Not applicable</w:t>
            </w:r>
          </w:p>
        </w:tc>
        <w:tc>
          <w:tcPr>
            <w:tcW w:type="dxa" w:w="3600"/>
          </w:tcPr>
          <w:p>
            <w:pPr>
              <w:spacing w:after="0" w:before="0" w:line="240" w:lineRule="auto"/>
              <w:jc w:val="left"/>
            </w:pPr>
            <w:r>
              <w:t>Requirement does not apply to the offered scope</w:t>
            </w:r>
          </w:p>
        </w:tc>
        <w:tc>
          <w:tcPr>
            <w:tcW w:type="dxa" w:w="3600"/>
          </w:tcPr>
          <w:p>
            <w:pPr>
              <w:spacing w:after="0" w:before="0" w:line="240" w:lineRule="auto"/>
              <w:jc w:val="left"/>
            </w:pPr>
            <w:r>
              <w:t>Record the reason</w:t>
            </w:r>
          </w:p>
        </w:tc>
      </w:tr>
      <w:tr>
        <w:tc>
          <w:tcPr>
            <w:tcW w:type="dxa" w:w="3600"/>
          </w:tcPr>
          <w:p>
            <w:pPr>
              <w:spacing w:after="0" w:before="0" w:line="240" w:lineRule="auto"/>
              <w:jc w:val="left"/>
            </w:pPr>
            <w:r>
              <w:t>Alternative proposed</w:t>
            </w:r>
          </w:p>
        </w:tc>
        <w:tc>
          <w:tcPr>
            <w:tcW w:type="dxa" w:w="3600"/>
          </w:tcPr>
          <w:p>
            <w:pPr>
              <w:spacing w:after="0" w:before="0" w:line="240" w:lineRule="auto"/>
              <w:jc w:val="left"/>
            </w:pPr>
            <w:r>
              <w:t>Supplier offers a different technical solution</w:t>
            </w:r>
          </w:p>
        </w:tc>
        <w:tc>
          <w:tcPr>
            <w:tcW w:type="dxa" w:w="3600"/>
          </w:tcPr>
          <w:p>
            <w:pPr>
              <w:spacing w:after="0" w:before="0" w:line="240" w:lineRule="auto"/>
              <w:jc w:val="left"/>
            </w:pPr>
            <w:r>
              <w:t>Evaluate against equivalence criteria and approval rules</w:t>
            </w:r>
          </w:p>
        </w:tc>
      </w:tr>
    </w:tbl>
    <w:p/>
    <w:p>
      <w:r>
        <w:t>Do not treat a blank response as compliant. Likewise, a supplier's declaration of compliance does not replace verification where technical evidence is required.</w:t>
      </w:r>
    </w:p>
    <w:p>
      <w:pPr>
        <w:pStyle w:val="Heading2"/>
      </w:pPr>
      <w:r>
        <w:t>7. Technical compliance matrix</w:t>
      </w:r>
    </w:p>
    <w:p>
      <w:r>
        <w:t>A compliance matrix provides a traceable record of how each bidder addresses each requirement.</w:t>
      </w:r>
    </w:p>
    <w:p>
      <w:r>
        <w:t>Example for a PLC retrofit: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Requirement ID</w:t>
            </w:r>
          </w:p>
        </w:tc>
        <w:tc>
          <w:tcPr>
            <w:tcW w:type="dxa" w:w="2160"/>
            <w:shd w:val="clear" w:color="auto" w:fill="EEF2F7"/>
          </w:tcPr>
          <w:p>
            <w:pPr>
              <w:spacing w:after="0" w:before="0" w:line="240" w:lineRule="auto"/>
              <w:jc w:val="left"/>
            </w:pPr>
            <w:r>
              <w:rPr>
                <w:b/>
                <w:color w:val="1A2E4A"/>
              </w:rPr>
              <w:t>Requirement</w:t>
            </w:r>
          </w:p>
        </w:tc>
        <w:tc>
          <w:tcPr>
            <w:tcW w:type="dxa" w:w="2160"/>
            <w:shd w:val="clear" w:color="auto" w:fill="EEF2F7"/>
          </w:tcPr>
          <w:p>
            <w:pPr>
              <w:spacing w:after="0" w:before="0" w:line="240" w:lineRule="auto"/>
              <w:jc w:val="left"/>
            </w:pPr>
            <w:r>
              <w:rPr>
                <w:b/>
                <w:color w:val="1A2E4A"/>
              </w:rPr>
              <w:t>Bidder A</w:t>
            </w:r>
          </w:p>
        </w:tc>
        <w:tc>
          <w:tcPr>
            <w:tcW w:type="dxa" w:w="2160"/>
            <w:shd w:val="clear" w:color="auto" w:fill="EEF2F7"/>
          </w:tcPr>
          <w:p>
            <w:pPr>
              <w:spacing w:after="0" w:before="0" w:line="240" w:lineRule="auto"/>
              <w:jc w:val="left"/>
            </w:pPr>
            <w:r>
              <w:rPr>
                <w:b/>
                <w:color w:val="1A2E4A"/>
              </w:rPr>
              <w:t>Bidder B</w:t>
            </w:r>
          </w:p>
        </w:tc>
        <w:tc>
          <w:tcPr>
            <w:tcW w:type="dxa" w:w="2160"/>
            <w:shd w:val="clear" w:color="auto" w:fill="EEF2F7"/>
          </w:tcPr>
          <w:p>
            <w:pPr>
              <w:spacing w:after="0" w:before="0" w:line="240" w:lineRule="auto"/>
              <w:jc w:val="left"/>
            </w:pPr>
            <w:r>
              <w:rPr>
                <w:b/>
                <w:color w:val="1A2E4A"/>
              </w:rPr>
              <w:t>Bidder C</w:t>
            </w:r>
          </w:p>
        </w:tc>
      </w:tr>
      <w:tr>
        <w:tc>
          <w:tcPr>
            <w:tcW w:type="dxa" w:w="2160"/>
          </w:tcPr>
          <w:p>
            <w:pPr>
              <w:spacing w:after="0" w:before="0" w:line="240" w:lineRule="auto"/>
              <w:jc w:val="left"/>
            </w:pPr>
            <w:r>
              <w:t>TR-001</w:t>
            </w:r>
          </w:p>
        </w:tc>
        <w:tc>
          <w:tcPr>
            <w:tcW w:type="dxa" w:w="2160"/>
          </w:tcPr>
          <w:p>
            <w:pPr>
              <w:spacing w:after="0" w:before="0" w:line="240" w:lineRule="auto"/>
              <w:jc w:val="left"/>
            </w:pPr>
            <w:r>
              <w:t>Required PLC communication protocol</w:t>
            </w:r>
          </w:p>
        </w:tc>
        <w:tc>
          <w:tcPr>
            <w:tcW w:type="dxa" w:w="2160"/>
          </w:tcPr>
          <w:p>
            <w:pPr>
              <w:spacing w:after="0" w:before="0" w:line="240" w:lineRule="auto"/>
              <w:jc w:val="left"/>
            </w:pPr>
            <w:r>
              <w:t>Compliant</w:t>
            </w:r>
          </w:p>
        </w:tc>
        <w:tc>
          <w:tcPr>
            <w:tcW w:type="dxa" w:w="2160"/>
          </w:tcPr>
          <w:p>
            <w:pPr>
              <w:spacing w:after="0" w:before="0" w:line="240" w:lineRule="auto"/>
              <w:jc w:val="left"/>
            </w:pPr>
            <w:r>
              <w:t>Compliant</w:t>
            </w:r>
          </w:p>
        </w:tc>
        <w:tc>
          <w:tcPr>
            <w:tcW w:type="dxa" w:w="2160"/>
          </w:tcPr>
          <w:p>
            <w:pPr>
              <w:spacing w:after="0" w:before="0" w:line="240" w:lineRule="auto"/>
              <w:jc w:val="left"/>
            </w:pPr>
            <w:r>
              <w:t>Clarification required</w:t>
            </w:r>
          </w:p>
        </w:tc>
      </w:tr>
      <w:tr>
        <w:tc>
          <w:tcPr>
            <w:tcW w:type="dxa" w:w="2160"/>
          </w:tcPr>
          <w:p>
            <w:pPr>
              <w:spacing w:after="0" w:before="0" w:line="240" w:lineRule="auto"/>
              <w:jc w:val="left"/>
            </w:pPr>
            <w:r>
              <w:t>TR-002</w:t>
            </w:r>
          </w:p>
        </w:tc>
        <w:tc>
          <w:tcPr>
            <w:tcW w:type="dxa" w:w="2160"/>
          </w:tcPr>
          <w:p>
            <w:pPr>
              <w:spacing w:after="0" w:before="0" w:line="240" w:lineRule="auto"/>
              <w:jc w:val="left"/>
            </w:pPr>
            <w:r>
              <w:t>Editable PLC source project</w:t>
            </w:r>
          </w:p>
        </w:tc>
        <w:tc>
          <w:tcPr>
            <w:tcW w:type="dxa" w:w="2160"/>
          </w:tcPr>
          <w:p>
            <w:pPr>
              <w:spacing w:after="0" w:before="0" w:line="240" w:lineRule="auto"/>
              <w:jc w:val="left"/>
            </w:pPr>
            <w:r>
              <w:t>Compliant</w:t>
            </w:r>
          </w:p>
        </w:tc>
        <w:tc>
          <w:tcPr>
            <w:tcW w:type="dxa" w:w="2160"/>
          </w:tcPr>
          <w:p>
            <w:pPr>
              <w:spacing w:after="0" w:before="0" w:line="240" w:lineRule="auto"/>
              <w:jc w:val="left"/>
            </w:pPr>
            <w:r>
              <w:t>Deviation</w:t>
            </w:r>
          </w:p>
        </w:tc>
        <w:tc>
          <w:tcPr>
            <w:tcW w:type="dxa" w:w="2160"/>
          </w:tcPr>
          <w:p>
            <w:pPr>
              <w:spacing w:after="0" w:before="0" w:line="240" w:lineRule="auto"/>
              <w:jc w:val="left"/>
            </w:pPr>
            <w:r>
              <w:t>Compliant</w:t>
            </w:r>
          </w:p>
        </w:tc>
      </w:tr>
      <w:tr>
        <w:tc>
          <w:tcPr>
            <w:tcW w:type="dxa" w:w="2160"/>
          </w:tcPr>
          <w:p>
            <w:pPr>
              <w:spacing w:after="0" w:before="0" w:line="240" w:lineRule="auto"/>
              <w:jc w:val="left"/>
            </w:pPr>
            <w:r>
              <w:t>TR-003</w:t>
            </w:r>
          </w:p>
        </w:tc>
        <w:tc>
          <w:tcPr>
            <w:tcW w:type="dxa" w:w="2160"/>
          </w:tcPr>
          <w:p>
            <w:pPr>
              <w:spacing w:after="0" w:before="0" w:line="240" w:lineRule="auto"/>
              <w:jc w:val="left"/>
            </w:pPr>
            <w:r>
              <w:t>Existing HMI integration</w:t>
            </w:r>
          </w:p>
        </w:tc>
        <w:tc>
          <w:tcPr>
            <w:tcW w:type="dxa" w:w="2160"/>
          </w:tcPr>
          <w:p>
            <w:pPr>
              <w:spacing w:after="0" w:before="0" w:line="240" w:lineRule="auto"/>
              <w:jc w:val="left"/>
            </w:pPr>
            <w:r>
              <w:t>Compliant</w:t>
            </w:r>
          </w:p>
        </w:tc>
        <w:tc>
          <w:tcPr>
            <w:tcW w:type="dxa" w:w="2160"/>
          </w:tcPr>
          <w:p>
            <w:pPr>
              <w:spacing w:after="0" w:before="0" w:line="240" w:lineRule="auto"/>
              <w:jc w:val="left"/>
            </w:pPr>
            <w:r>
              <w:t>Compliant</w:t>
            </w:r>
          </w:p>
        </w:tc>
        <w:tc>
          <w:tcPr>
            <w:tcW w:type="dxa" w:w="2160"/>
          </w:tcPr>
          <w:p>
            <w:pPr>
              <w:spacing w:after="0" w:before="0" w:line="240" w:lineRule="auto"/>
              <w:jc w:val="left"/>
            </w:pPr>
            <w:r>
              <w:t>Noncompliant</w:t>
            </w:r>
          </w:p>
        </w:tc>
      </w:tr>
      <w:tr>
        <w:tc>
          <w:tcPr>
            <w:tcW w:type="dxa" w:w="2160"/>
          </w:tcPr>
          <w:p>
            <w:pPr>
              <w:spacing w:after="0" w:before="0" w:line="240" w:lineRule="auto"/>
              <w:jc w:val="left"/>
            </w:pPr>
            <w:r>
              <w:t>TR-004</w:t>
            </w:r>
          </w:p>
        </w:tc>
        <w:tc>
          <w:tcPr>
            <w:tcW w:type="dxa" w:w="2160"/>
          </w:tcPr>
          <w:p>
            <w:pPr>
              <w:spacing w:after="0" w:before="0" w:line="240" w:lineRule="auto"/>
              <w:jc w:val="left"/>
            </w:pPr>
            <w:r>
              <w:t>FAT and SAT included</w:t>
            </w:r>
          </w:p>
        </w:tc>
        <w:tc>
          <w:tcPr>
            <w:tcW w:type="dxa" w:w="2160"/>
          </w:tcPr>
          <w:p>
            <w:pPr>
              <w:spacing w:after="0" w:before="0" w:line="240" w:lineRule="auto"/>
              <w:jc w:val="left"/>
            </w:pPr>
            <w:r>
              <w:t>Compliant</w:t>
            </w:r>
          </w:p>
        </w:tc>
        <w:tc>
          <w:tcPr>
            <w:tcW w:type="dxa" w:w="2160"/>
          </w:tcPr>
          <w:p>
            <w:pPr>
              <w:spacing w:after="0" w:before="0" w:line="240" w:lineRule="auto"/>
              <w:jc w:val="left"/>
            </w:pPr>
            <w:r>
              <w:t>Compliant</w:t>
            </w:r>
          </w:p>
        </w:tc>
        <w:tc>
          <w:tcPr>
            <w:tcW w:type="dxa" w:w="2160"/>
          </w:tcPr>
          <w:p>
            <w:pPr>
              <w:spacing w:after="0" w:before="0" w:line="240" w:lineRule="auto"/>
              <w:jc w:val="left"/>
            </w:pPr>
            <w:r>
              <w:t>Deviation</w:t>
            </w:r>
          </w:p>
        </w:tc>
      </w:tr>
      <w:tr>
        <w:tc>
          <w:tcPr>
            <w:tcW w:type="dxa" w:w="2160"/>
          </w:tcPr>
          <w:p>
            <w:pPr>
              <w:spacing w:after="0" w:before="0" w:line="240" w:lineRule="auto"/>
              <w:jc w:val="left"/>
            </w:pPr>
            <w:r>
              <w:t>TR-005</w:t>
            </w:r>
          </w:p>
        </w:tc>
        <w:tc>
          <w:tcPr>
            <w:tcW w:type="dxa" w:w="2160"/>
          </w:tcPr>
          <w:p>
            <w:pPr>
              <w:spacing w:after="0" w:before="0" w:line="240" w:lineRule="auto"/>
              <w:jc w:val="left"/>
            </w:pPr>
            <w:r>
              <w:t>Updated as-built drawings</w:t>
            </w:r>
          </w:p>
        </w:tc>
        <w:tc>
          <w:tcPr>
            <w:tcW w:type="dxa" w:w="2160"/>
          </w:tcPr>
          <w:p>
            <w:pPr>
              <w:spacing w:after="0" w:before="0" w:line="240" w:lineRule="auto"/>
              <w:jc w:val="left"/>
            </w:pPr>
            <w:r>
              <w:t>Compliant</w:t>
            </w:r>
          </w:p>
        </w:tc>
        <w:tc>
          <w:tcPr>
            <w:tcW w:type="dxa" w:w="2160"/>
          </w:tcPr>
          <w:p>
            <w:pPr>
              <w:spacing w:after="0" w:before="0" w:line="240" w:lineRule="auto"/>
              <w:jc w:val="left"/>
            </w:pPr>
            <w:r>
              <w:t>Clarification required</w:t>
            </w:r>
          </w:p>
        </w:tc>
        <w:tc>
          <w:tcPr>
            <w:tcW w:type="dxa" w:w="2160"/>
          </w:tcPr>
          <w:p>
            <w:pPr>
              <w:spacing w:after="0" w:before="0" w:line="240" w:lineRule="auto"/>
              <w:jc w:val="left"/>
            </w:pPr>
            <w:r>
              <w:t>Compliant</w:t>
            </w:r>
          </w:p>
        </w:tc>
      </w:tr>
      <w:tr>
        <w:tc>
          <w:tcPr>
            <w:tcW w:type="dxa" w:w="2160"/>
          </w:tcPr>
          <w:p>
            <w:pPr>
              <w:spacing w:after="0" w:before="0" w:line="240" w:lineRule="auto"/>
              <w:jc w:val="left"/>
            </w:pPr>
            <w:r>
              <w:t>TR-006</w:t>
            </w:r>
          </w:p>
        </w:tc>
        <w:tc>
          <w:tcPr>
            <w:tcW w:type="dxa" w:w="2160"/>
          </w:tcPr>
          <w:p>
            <w:pPr>
              <w:spacing w:after="0" w:before="0" w:line="240" w:lineRule="auto"/>
              <w:jc w:val="left"/>
            </w:pPr>
            <w:r>
              <w:t>Defined communication-loss response</w:t>
            </w:r>
          </w:p>
        </w:tc>
        <w:tc>
          <w:tcPr>
            <w:tcW w:type="dxa" w:w="2160"/>
          </w:tcPr>
          <w:p>
            <w:pPr>
              <w:spacing w:after="0" w:before="0" w:line="240" w:lineRule="auto"/>
              <w:jc w:val="left"/>
            </w:pPr>
            <w:r>
              <w:t>Compliant</w:t>
            </w:r>
          </w:p>
        </w:tc>
        <w:tc>
          <w:tcPr>
            <w:tcW w:type="dxa" w:w="2160"/>
          </w:tcPr>
          <w:p>
            <w:pPr>
              <w:spacing w:after="0" w:before="0" w:line="240" w:lineRule="auto"/>
              <w:jc w:val="left"/>
            </w:pPr>
            <w:r>
              <w:t>Noncompliant</w:t>
            </w:r>
          </w:p>
        </w:tc>
        <w:tc>
          <w:tcPr>
            <w:tcW w:type="dxa" w:w="2160"/>
          </w:tcPr>
          <w:p>
            <w:pPr>
              <w:spacing w:after="0" w:before="0" w:line="240" w:lineRule="auto"/>
              <w:jc w:val="left"/>
            </w:pPr>
            <w:r>
              <w:t>Compliant</w:t>
            </w:r>
          </w:p>
        </w:tc>
      </w:tr>
    </w:tbl>
    <w:p/>
    <w:p>
      <w:r>
        <w:t>This table is illustrative. Actual evaluations require evidence from the submitted bids and approved technical requirements.</w:t>
      </w:r>
    </w:p>
    <w:p>
      <w:pPr>
        <w:pStyle w:val="Heading3"/>
      </w:pPr>
      <w:r>
        <w:t>How to use the matrix</w:t>
      </w:r>
    </w:p>
    <w:p>
      <w:pPr>
        <w:tabs>
          <w:tab w:pos="403" w:val="left"/>
        </w:tabs>
        <w:spacing w:after="40" w:line="276" w:lineRule="auto"/>
        <w:ind w:left="403" w:hanging="403"/>
        <w:jc w:val="left"/>
      </w:pPr>
      <w:r>
        <w:rPr>
          <w:color w:val="1A2E4A"/>
        </w:rPr>
        <w:t>1.</w:t>
        <w:tab/>
      </w:r>
      <w:r>
        <w:t>Assign a unique ID to every relevant requirement.</w:t>
      </w:r>
    </w:p>
    <w:p>
      <w:pPr>
        <w:tabs>
          <w:tab w:pos="403" w:val="left"/>
        </w:tabs>
        <w:spacing w:after="40" w:line="276" w:lineRule="auto"/>
        <w:ind w:left="403" w:hanging="403"/>
        <w:jc w:val="left"/>
      </w:pPr>
      <w:r>
        <w:rPr>
          <w:color w:val="1A2E4A"/>
        </w:rPr>
        <w:t>2.</w:t>
        <w:tab/>
      </w:r>
      <w:r>
        <w:t>Record the supplier's exact compliance position.</w:t>
      </w:r>
    </w:p>
    <w:p>
      <w:pPr>
        <w:tabs>
          <w:tab w:pos="403" w:val="left"/>
        </w:tabs>
        <w:spacing w:after="40" w:line="276" w:lineRule="auto"/>
        <w:ind w:left="403" w:hanging="403"/>
        <w:jc w:val="left"/>
      </w:pPr>
      <w:r>
        <w:rPr>
          <w:color w:val="1A2E4A"/>
        </w:rPr>
        <w:t>3.</w:t>
        <w:tab/>
      </w:r>
      <w:r>
        <w:t>Link the response to supporting evidence.</w:t>
      </w:r>
    </w:p>
    <w:p>
      <w:pPr>
        <w:tabs>
          <w:tab w:pos="403" w:val="left"/>
        </w:tabs>
        <w:spacing w:after="40" w:line="276" w:lineRule="auto"/>
        <w:ind w:left="403" w:hanging="403"/>
        <w:jc w:val="left"/>
      </w:pPr>
      <w:r>
        <w:rPr>
          <w:color w:val="1A2E4A"/>
        </w:rPr>
        <w:t>4.</w:t>
        <w:tab/>
      </w:r>
      <w:r>
        <w:t>Record deviations and their consequences.</w:t>
      </w:r>
    </w:p>
    <w:p>
      <w:pPr>
        <w:tabs>
          <w:tab w:pos="403" w:val="left"/>
        </w:tabs>
        <w:spacing w:after="40" w:line="276" w:lineRule="auto"/>
        <w:ind w:left="403" w:hanging="403"/>
        <w:jc w:val="left"/>
      </w:pPr>
      <w:r>
        <w:rPr>
          <w:color w:val="1A2E4A"/>
        </w:rPr>
        <w:t>5.</w:t>
        <w:tab/>
      </w:r>
      <w:r>
        <w:t>Obtain clarification where permitted.</w:t>
      </w:r>
    </w:p>
    <w:p>
      <w:pPr>
        <w:tabs>
          <w:tab w:pos="403" w:val="left"/>
        </w:tabs>
        <w:spacing w:after="40" w:line="276" w:lineRule="auto"/>
        <w:ind w:left="403" w:hanging="403"/>
        <w:jc w:val="left"/>
      </w:pPr>
      <w:r>
        <w:rPr>
          <w:color w:val="1A2E4A"/>
        </w:rPr>
        <w:t>6.</w:t>
        <w:tab/>
      </w:r>
      <w:r>
        <w:t>Determine compliance using the approved criteria.</w:t>
      </w:r>
    </w:p>
    <w:p>
      <w:pPr>
        <w:tabs>
          <w:tab w:pos="403" w:val="left"/>
        </w:tabs>
        <w:spacing w:after="40" w:line="276" w:lineRule="auto"/>
        <w:ind w:left="403" w:hanging="403"/>
        <w:jc w:val="left"/>
      </w:pPr>
      <w:r>
        <w:rPr>
          <w:color w:val="1A2E4A"/>
        </w:rPr>
        <w:t>7.</w:t>
        <w:tab/>
      </w:r>
      <w:r>
        <w:t>Record the reviewer and decision.</w:t>
      </w:r>
    </w:p>
    <w:p>
      <w:r>
        <w:t>A compliance matrix should expose differences, not hide them inside a single total score.</w:t>
      </w:r>
    </w:p>
    <w:p>
      <w:pPr>
        <w:pStyle w:val="Heading2"/>
      </w:pPr>
      <w:r>
        <w:t>8. Mandatory requirements versus scored requirements</w:t>
      </w:r>
    </w:p>
    <w:p>
      <w:r>
        <w:t>Some requirements are pass/fail conditions. Others can be evaluated using a scoring model.</w:t>
      </w:r>
    </w:p>
    <w:p>
      <w:r>
        <w:t>Mandatory requirements may include:</w:t>
      </w:r>
    </w:p>
    <w:p>
      <w:pPr>
        <w:pStyle w:val="ListBullet"/>
      </w:pPr>
      <w:r>
        <w:t>Required safety functions.</w:t>
      </w:r>
    </w:p>
    <w:p>
      <w:pPr>
        <w:pStyle w:val="ListBullet"/>
      </w:pPr>
      <w:r>
        <w:t>Minimum legal or regulatory compliance.</w:t>
      </w:r>
    </w:p>
    <w:p>
      <w:pPr>
        <w:pStyle w:val="ListBullet"/>
      </w:pPr>
      <w:r>
        <w:t>Essential interface compatibility.</w:t>
      </w:r>
    </w:p>
    <w:p>
      <w:pPr>
        <w:pStyle w:val="ListBullet"/>
      </w:pPr>
      <w:r>
        <w:t>Required authorization or eligibility.</w:t>
      </w:r>
    </w:p>
    <w:p>
      <w:pPr>
        <w:pStyle w:val="ListBullet"/>
      </w:pPr>
      <w:r>
        <w:t>Mandatory performance thresholds.</w:t>
      </w:r>
    </w:p>
    <w:p>
      <w:pPr>
        <w:pStyle w:val="ListBullet"/>
      </w:pPr>
      <w:r>
        <w:t>Required submission conditions.</w:t>
      </w:r>
    </w:p>
    <w:p>
      <w:r>
        <w:t>Scored requirements may include:</w:t>
      </w:r>
    </w:p>
    <w:p>
      <w:pPr>
        <w:pStyle w:val="ListBullet"/>
      </w:pPr>
      <w:r>
        <w:t>Engineering methodology.</w:t>
      </w:r>
    </w:p>
    <w:p>
      <w:pPr>
        <w:pStyle w:val="ListBullet"/>
      </w:pPr>
      <w:r>
        <w:t>Quality of technical documentation.</w:t>
      </w:r>
    </w:p>
    <w:p>
      <w:pPr>
        <w:pStyle w:val="ListBullet"/>
      </w:pPr>
      <w:r>
        <w:t>Relevant project experience.</w:t>
      </w:r>
    </w:p>
    <w:p>
      <w:pPr>
        <w:pStyle w:val="ListBullet"/>
      </w:pPr>
      <w:r>
        <w:t>Support arrangements.</w:t>
      </w:r>
    </w:p>
    <w:p>
      <w:pPr>
        <w:pStyle w:val="ListBullet"/>
      </w:pPr>
      <w:r>
        <w:t>Ease of maintenance.</w:t>
      </w:r>
    </w:p>
    <w:p>
      <w:pPr>
        <w:pStyle w:val="ListBullet"/>
      </w:pPr>
      <w:r>
        <w:t>Additional capability beyond the minimum requirement.</w:t>
      </w:r>
    </w:p>
    <w:p>
      <w:r>
        <w:t>The exact classification must be established before evaluation.</w:t>
      </w:r>
    </w:p>
    <w:p>
      <w:r>
        <w:t>For example, if the specification requires an essential safety function, a supplier cannot compensate for failing that requirement by earning extra points for delivery speed.</w:t>
      </w:r>
    </w:p>
    <w:p>
      <w:pPr>
        <w:pStyle w:val="Heading2"/>
      </w:pPr>
      <w:r>
        <w:t>9. Technical scoring</w:t>
      </w:r>
    </w:p>
    <w:p>
      <w:r>
        <w:t>A weighted technical score can be used when the procurement method permits comparative scoring.</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Technical criterion</w:t>
            </w:r>
          </w:p>
        </w:tc>
        <w:tc>
          <w:tcPr>
            <w:tcW w:type="dxa" w:w="5400"/>
            <w:shd w:val="clear" w:color="auto" w:fill="EEF2F7"/>
          </w:tcPr>
          <w:p>
            <w:pPr>
              <w:spacing w:after="0" w:before="0" w:line="240" w:lineRule="auto"/>
              <w:jc w:val="left"/>
            </w:pPr>
            <w:r>
              <w:rPr>
                <w:b/>
                <w:color w:val="1A2E4A"/>
              </w:rPr>
              <w:t>Weight</w:t>
            </w:r>
          </w:p>
        </w:tc>
      </w:tr>
      <w:tr>
        <w:tc>
          <w:tcPr>
            <w:tcW w:type="dxa" w:w="5400"/>
          </w:tcPr>
          <w:p>
            <w:pPr>
              <w:spacing w:after="0" w:before="0" w:line="240" w:lineRule="auto"/>
              <w:jc w:val="left"/>
            </w:pPr>
            <w:r>
              <w:t>Functional and technical compliance</w:t>
            </w:r>
          </w:p>
        </w:tc>
        <w:tc>
          <w:tcPr>
            <w:tcW w:type="dxa" w:w="5400"/>
          </w:tcPr>
          <w:p>
            <w:pPr>
              <w:spacing w:after="0" w:before="0" w:line="240" w:lineRule="auto"/>
              <w:jc w:val="left"/>
            </w:pPr>
            <w:r>
              <w:t>30%</w:t>
            </w:r>
          </w:p>
        </w:tc>
      </w:tr>
      <w:tr>
        <w:tc>
          <w:tcPr>
            <w:tcW w:type="dxa" w:w="5400"/>
          </w:tcPr>
          <w:p>
            <w:pPr>
              <w:spacing w:after="0" w:before="0" w:line="240" w:lineRule="auto"/>
              <w:jc w:val="left"/>
            </w:pPr>
            <w:r>
              <w:t>Hardware and interface compatibility</w:t>
            </w:r>
          </w:p>
        </w:tc>
        <w:tc>
          <w:tcPr>
            <w:tcW w:type="dxa" w:w="5400"/>
          </w:tcPr>
          <w:p>
            <w:pPr>
              <w:spacing w:after="0" w:before="0" w:line="240" w:lineRule="auto"/>
              <w:jc w:val="left"/>
            </w:pPr>
            <w:r>
              <w:t>20%</w:t>
            </w:r>
          </w:p>
        </w:tc>
      </w:tr>
      <w:tr>
        <w:tc>
          <w:tcPr>
            <w:tcW w:type="dxa" w:w="5400"/>
          </w:tcPr>
          <w:p>
            <w:pPr>
              <w:spacing w:after="0" w:before="0" w:line="240" w:lineRule="auto"/>
              <w:jc w:val="left"/>
            </w:pPr>
            <w:r>
              <w:t>Engineering and implementation capability</w:t>
            </w:r>
          </w:p>
        </w:tc>
        <w:tc>
          <w:tcPr>
            <w:tcW w:type="dxa" w:w="5400"/>
          </w:tcPr>
          <w:p>
            <w:pPr>
              <w:spacing w:after="0" w:before="0" w:line="240" w:lineRule="auto"/>
              <w:jc w:val="left"/>
            </w:pPr>
            <w:r>
              <w:t>15%</w:t>
            </w:r>
          </w:p>
        </w:tc>
      </w:tr>
      <w:tr>
        <w:tc>
          <w:tcPr>
            <w:tcW w:type="dxa" w:w="5400"/>
          </w:tcPr>
          <w:p>
            <w:pPr>
              <w:spacing w:after="0" w:before="0" w:line="240" w:lineRule="auto"/>
              <w:jc w:val="left"/>
            </w:pPr>
            <w:r>
              <w:t>Testing and acceptance methodology</w:t>
            </w:r>
          </w:p>
        </w:tc>
        <w:tc>
          <w:tcPr>
            <w:tcW w:type="dxa" w:w="5400"/>
          </w:tcPr>
          <w:p>
            <w:pPr>
              <w:spacing w:after="0" w:before="0" w:line="240" w:lineRule="auto"/>
              <w:jc w:val="left"/>
            </w:pPr>
            <w:r>
              <w:t>15%</w:t>
            </w:r>
          </w:p>
        </w:tc>
      </w:tr>
      <w:tr>
        <w:tc>
          <w:tcPr>
            <w:tcW w:type="dxa" w:w="5400"/>
          </w:tcPr>
          <w:p>
            <w:pPr>
              <w:spacing w:after="0" w:before="0" w:line="240" w:lineRule="auto"/>
              <w:jc w:val="left"/>
            </w:pPr>
            <w:r>
              <w:t>Documentation and maintainability</w:t>
            </w:r>
          </w:p>
        </w:tc>
        <w:tc>
          <w:tcPr>
            <w:tcW w:type="dxa" w:w="5400"/>
          </w:tcPr>
          <w:p>
            <w:pPr>
              <w:spacing w:after="0" w:before="0" w:line="240" w:lineRule="auto"/>
              <w:jc w:val="left"/>
            </w:pPr>
            <w:r>
              <w:t>10%</w:t>
            </w:r>
          </w:p>
        </w:tc>
      </w:tr>
      <w:tr>
        <w:tc>
          <w:tcPr>
            <w:tcW w:type="dxa" w:w="5400"/>
          </w:tcPr>
          <w:p>
            <w:pPr>
              <w:spacing w:after="0" w:before="0" w:line="240" w:lineRule="auto"/>
              <w:jc w:val="left"/>
            </w:pPr>
            <w:r>
              <w:t>Service and lifecycle support</w:t>
            </w:r>
          </w:p>
        </w:tc>
        <w:tc>
          <w:tcPr>
            <w:tcW w:type="dxa" w:w="5400"/>
          </w:tcPr>
          <w:p>
            <w:pPr>
              <w:spacing w:after="0" w:before="0" w:line="240" w:lineRule="auto"/>
              <w:jc w:val="left"/>
            </w:pPr>
            <w:r>
              <w:t>10%</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Suppose a bidder receives the following ratings on a scale of 1 to 5.</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Criterion</w:t>
            </w:r>
          </w:p>
        </w:tc>
        <w:tc>
          <w:tcPr>
            <w:tcW w:type="dxa" w:w="3600"/>
            <w:shd w:val="clear" w:color="auto" w:fill="EEF2F7"/>
          </w:tcPr>
          <w:p>
            <w:pPr>
              <w:spacing w:after="0" w:before="0" w:line="240" w:lineRule="auto"/>
              <w:jc w:val="left"/>
            </w:pPr>
            <w:r>
              <w:rPr>
                <w:b/>
                <w:color w:val="1A2E4A"/>
              </w:rPr>
              <w:t>Weight</w:t>
            </w:r>
          </w:p>
        </w:tc>
        <w:tc>
          <w:tcPr>
            <w:tcW w:type="dxa" w:w="3600"/>
            <w:shd w:val="clear" w:color="auto" w:fill="EEF2F7"/>
          </w:tcPr>
          <w:p>
            <w:pPr>
              <w:spacing w:after="0" w:before="0" w:line="240" w:lineRule="auto"/>
              <w:jc w:val="left"/>
            </w:pPr>
            <w:r>
              <w:rPr>
                <w:b/>
                <w:color w:val="1A2E4A"/>
              </w:rPr>
              <w:t>Rating</w:t>
            </w:r>
          </w:p>
        </w:tc>
      </w:tr>
      <w:tr>
        <w:tc>
          <w:tcPr>
            <w:tcW w:type="dxa" w:w="3600"/>
          </w:tcPr>
          <w:p>
            <w:pPr>
              <w:spacing w:after="0" w:before="0" w:line="240" w:lineRule="auto"/>
              <w:jc w:val="left"/>
            </w:pPr>
            <w:r>
              <w:t>Functional and technical compliance</w:t>
            </w:r>
          </w:p>
        </w:tc>
        <w:tc>
          <w:tcPr>
            <w:tcW w:type="dxa" w:w="3600"/>
          </w:tcPr>
          <w:p>
            <w:pPr>
              <w:spacing w:after="0" w:before="0" w:line="240" w:lineRule="auto"/>
              <w:jc w:val="left"/>
            </w:pPr>
            <w:r>
              <w:t>30%</w:t>
            </w:r>
          </w:p>
        </w:tc>
        <w:tc>
          <w:tcPr>
            <w:tcW w:type="dxa" w:w="3600"/>
          </w:tcPr>
          <w:p>
            <w:pPr>
              <w:spacing w:after="0" w:before="0" w:line="240" w:lineRule="auto"/>
              <w:jc w:val="left"/>
            </w:pPr>
            <w:r>
              <w:t>5</w:t>
            </w:r>
          </w:p>
        </w:tc>
      </w:tr>
      <w:tr>
        <w:tc>
          <w:tcPr>
            <w:tcW w:type="dxa" w:w="3600"/>
          </w:tcPr>
          <w:p>
            <w:pPr>
              <w:spacing w:after="0" w:before="0" w:line="240" w:lineRule="auto"/>
              <w:jc w:val="left"/>
            </w:pPr>
            <w:r>
              <w:t>Hardware and interface compatibility</w:t>
            </w:r>
          </w:p>
        </w:tc>
        <w:tc>
          <w:tcPr>
            <w:tcW w:type="dxa" w:w="3600"/>
          </w:tcPr>
          <w:p>
            <w:pPr>
              <w:spacing w:after="0" w:before="0" w:line="240" w:lineRule="auto"/>
              <w:jc w:val="left"/>
            </w:pPr>
            <w:r>
              <w:t>20%</w:t>
            </w:r>
          </w:p>
        </w:tc>
        <w:tc>
          <w:tcPr>
            <w:tcW w:type="dxa" w:w="3600"/>
          </w:tcPr>
          <w:p>
            <w:pPr>
              <w:spacing w:after="0" w:before="0" w:line="240" w:lineRule="auto"/>
              <w:jc w:val="left"/>
            </w:pPr>
            <w:r>
              <w:t>4</w:t>
            </w:r>
          </w:p>
        </w:tc>
      </w:tr>
      <w:tr>
        <w:tc>
          <w:tcPr>
            <w:tcW w:type="dxa" w:w="3600"/>
          </w:tcPr>
          <w:p>
            <w:pPr>
              <w:spacing w:after="0" w:before="0" w:line="240" w:lineRule="auto"/>
              <w:jc w:val="left"/>
            </w:pPr>
            <w:r>
              <w:t>Engineering and implementation capability</w:t>
            </w:r>
          </w:p>
        </w:tc>
        <w:tc>
          <w:tcPr>
            <w:tcW w:type="dxa" w:w="3600"/>
          </w:tcPr>
          <w:p>
            <w:pPr>
              <w:spacing w:after="0" w:before="0" w:line="240" w:lineRule="auto"/>
              <w:jc w:val="left"/>
            </w:pPr>
            <w:r>
              <w:t>15%</w:t>
            </w:r>
          </w:p>
        </w:tc>
        <w:tc>
          <w:tcPr>
            <w:tcW w:type="dxa" w:w="3600"/>
          </w:tcPr>
          <w:p>
            <w:pPr>
              <w:spacing w:after="0" w:before="0" w:line="240" w:lineRule="auto"/>
              <w:jc w:val="left"/>
            </w:pPr>
            <w:r>
              <w:t>4</w:t>
            </w:r>
          </w:p>
        </w:tc>
      </w:tr>
      <w:tr>
        <w:tc>
          <w:tcPr>
            <w:tcW w:type="dxa" w:w="3600"/>
          </w:tcPr>
          <w:p>
            <w:pPr>
              <w:spacing w:after="0" w:before="0" w:line="240" w:lineRule="auto"/>
              <w:jc w:val="left"/>
            </w:pPr>
            <w:r>
              <w:t>Testing and acceptance methodology</w:t>
            </w:r>
          </w:p>
        </w:tc>
        <w:tc>
          <w:tcPr>
            <w:tcW w:type="dxa" w:w="3600"/>
          </w:tcPr>
          <w:p>
            <w:pPr>
              <w:spacing w:after="0" w:before="0" w:line="240" w:lineRule="auto"/>
              <w:jc w:val="left"/>
            </w:pPr>
            <w:r>
              <w:t>15%</w:t>
            </w:r>
          </w:p>
        </w:tc>
        <w:tc>
          <w:tcPr>
            <w:tcW w:type="dxa" w:w="3600"/>
          </w:tcPr>
          <w:p>
            <w:pPr>
              <w:spacing w:after="0" w:before="0" w:line="240" w:lineRule="auto"/>
              <w:jc w:val="left"/>
            </w:pPr>
            <w:r>
              <w:t>3</w:t>
            </w:r>
          </w:p>
        </w:tc>
      </w:tr>
      <w:tr>
        <w:tc>
          <w:tcPr>
            <w:tcW w:type="dxa" w:w="3600"/>
          </w:tcPr>
          <w:p>
            <w:pPr>
              <w:spacing w:after="0" w:before="0" w:line="240" w:lineRule="auto"/>
              <w:jc w:val="left"/>
            </w:pPr>
            <w:r>
              <w:t>Documentation and maintainability</w:t>
            </w:r>
          </w:p>
        </w:tc>
        <w:tc>
          <w:tcPr>
            <w:tcW w:type="dxa" w:w="3600"/>
          </w:tcPr>
          <w:p>
            <w:pPr>
              <w:spacing w:after="0" w:before="0" w:line="240" w:lineRule="auto"/>
              <w:jc w:val="left"/>
            </w:pPr>
            <w:r>
              <w:t>10%</w:t>
            </w:r>
          </w:p>
        </w:tc>
        <w:tc>
          <w:tcPr>
            <w:tcW w:type="dxa" w:w="3600"/>
          </w:tcPr>
          <w:p>
            <w:pPr>
              <w:spacing w:after="0" w:before="0" w:line="240" w:lineRule="auto"/>
              <w:jc w:val="left"/>
            </w:pPr>
            <w:r>
              <w:t>4</w:t>
            </w:r>
          </w:p>
        </w:tc>
      </w:tr>
      <w:tr>
        <w:tc>
          <w:tcPr>
            <w:tcW w:type="dxa" w:w="3600"/>
          </w:tcPr>
          <w:p>
            <w:pPr>
              <w:spacing w:after="0" w:before="0" w:line="240" w:lineRule="auto"/>
              <w:jc w:val="left"/>
            </w:pPr>
            <w:r>
              <w:t>Service and lifecycle support</w:t>
            </w:r>
          </w:p>
        </w:tc>
        <w:tc>
          <w:tcPr>
            <w:tcW w:type="dxa" w:w="3600"/>
          </w:tcPr>
          <w:p>
            <w:pPr>
              <w:spacing w:after="0" w:before="0" w:line="240" w:lineRule="auto"/>
              <w:jc w:val="left"/>
            </w:pPr>
            <w:r>
              <w:t>10%</w:t>
            </w:r>
          </w:p>
        </w:tc>
        <w:tc>
          <w:tcPr>
            <w:tcW w:type="dxa" w:w="3600"/>
          </w:tcPr>
          <w:p>
            <w:pPr>
              <w:spacing w:after="0" w:before="0" w:line="240" w:lineRule="auto"/>
              <w:jc w:val="left"/>
            </w:pPr>
            <w:r>
              <w:t>3</w:t>
            </w:r>
          </w:p>
        </w:tc>
      </w:tr>
    </w:tbl>
    <w:p/>
    <w:p>
      <w:r>
        <w:t>The normalized score is calculated as:</w:t>
      </w:r>
    </w:p>
    <w:p>
      <w:pPr>
        <w:spacing w:before="120" w:after="160"/>
        <w:jc w:val="center"/>
      </w:pPr>
      <m:oMathPara>
        <m:oMath>
          <m:sSub>
            <m:e>
              <m:r>
                <m:t>S</m:t>
              </m:r>
            </m:e>
            <m:sub>
              <m:r>
                <m:t>T</m:t>
              </m:r>
            </m:sub>
          </m:sSub>
          <m:r>
            <m:t>=</m:t>
          </m:r>
          <m:nary>
            <m:naryPr>
              <m:chr m:val="∑"/>
              <m:limLoc m:val="subSup"/>
              <m:grow m:val="1"/>
              <m:subHide m:val="off"/>
              <m:supHide m:val="off"/>
            </m:naryPr>
            <m:sub>
              <m:r>
                <m:t>i=1</m:t>
              </m:r>
            </m:sub>
            <m:sup>
              <m:r>
                <m:t>n</m:t>
              </m:r>
            </m:sup>
            <m:e>
              <m:sSub>
                <m:e>
                  <m:r>
                    <m:t>w</m:t>
                  </m:r>
                </m:e>
                <m:sub>
                  <m:r>
                    <m:t>i</m:t>
                  </m:r>
                </m:sub>
              </m:sSub>
            </m:e>
          </m:nary>
          <m:f>
            <m:fPr>
              <m:type m:val="bar"/>
            </m:fPr>
            <m:num>
              <m:sSub>
                <m:e>
                  <m:r>
                    <m:t>r</m:t>
                  </m:r>
                </m:e>
                <m:sub>
                  <m:r>
                    <m:t>i</m:t>
                  </m:r>
                </m:sub>
              </m:sSub>
            </m:num>
            <m:den>
              <m:sSub>
                <m:e>
                  <m:r>
                    <m:t>r</m:t>
                  </m:r>
                </m:e>
                <m:sub>
                  <m:r>
                    <m:t>max</m:t>
                  </m:r>
                </m:sub>
              </m:sSub>
            </m:den>
          </m:f>
        </m:oMath>
      </m:oMathPara>
    </w:p>
    <w:p>
      <w:r>
        <w:t>Where:</w:t>
      </w:r>
    </w:p>
    <w:p>
      <w:pPr>
        <w:pStyle w:val="ListBullet"/>
      </w:pPr>
      <m:oMath>
        <m:sSub>
          <m:e>
            <m:r>
              <m:t>S</m:t>
            </m:r>
          </m:e>
          <m:sub>
            <m:r>
              <m:t>T</m:t>
            </m:r>
          </m:sub>
        </m:sSub>
      </m:oMath>
      <w:r>
        <w:t xml:space="preserve"> is the normalized technical score.</w:t>
      </w:r>
    </w:p>
    <w:p>
      <w:pPr>
        <w:pStyle w:val="ListBullet"/>
      </w:pPr>
      <m:oMath>
        <m:sSub>
          <m:e>
            <m:r>
              <m:t>w</m:t>
            </m:r>
          </m:e>
          <m:sub>
            <m:r>
              <m:t>i</m:t>
            </m:r>
          </m:sub>
        </m:sSub>
      </m:oMath>
      <w:r>
        <w:t xml:space="preserve"> is the criterion weight expressed as a fraction.</w:t>
      </w:r>
    </w:p>
    <w:p>
      <w:pPr>
        <w:pStyle w:val="ListBullet"/>
      </w:pPr>
      <m:oMath>
        <m:sSub>
          <m:e>
            <m:r>
              <m:t>r</m:t>
            </m:r>
          </m:e>
          <m:sub>
            <m:r>
              <m:t>i</m:t>
            </m:r>
          </m:sub>
        </m:sSub>
      </m:oMath>
      <w:r>
        <w:t xml:space="preserve"> is the rating awarded.</w:t>
      </w:r>
    </w:p>
    <w:p>
      <w:pPr>
        <w:pStyle w:val="ListBullet"/>
      </w:pPr>
      <m:oMath>
        <m:sSub>
          <m:e>
            <m:r>
              <m:t>r</m:t>
            </m:r>
          </m:e>
          <m:sub>
            <m:r>
              <m:t>max</m:t>
            </m:r>
          </m:sub>
        </m:sSub>
      </m:oMath>
      <w:r>
        <w:t xml:space="preserve"> is the maximum rating.</w:t>
      </w:r>
    </w:p>
    <w:p>
      <w:r>
        <w:t>For this example:</w:t>
      </w:r>
    </w:p>
    <w:p>
      <w:pPr>
        <w:spacing w:before="120" w:after="160"/>
        <w:jc w:val="center"/>
      </w:pPr>
      <m:oMathPara>
        <m:oMath>
          <m:sSub>
            <m:e>
              <m:r>
                <m:t>S</m:t>
              </m:r>
            </m:e>
            <m:sub>
              <m:r>
                <m:t>T</m:t>
              </m:r>
            </m:sub>
          </m:sSub>
          <m:r>
            <m:t>=0.30(1)+0.20(0.8)+0.15(0.8)+0.15(0.6)+0.10(0.8)+0.10(0.6)</m:t>
          </m:r>
        </m:oMath>
      </m:oMathPara>
    </w:p>
    <w:p>
      <w:pPr>
        <w:spacing w:before="120" w:after="160"/>
        <w:jc w:val="center"/>
      </w:pPr>
      <m:oMathPara>
        <m:oMath>
          <m:sSub>
            <m:e>
              <m:r>
                <m:t>S</m:t>
              </m:r>
            </m:e>
            <m:sub>
              <m:r>
                <m:t>T</m:t>
              </m:r>
            </m:sub>
          </m:sSub>
          <m:r>
            <m:t>=0.82=82</m:t>
          </m:r>
        </m:oMath>
      </m:oMathPara>
    </w:p>
    <w:p>
      <w:r>
        <w:t>This bidder scores 82% under the illustrative model.</w:t>
      </w:r>
    </w:p>
    <w:p>
      <w:r>
        <w:t>The score is meaningful only if the criteria, weights, rating definitions, and minimum qualifying threshold were established and approved in advance.</w:t>
      </w:r>
    </w:p>
    <w:p>
      <w:pPr>
        <w:pStyle w:val="Heading2"/>
      </w:pPr>
      <w:r>
        <w:t>10. Technical clarification</w:t>
      </w:r>
    </w:p>
    <w:p>
      <w:r>
        <w:t>Clarification is used when a bid contains an ambiguity, incomplete evidence, or a point requiring interpretation.</w:t>
      </w:r>
    </w:p>
    <w:p>
      <w:r>
        <w:t>Examples:</w:t>
      </w:r>
    </w:p>
    <w:p>
      <w:pPr>
        <w:pStyle w:val="ListBullet"/>
      </w:pPr>
      <w:r>
        <w:t>The proposed PLC model is stated, but the required communication module is missing from the BOM.</w:t>
      </w:r>
    </w:p>
    <w:p>
      <w:pPr>
        <w:pStyle w:val="ListBullet"/>
      </w:pPr>
      <w:r>
        <w:t>The supplier claims a cycle time but does not define the test conditions.</w:t>
      </w:r>
    </w:p>
    <w:p>
      <w:pPr>
        <w:pStyle w:val="ListBullet"/>
      </w:pPr>
      <w:r>
        <w:t>Installation is mentioned without stating whether field wiring is included.</w:t>
      </w:r>
    </w:p>
    <w:p>
      <w:pPr>
        <w:pStyle w:val="ListBullet"/>
      </w:pPr>
      <w:r>
        <w:t>The quotation refers to an obsolete part number without identifying a successor.</w:t>
      </w:r>
    </w:p>
    <w:p>
      <w:pPr>
        <w:pStyle w:val="ListBullet"/>
      </w:pPr>
      <w:r>
        <w:t>A warranty is offered without defining when it begins.</w:t>
      </w:r>
    </w:p>
    <w:p>
      <w:pPr>
        <w:pStyle w:val="Heading3"/>
      </w:pPr>
      <w:r>
        <w:t>Good clarification practice</w:t>
      </w:r>
    </w:p>
    <w:p>
      <w:pPr>
        <w:pStyle w:val="ListBullet"/>
      </w:pPr>
      <w:r>
        <w:t>Refer to the exact requirement or bid section.</w:t>
      </w:r>
    </w:p>
    <w:p>
      <w:pPr>
        <w:pStyle w:val="ListBullet"/>
      </w:pPr>
      <w:r>
        <w:t>Ask a precise, neutral question.</w:t>
      </w:r>
    </w:p>
    <w:p>
      <w:pPr>
        <w:pStyle w:val="ListBullet"/>
      </w:pPr>
      <w:r>
        <w:t>Set a response deadline.</w:t>
      </w:r>
    </w:p>
    <w:p>
      <w:pPr>
        <w:pStyle w:val="ListBullet"/>
      </w:pPr>
      <w:r>
        <w:t>Record the supplier's answer.</w:t>
      </w:r>
    </w:p>
    <w:p>
      <w:pPr>
        <w:pStyle w:val="ListBullet"/>
      </w:pPr>
      <w:r>
        <w:t>Evaluate the answer consistently.</w:t>
      </w:r>
    </w:p>
    <w:p>
      <w:pPr>
        <w:pStyle w:val="ListBullet"/>
      </w:pPr>
      <w:r>
        <w:t>Preserve the original offer and the clarification record.</w:t>
      </w:r>
    </w:p>
    <w:p>
      <w:pPr>
        <w:pStyle w:val="ListBullet"/>
      </w:pPr>
      <w:r>
        <w:t>Obtain approval for any permitted material change.</w:t>
      </w:r>
    </w:p>
    <w:p>
      <w:r>
        <w:t>Clarification should not become an uncontrolled opportunity for one bidder to redesign its offer after seeing competitors' positions.</w:t>
      </w:r>
    </w:p>
    <w:p>
      <w:pPr>
        <w:pStyle w:val="Heading2"/>
      </w:pPr>
      <w:r>
        <w:t>11. Commercial bid evaluation</w:t>
      </w:r>
    </w:p>
    <w:p>
      <w:r>
        <w:t>Commercial evaluation assesses the financial and contractual acceptability of each eligible offer.</w:t>
      </w:r>
    </w:p>
    <w:p>
      <w:r>
        <w:t>Review:</w:t>
      </w:r>
    </w:p>
    <w:p>
      <w:pPr>
        <w:pStyle w:val="ListBullet"/>
      </w:pPr>
      <w:r>
        <w:t>Base price.</w:t>
      </w:r>
    </w:p>
    <w:p>
      <w:pPr>
        <w:pStyle w:val="ListBullet"/>
      </w:pPr>
      <w:r>
        <w:t>Itemized hardware and service costs.</w:t>
      </w:r>
    </w:p>
    <w:p>
      <w:pPr>
        <w:pStyle w:val="ListBullet"/>
      </w:pPr>
      <w:r>
        <w:t>Engineering and programming charges.</w:t>
      </w:r>
    </w:p>
    <w:p>
      <w:pPr>
        <w:pStyle w:val="ListBullet"/>
      </w:pPr>
      <w:r>
        <w:t>Installation and commissioning costs.</w:t>
      </w:r>
    </w:p>
    <w:p>
      <w:pPr>
        <w:pStyle w:val="ListBullet"/>
      </w:pPr>
      <w:r>
        <w:t>Freight, packaging, and insurance.</w:t>
      </w:r>
    </w:p>
    <w:p>
      <w:pPr>
        <w:pStyle w:val="ListBullet"/>
      </w:pPr>
      <w:r>
        <w:t>Taxes and duties as applicable.</w:t>
      </w:r>
    </w:p>
    <w:p>
      <w:pPr>
        <w:pStyle w:val="ListBullet"/>
      </w:pPr>
      <w:r>
        <w:t>Delivery commitments.</w:t>
      </w:r>
    </w:p>
    <w:p>
      <w:pPr>
        <w:pStyle w:val="ListBullet"/>
      </w:pPr>
      <w:r>
        <w:t>Payment terms.</w:t>
      </w:r>
    </w:p>
    <w:p>
      <w:pPr>
        <w:pStyle w:val="ListBullet"/>
      </w:pPr>
      <w:r>
        <w:t>Warranty coverage.</w:t>
      </w:r>
    </w:p>
    <w:p>
      <w:pPr>
        <w:pStyle w:val="ListBullet"/>
      </w:pPr>
      <w:r>
        <w:t>Quotation validity.</w:t>
      </w:r>
    </w:p>
    <w:p>
      <w:pPr>
        <w:pStyle w:val="ListBullet"/>
      </w:pPr>
      <w:r>
        <w:t>Price escalation or adjustment clauses.</w:t>
      </w:r>
    </w:p>
    <w:p>
      <w:pPr>
        <w:pStyle w:val="ListBullet"/>
      </w:pPr>
      <w:r>
        <w:t>Optional items.</w:t>
      </w:r>
    </w:p>
    <w:p>
      <w:pPr>
        <w:pStyle w:val="ListBullet"/>
      </w:pPr>
      <w:r>
        <w:t>Exclusions and assumptions.</w:t>
      </w:r>
    </w:p>
    <w:p>
      <w:pPr>
        <w:pStyle w:val="ListBullet"/>
      </w:pPr>
      <w:r>
        <w:t>Currency and exchange-rate exposure.</w:t>
      </w:r>
    </w:p>
    <w:p>
      <w:pPr>
        <w:pStyle w:val="ListBullet"/>
      </w:pPr>
      <w:r>
        <w:t>Contractual deviations.</w:t>
      </w:r>
    </w:p>
    <w:p>
      <w:pPr>
        <w:pStyle w:val="ListBullet"/>
      </w:pPr>
      <w:r>
        <w:t>Recurring costs such as licenses or support.</w:t>
      </w:r>
    </w:p>
    <w:p>
      <w:pPr>
        <w:pStyle w:val="ListBullet"/>
      </w:pPr>
      <w:r>
        <w:t>Relevant lifecycle costs.</w:t>
      </w:r>
    </w:p>
    <w:p>
      <w:r>
        <w:t>A commercial evaluation must compare like with like. If one supplier includes commissioning and another excludes it, comparing only their quoted totals is not a valid comparison.</w:t>
      </w:r>
    </w:p>
    <w:p>
      <w:pPr>
        <w:pStyle w:val="Heading2"/>
      </w:pPr>
      <w:r>
        <w:t>12. Commercial normalization</w:t>
      </w:r>
    </w:p>
    <w:p>
      <w:r>
        <w:t>Commercial normalization adjusts bids to a common evaluation basis so that differences in scope, taxes, delivery, and other cost components are visible.</w:t>
      </w:r>
    </w:p>
    <w:p>
      <w:r>
        <w:t>Suppose three suppliers quote for the same automation retrofit.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Cost component</w:t>
            </w:r>
          </w:p>
        </w:tc>
        <w:tc>
          <w:tcPr>
            <w:tcW w:type="dxa" w:w="2700"/>
            <w:shd w:val="clear" w:color="auto" w:fill="EEF2F7"/>
          </w:tcPr>
          <w:p>
            <w:pPr>
              <w:spacing w:after="0" w:before="0" w:line="240" w:lineRule="auto"/>
              <w:jc w:val="left"/>
            </w:pPr>
            <w:r>
              <w:rPr>
                <w:b/>
                <w:color w:val="1A2E4A"/>
              </w:rPr>
              <w:t>Bidder A</w:t>
            </w:r>
          </w:p>
        </w:tc>
        <w:tc>
          <w:tcPr>
            <w:tcW w:type="dxa" w:w="2700"/>
            <w:shd w:val="clear" w:color="auto" w:fill="EEF2F7"/>
          </w:tcPr>
          <w:p>
            <w:pPr>
              <w:spacing w:after="0" w:before="0" w:line="240" w:lineRule="auto"/>
              <w:jc w:val="left"/>
            </w:pPr>
            <w:r>
              <w:rPr>
                <w:b/>
                <w:color w:val="1A2E4A"/>
              </w:rPr>
              <w:t>Bidder B</w:t>
            </w:r>
          </w:p>
        </w:tc>
        <w:tc>
          <w:tcPr>
            <w:tcW w:type="dxa" w:w="2700"/>
            <w:shd w:val="clear" w:color="auto" w:fill="EEF2F7"/>
          </w:tcPr>
          <w:p>
            <w:pPr>
              <w:spacing w:after="0" w:before="0" w:line="240" w:lineRule="auto"/>
              <w:jc w:val="left"/>
            </w:pPr>
            <w:r>
              <w:rPr>
                <w:b/>
                <w:color w:val="1A2E4A"/>
              </w:rPr>
              <w:t>Bidder C</w:t>
            </w:r>
          </w:p>
        </w:tc>
      </w:tr>
      <w:tr>
        <w:tc>
          <w:tcPr>
            <w:tcW w:type="dxa" w:w="2700"/>
          </w:tcPr>
          <w:p>
            <w:pPr>
              <w:spacing w:after="0" w:before="0" w:line="240" w:lineRule="auto"/>
              <w:jc w:val="left"/>
            </w:pPr>
            <w:r>
              <w:t>Hardware</w:t>
            </w:r>
          </w:p>
        </w:tc>
        <w:tc>
          <w:tcPr>
            <w:tcW w:type="dxa" w:w="2700"/>
          </w:tcPr>
          <w:p>
            <w:pPr>
              <w:spacing w:after="0" w:before="0" w:line="240" w:lineRule="auto"/>
              <w:jc w:val="left"/>
            </w:pPr>
            <w:r>
              <w:t>400000</w:t>
            </w:r>
          </w:p>
        </w:tc>
        <w:tc>
          <w:tcPr>
            <w:tcW w:type="dxa" w:w="2700"/>
          </w:tcPr>
          <w:p>
            <w:pPr>
              <w:spacing w:after="0" w:before="0" w:line="240" w:lineRule="auto"/>
              <w:jc w:val="left"/>
            </w:pPr>
            <w:r>
              <w:t>360000</w:t>
            </w:r>
          </w:p>
        </w:tc>
        <w:tc>
          <w:tcPr>
            <w:tcW w:type="dxa" w:w="2700"/>
          </w:tcPr>
          <w:p>
            <w:pPr>
              <w:spacing w:after="0" w:before="0" w:line="240" w:lineRule="auto"/>
              <w:jc w:val="left"/>
            </w:pPr>
            <w:r>
              <w:t>390000</w:t>
            </w:r>
          </w:p>
        </w:tc>
      </w:tr>
      <w:tr>
        <w:tc>
          <w:tcPr>
            <w:tcW w:type="dxa" w:w="2700"/>
          </w:tcPr>
          <w:p>
            <w:pPr>
              <w:spacing w:after="0" w:before="0" w:line="240" w:lineRule="auto"/>
              <w:jc w:val="left"/>
            </w:pPr>
            <w:r>
              <w:t>Engineering</w:t>
            </w:r>
          </w:p>
        </w:tc>
        <w:tc>
          <w:tcPr>
            <w:tcW w:type="dxa" w:w="2700"/>
          </w:tcPr>
          <w:p>
            <w:pPr>
              <w:spacing w:after="0" w:before="0" w:line="240" w:lineRule="auto"/>
              <w:jc w:val="left"/>
            </w:pPr>
            <w:r>
              <w:t>80000</w:t>
            </w:r>
          </w:p>
        </w:tc>
        <w:tc>
          <w:tcPr>
            <w:tcW w:type="dxa" w:w="2700"/>
          </w:tcPr>
          <w:p>
            <w:pPr>
              <w:spacing w:after="0" w:before="0" w:line="240" w:lineRule="auto"/>
              <w:jc w:val="left"/>
            </w:pPr>
            <w:r>
              <w:t>100000</w:t>
            </w:r>
          </w:p>
        </w:tc>
        <w:tc>
          <w:tcPr>
            <w:tcW w:type="dxa" w:w="2700"/>
          </w:tcPr>
          <w:p>
            <w:pPr>
              <w:spacing w:after="0" w:before="0" w:line="240" w:lineRule="auto"/>
              <w:jc w:val="left"/>
            </w:pPr>
            <w:r>
              <w:t>70000</w:t>
            </w:r>
          </w:p>
        </w:tc>
      </w:tr>
      <w:tr>
        <w:tc>
          <w:tcPr>
            <w:tcW w:type="dxa" w:w="2700"/>
          </w:tcPr>
          <w:p>
            <w:pPr>
              <w:spacing w:after="0" w:before="0" w:line="240" w:lineRule="auto"/>
              <w:jc w:val="left"/>
            </w:pPr>
            <w:r>
              <w:t>Installation and commissioning</w:t>
            </w:r>
          </w:p>
        </w:tc>
        <w:tc>
          <w:tcPr>
            <w:tcW w:type="dxa" w:w="2700"/>
          </w:tcPr>
          <w:p>
            <w:pPr>
              <w:spacing w:after="0" w:before="0" w:line="240" w:lineRule="auto"/>
              <w:jc w:val="left"/>
            </w:pPr>
            <w:r>
              <w:t>40000</w:t>
            </w:r>
          </w:p>
        </w:tc>
        <w:tc>
          <w:tcPr>
            <w:tcW w:type="dxa" w:w="2700"/>
          </w:tcPr>
          <w:p>
            <w:pPr>
              <w:spacing w:after="0" w:before="0" w:line="240" w:lineRule="auto"/>
              <w:jc w:val="left"/>
            </w:pPr>
            <w:r>
              <w:t>Excluded</w:t>
            </w:r>
          </w:p>
        </w:tc>
        <w:tc>
          <w:tcPr>
            <w:tcW w:type="dxa" w:w="2700"/>
          </w:tcPr>
          <w:p>
            <w:pPr>
              <w:spacing w:after="0" w:before="0" w:line="240" w:lineRule="auto"/>
              <w:jc w:val="left"/>
            </w:pPr>
            <w:r>
              <w:t>50000</w:t>
            </w:r>
          </w:p>
        </w:tc>
      </w:tr>
      <w:tr>
        <w:tc>
          <w:tcPr>
            <w:tcW w:type="dxa" w:w="2700"/>
          </w:tcPr>
          <w:p>
            <w:pPr>
              <w:spacing w:after="0" w:before="0" w:line="240" w:lineRule="auto"/>
              <w:jc w:val="left"/>
            </w:pPr>
            <w:r>
              <w:t>Freight and packaging</w:t>
            </w:r>
          </w:p>
        </w:tc>
        <w:tc>
          <w:tcPr>
            <w:tcW w:type="dxa" w:w="2700"/>
          </w:tcPr>
          <w:p>
            <w:pPr>
              <w:spacing w:after="0" w:before="0" w:line="240" w:lineRule="auto"/>
              <w:jc w:val="left"/>
            </w:pPr>
            <w:r>
              <w:t>10000</w:t>
            </w:r>
          </w:p>
        </w:tc>
        <w:tc>
          <w:tcPr>
            <w:tcW w:type="dxa" w:w="2700"/>
          </w:tcPr>
          <w:p>
            <w:pPr>
              <w:spacing w:after="0" w:before="0" w:line="240" w:lineRule="auto"/>
              <w:jc w:val="left"/>
            </w:pPr>
            <w:r>
              <w:t>15000</w:t>
            </w:r>
          </w:p>
        </w:tc>
        <w:tc>
          <w:tcPr>
            <w:tcW w:type="dxa" w:w="2700"/>
          </w:tcPr>
          <w:p>
            <w:pPr>
              <w:spacing w:after="0" w:before="0" w:line="240" w:lineRule="auto"/>
              <w:jc w:val="left"/>
            </w:pPr>
            <w:r>
              <w:t>Included</w:t>
            </w:r>
          </w:p>
        </w:tc>
      </w:tr>
      <w:tr>
        <w:tc>
          <w:tcPr>
            <w:tcW w:type="dxa" w:w="2700"/>
          </w:tcPr>
          <w:p>
            <w:pPr>
              <w:spacing w:after="0" w:before="0" w:line="240" w:lineRule="auto"/>
              <w:jc w:val="left"/>
            </w:pPr>
            <w:r>
              <w:t>Evaluated subtotal</w:t>
            </w:r>
          </w:p>
        </w:tc>
        <w:tc>
          <w:tcPr>
            <w:tcW w:type="dxa" w:w="2700"/>
          </w:tcPr>
          <w:p>
            <w:pPr>
              <w:spacing w:after="0" w:before="0" w:line="240" w:lineRule="auto"/>
              <w:jc w:val="left"/>
            </w:pPr>
            <w:r>
              <w:t>530000</w:t>
            </w:r>
          </w:p>
        </w:tc>
        <w:tc>
          <w:tcPr>
            <w:tcW w:type="dxa" w:w="2700"/>
          </w:tcPr>
          <w:p>
            <w:pPr>
              <w:spacing w:after="0" w:before="0" w:line="240" w:lineRule="auto"/>
              <w:jc w:val="left"/>
            </w:pPr>
            <w:r>
              <w:t>475000</w:t>
            </w:r>
          </w:p>
        </w:tc>
        <w:tc>
          <w:tcPr>
            <w:tcW w:type="dxa" w:w="2700"/>
          </w:tcPr>
          <w:p>
            <w:pPr>
              <w:spacing w:after="0" w:before="0" w:line="240" w:lineRule="auto"/>
              <w:jc w:val="left"/>
            </w:pPr>
            <w:r>
              <w:t>510000</w:t>
            </w:r>
          </w:p>
        </w:tc>
      </w:tr>
    </w:tbl>
    <w:p/>
    <w:p>
      <w:r>
        <w:t>The figures are illustrative and expressed in Indian rupees. They do not include taxes or any other cost not shown.</w:t>
      </w:r>
    </w:p>
    <w:p>
      <w:r>
        <w:t>Bidder B appears cheapest, but installation and commissioning are excluded. If a comparable installation allowance of ₹45,000 is approved for evaluation, Bidder B's normalized subtotal becomes ₹520,000.</w:t>
      </w:r>
    </w:p>
    <w:p>
      <w:r>
        <w:t>This changes the comparison:</w:t>
      </w:r>
    </w:p>
    <w:p>
      <w:pPr>
        <w:pStyle w:val="ListBullet"/>
      </w:pPr>
      <w:r>
        <w:t>Bidder A: ₹530,000.</w:t>
      </w:r>
    </w:p>
    <w:p>
      <w:pPr>
        <w:pStyle w:val="ListBullet"/>
      </w:pPr>
      <w:r>
        <w:t>Bidder B: ₹520,000 after the illustrative allowance.</w:t>
      </w:r>
    </w:p>
    <w:p>
      <w:pPr>
        <w:pStyle w:val="ListBullet"/>
      </w:pPr>
      <w:r>
        <w:t>Bidder C: ₹510,000, subject to confirmation that its included freight covers the required scope.</w:t>
      </w:r>
    </w:p>
    <w:p>
      <w:r>
        <w:t>The normalized totals are still not automatically final award prices. Taxes, warranty, delivery, payment terms, exclusions, and scope compliance must also be considered.</w:t>
      </w:r>
    </w:p>
    <w:p>
      <w:r>
        <w:t>Important: Any evaluation allowance must be transparent, consistently applied, and permitted by procurement policy. It should not be used to conceal a material technical or contractual deficiency.</w:t>
      </w:r>
    </w:p>
    <w:p>
      <w:pPr>
        <w:pStyle w:val="Heading2"/>
      </w:pPr>
      <w:r>
        <w:t>13. Commercial evaluation formulas</w:t>
      </w:r>
    </w:p>
    <w:p>
      <w:r>
        <w:t>A simple normalized cost model is:</w:t>
      </w:r>
    </w:p>
    <w:p>
      <w:pPr>
        <w:spacing w:before="120" w:after="160"/>
        <w:jc w:val="center"/>
      </w:pPr>
      <m:oMathPara>
        <m:oMath>
          <m:sSub>
            <m:e>
              <m:r>
                <m:t>C</m:t>
              </m:r>
            </m:e>
            <m:sub>
              <m:r>
                <m:t>N</m:t>
              </m:r>
            </m:sub>
          </m:sSub>
          <m:r>
            <m:t>=</m:t>
          </m:r>
          <m:sSub>
            <m:e>
              <m:r>
                <m:t>C</m:t>
              </m:r>
            </m:e>
            <m:sub>
              <m:r>
                <m:t>B</m:t>
              </m:r>
            </m:sub>
          </m:sSub>
          <m:r>
            <m:t>+</m:t>
          </m:r>
          <m:sSub>
            <m:e>
              <m:r>
                <m:t>C</m:t>
              </m:r>
            </m:e>
            <m:sub>
              <m:r>
                <m:t>E</m:t>
              </m:r>
            </m:sub>
          </m:sSub>
          <m:r>
            <m:t>+</m:t>
          </m:r>
          <m:sSub>
            <m:e>
              <m:r>
                <m:t>C</m:t>
              </m:r>
            </m:e>
            <m:sub>
              <m:r>
                <m:t>D</m:t>
              </m:r>
            </m:sub>
          </m:sSub>
          <m:r>
            <m:t>+</m:t>
          </m:r>
          <m:sSub>
            <m:e>
              <m:r>
                <m:t>C</m:t>
              </m:r>
            </m:e>
            <m:sub>
              <m:r>
                <m:t>I</m:t>
              </m:r>
            </m:sub>
          </m:sSub>
          <m:r>
            <m:t>+</m:t>
          </m:r>
          <m:sSub>
            <m:e>
              <m:r>
                <m:t>C</m:t>
              </m:r>
            </m:e>
            <m:sub>
              <m:r>
                <m:t>O</m:t>
              </m:r>
            </m:sub>
          </m:sSub>
        </m:oMath>
      </m:oMathPara>
    </w:p>
    <w:p>
      <w:r>
        <w:t>Where:</w:t>
      </w:r>
    </w:p>
    <w:p>
      <w:pPr>
        <w:pStyle w:val="ListBullet"/>
      </w:pPr>
      <m:oMath>
        <m:sSub>
          <m:e>
            <m:r>
              <m:t>C</m:t>
            </m:r>
          </m:e>
          <m:sub>
            <m:r>
              <m:t>N</m:t>
            </m:r>
          </m:sub>
        </m:sSub>
      </m:oMath>
      <w:r>
        <w:t xml:space="preserve"> is the normalized evaluated cost.</w:t>
      </w:r>
    </w:p>
    <w:p>
      <w:pPr>
        <w:pStyle w:val="ListBullet"/>
      </w:pPr>
      <m:oMath>
        <m:sSub>
          <m:e>
            <m:r>
              <m:t>C</m:t>
            </m:r>
          </m:e>
          <m:sub>
            <m:r>
              <m:t>B</m:t>
            </m:r>
          </m:sub>
        </m:sSub>
      </m:oMath>
      <w:r>
        <w:t xml:space="preserve"> is the quoted base cost.</w:t>
      </w:r>
    </w:p>
    <w:p>
      <w:pPr>
        <w:pStyle w:val="ListBullet"/>
      </w:pPr>
      <m:oMath>
        <m:sSub>
          <m:e>
            <m:r>
              <m:t>C</m:t>
            </m:r>
          </m:e>
          <m:sub>
            <m:r>
              <m:t>E</m:t>
            </m:r>
          </m:sub>
        </m:sSub>
      </m:oMath>
      <w:r>
        <w:t xml:space="preserve"> is the cost of required excluded items.</w:t>
      </w:r>
    </w:p>
    <w:p>
      <w:pPr>
        <w:pStyle w:val="ListBullet"/>
      </w:pPr>
      <m:oMath>
        <m:sSub>
          <m:e>
            <m:r>
              <m:t>C</m:t>
            </m:r>
          </m:e>
          <m:sub>
            <m:r>
              <m:t>D</m:t>
            </m:r>
          </m:sub>
        </m:sSub>
      </m:oMath>
      <w:r>
        <w:t xml:space="preserve"> is the cost of relevant delivery and logistics.</w:t>
      </w:r>
    </w:p>
    <w:p>
      <w:pPr>
        <w:pStyle w:val="ListBullet"/>
      </w:pPr>
      <m:oMath>
        <m:sSub>
          <m:e>
            <m:r>
              <m:t>C</m:t>
            </m:r>
          </m:e>
          <m:sub>
            <m:r>
              <m:t>I</m:t>
            </m:r>
          </m:sub>
        </m:sSub>
      </m:oMath>
      <w:r>
        <w:t xml:space="preserve"> is the cost of required installation and commissioning.</w:t>
      </w:r>
    </w:p>
    <w:p>
      <w:pPr>
        <w:pStyle w:val="ListBullet"/>
      </w:pPr>
      <m:oMath>
        <m:sSub>
          <m:e>
            <m:r>
              <m:t>C</m:t>
            </m:r>
          </m:e>
          <m:sub>
            <m:r>
              <m:t>O</m:t>
            </m:r>
          </m:sub>
        </m:sSub>
      </m:oMath>
      <w:r>
        <w:t xml:space="preserve"> represents other approved evaluation adjustments.</w:t>
      </w:r>
    </w:p>
    <w:p>
      <w:r>
        <w:t>The actual model must specify the treatment of taxes, duties, financing, recurring costs, and other applicable items. Avoid double-counting any amount already included in the base quotation.</w:t>
      </w:r>
    </w:p>
    <w:p>
      <w:r>
        <w:t>For a lifecycle comparison, the model may also include maintenance, licenses, spare parts, downtime, and future migration costs over a defined evaluation period.</w:t>
      </w:r>
    </w:p>
    <w:p>
      <w:pPr>
        <w:pStyle w:val="Heading2"/>
      </w:pPr>
      <w:r>
        <w:t>14. Technical and commercial evaluation order</w:t>
      </w:r>
    </w:p>
    <w:p>
      <w:r>
        <w:t>There are two common approaches.</w:t>
      </w:r>
    </w:p>
    <w:p>
      <w:pPr>
        <w:pStyle w:val="Heading3"/>
      </w:pPr>
      <w:r>
        <w:t>Approach A: Technical qualification followed by commercial evaluation</w:t>
      </w:r>
    </w:p>
    <w:p>
      <w:pPr>
        <w:shd w:val="clear" w:color="auto" w:fill="F4F4F4"/>
        <w:spacing w:before="0" w:after="0" w:line="240" w:lineRule="auto"/>
        <w:ind w:left="216" w:right="216"/>
        <w:jc w:val="left"/>
      </w:pPr>
      <w:r>
        <w:rPr>
          <w:rFonts w:ascii="Consolas" w:hAnsi="Consolas"/>
          <w:color w:val="202020"/>
          <w:sz w:val="18"/>
        </w:rPr>
        <w:t>Receive Bids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Technical Compliance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Permitted Clarifications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Technically Qualified Bids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Commercial Offers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Normalize Costs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Recommend Award</w:t>
      </w:r>
    </w:p>
    <w:p/>
    <w:p>
      <w:r>
        <w:t>This approach is common when the procurement process separates technical and commercial bids or requires a minimum technical threshold before commercial evaluation.</w:t>
      </w:r>
    </w:p>
    <w:p>
      <w:pPr>
        <w:pStyle w:val="Heading3"/>
      </w:pPr>
      <w:r>
        <w:t>Approach B: Combined weighted evaluation</w:t>
      </w:r>
    </w:p>
    <w:p>
      <w:r>
        <w:t>Technical and commercial scores are combined using a predefined formula.</w:t>
      </w:r>
    </w:p>
    <w:p>
      <w:r>
        <w:t>This approach may be used where the procurement rules permit a quality-and-cost evaluation. Mandatory requirements must still be satisfied, and the method must be declared before bid evaluation.</w:t>
      </w:r>
    </w:p>
    <w:p>
      <w:r>
        <w:t>The chosen process should be established in the RFQ or governing procurement rules, not selected after seeing which method favors a preferred supplier.</w:t>
      </w:r>
    </w:p>
    <w:p>
      <w:pPr>
        <w:pStyle w:val="Heading2"/>
      </w:pPr>
      <w:r>
        <w:t>15. Combined technical-commercial scoring</w:t>
      </w:r>
    </w:p>
    <w:p>
      <w:r>
        <w:t>Suppose the approved evaluation method assigns 70% weight to technical performance and 30% to commercial performance.</w:t>
      </w:r>
    </w:p>
    <w:p>
      <w:r>
        <w:t>A common cost-based commercial score is:</w:t>
      </w:r>
    </w:p>
    <w:p>
      <w:pPr>
        <w:spacing w:before="120" w:after="160"/>
        <w:jc w:val="center"/>
      </w:pPr>
      <m:oMathPara>
        <m:oMath>
          <m:sSub>
            <m:e>
              <m:r>
                <m:t>S</m:t>
              </m:r>
            </m:e>
            <m:sub>
              <m:r>
                <m:t>C</m:t>
              </m:r>
            </m:sub>
          </m:sSub>
          <m:r>
            <m:t>=</m:t>
          </m:r>
          <m:f>
            <m:fPr>
              <m:type m:val="bar"/>
            </m:fPr>
            <m:num>
              <m:sSub>
                <m:e>
                  <m:r>
                    <m:t>C</m:t>
                  </m:r>
                </m:e>
                <m:sub>
                  <m:r>
                    <m:t>min</m:t>
                  </m:r>
                </m:sub>
              </m:sSub>
            </m:num>
            <m:den>
              <m:sSub>
                <m:e>
                  <m:r>
                    <m:t>C</m:t>
                  </m:r>
                </m:e>
                <m:sub>
                  <m:r>
                    <m:t>i</m:t>
                  </m:r>
                </m:sub>
              </m:sSub>
            </m:den>
          </m:f>
          <m:r>
            <m:t>×100</m:t>
          </m:r>
        </m:oMath>
      </m:oMathPara>
    </w:p>
    <w:p>
      <w:r>
        <w:t>Where:</w:t>
      </w:r>
    </w:p>
    <w:p>
      <w:pPr>
        <w:pStyle w:val="ListBullet"/>
      </w:pPr>
      <m:oMath>
        <m:sSub>
          <m:e>
            <m:r>
              <m:t>S</m:t>
            </m:r>
          </m:e>
          <m:sub>
            <m:r>
              <m:t>C</m:t>
            </m:r>
          </m:sub>
        </m:sSub>
      </m:oMath>
      <w:r>
        <w:t xml:space="preserve"> is the commercial score for bidder </w:t>
      </w:r>
      <m:oMath>
        <m:r>
          <m:t>i</m:t>
        </m:r>
      </m:oMath>
      <w:r>
        <w:t>.</w:t>
      </w:r>
    </w:p>
    <w:p>
      <w:pPr>
        <w:pStyle w:val="ListBullet"/>
      </w:pPr>
      <m:oMath>
        <m:sSub>
          <m:e>
            <m:r>
              <m:t>C</m:t>
            </m:r>
          </m:e>
          <m:sub>
            <m:r>
              <m:t>min</m:t>
            </m:r>
          </m:sub>
        </m:sSub>
      </m:oMath>
      <w:r>
        <w:t xml:space="preserve"> is the lowest eligible evaluated cost.</w:t>
      </w:r>
    </w:p>
    <w:p>
      <w:pPr>
        <w:pStyle w:val="ListBullet"/>
      </w:pPr>
      <m:oMath>
        <m:sSub>
          <m:e>
            <m:r>
              <m:t>C</m:t>
            </m:r>
          </m:e>
          <m:sub>
            <m:r>
              <m:t>i</m:t>
            </m:r>
          </m:sub>
        </m:sSub>
      </m:oMath>
      <w:r>
        <w:t xml:space="preserve"> is bidder </w:t>
      </w:r>
      <m:oMath>
        <m:r>
          <m:t>i</m:t>
        </m:r>
      </m:oMath>
      <w:r>
        <w:t>'s evaluated cost.</w:t>
      </w:r>
    </w:p>
    <w:p>
      <w:r>
        <w:t>The combined score is:</w:t>
      </w:r>
    </w:p>
    <w:p>
      <w:pPr>
        <w:spacing w:before="120" w:after="160"/>
        <w:jc w:val="center"/>
      </w:pPr>
      <m:oMathPara>
        <m:oMath>
          <m:sSub>
            <m:e>
              <m:r>
                <m:t>S</m:t>
              </m:r>
            </m:e>
            <m:sub>
              <m:r>
                <m:t>F</m:t>
              </m:r>
            </m:sub>
          </m:sSub>
          <m:r>
            <m:t>=0.70</m:t>
          </m:r>
          <m:sSub>
            <m:e>
              <m:r>
                <m:t>S</m:t>
              </m:r>
            </m:e>
            <m:sub>
              <m:r>
                <m:t>T</m:t>
              </m:r>
            </m:sub>
          </m:sSub>
          <m:r>
            <m:t>+0.30</m:t>
          </m:r>
          <m:sSub>
            <m:e>
              <m:r>
                <m:t>S</m:t>
              </m:r>
            </m:e>
            <m:sub>
              <m:r>
                <m:t>C</m:t>
              </m:r>
            </m:sub>
          </m:sSub>
        </m:oMath>
      </m:oMathPara>
    </w:p>
    <w:p>
      <w:r>
        <w:t xml:space="preserve">Where </w:t>
      </w:r>
      <m:oMath>
        <m:sSub>
          <m:e>
            <m:r>
              <m:t>S</m:t>
            </m:r>
          </m:e>
          <m:sub>
            <m:r>
              <m:t>T</m:t>
            </m:r>
          </m:sub>
        </m:sSub>
      </m:oMath>
      <w:r>
        <w:t xml:space="preserve"> and </w:t>
      </w:r>
      <m:oMath>
        <m:sSub>
          <m:e>
            <m:r>
              <m:t>S</m:t>
            </m:r>
          </m:e>
          <m:sub>
            <m:r>
              <m:t>C</m:t>
            </m:r>
          </m:sub>
        </m:sSub>
      </m:oMath>
      <w:r>
        <w:t xml:space="preserve"> are expressed as percentages.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Bidder</w:t>
            </w:r>
          </w:p>
        </w:tc>
        <w:tc>
          <w:tcPr>
            <w:tcW w:type="dxa" w:w="2160"/>
            <w:shd w:val="clear" w:color="auto" w:fill="EEF2F7"/>
          </w:tcPr>
          <w:p>
            <w:pPr>
              <w:spacing w:after="0" w:before="0" w:line="240" w:lineRule="auto"/>
              <w:jc w:val="left"/>
            </w:pPr>
            <w:r>
              <w:rPr>
                <w:b/>
                <w:color w:val="1A2E4A"/>
              </w:rPr>
              <w:t>Technical score</w:t>
            </w:r>
          </w:p>
        </w:tc>
        <w:tc>
          <w:tcPr>
            <w:tcW w:type="dxa" w:w="2160"/>
            <w:shd w:val="clear" w:color="auto" w:fill="EEF2F7"/>
          </w:tcPr>
          <w:p>
            <w:pPr>
              <w:spacing w:after="0" w:before="0" w:line="240" w:lineRule="auto"/>
              <w:jc w:val="left"/>
            </w:pPr>
            <w:r>
              <w:rPr>
                <w:b/>
                <w:color w:val="1A2E4A"/>
              </w:rPr>
              <w:t>Evaluated cost</w:t>
            </w:r>
          </w:p>
        </w:tc>
        <w:tc>
          <w:tcPr>
            <w:tcW w:type="dxa" w:w="2160"/>
            <w:shd w:val="clear" w:color="auto" w:fill="EEF2F7"/>
          </w:tcPr>
          <w:p>
            <w:pPr>
              <w:spacing w:after="0" w:before="0" w:line="240" w:lineRule="auto"/>
              <w:jc w:val="left"/>
            </w:pPr>
            <w:r>
              <w:rPr>
                <w:b/>
                <w:color w:val="1A2E4A"/>
              </w:rPr>
              <w:t>Commercial score</w:t>
            </w:r>
          </w:p>
        </w:tc>
        <w:tc>
          <w:tcPr>
            <w:tcW w:type="dxa" w:w="2160"/>
            <w:shd w:val="clear" w:color="auto" w:fill="EEF2F7"/>
          </w:tcPr>
          <w:p>
            <w:pPr>
              <w:spacing w:after="0" w:before="0" w:line="240" w:lineRule="auto"/>
              <w:jc w:val="left"/>
            </w:pPr>
            <w:r>
              <w:rPr>
                <w:b/>
                <w:color w:val="1A2E4A"/>
              </w:rPr>
              <w:t>Final score</w:t>
            </w:r>
          </w:p>
        </w:tc>
      </w:tr>
      <w:tr>
        <w:tc>
          <w:tcPr>
            <w:tcW w:type="dxa" w:w="2160"/>
          </w:tcPr>
          <w:p>
            <w:pPr>
              <w:spacing w:after="0" w:before="0" w:line="240" w:lineRule="auto"/>
              <w:jc w:val="left"/>
            </w:pPr>
            <w:r>
              <w:t>A</w:t>
            </w:r>
          </w:p>
        </w:tc>
        <w:tc>
          <w:tcPr>
            <w:tcW w:type="dxa" w:w="2160"/>
          </w:tcPr>
          <w:p>
            <w:pPr>
              <w:spacing w:after="0" w:before="0" w:line="240" w:lineRule="auto"/>
              <w:jc w:val="left"/>
            </w:pPr>
            <w:r>
              <w:t>90</w:t>
            </w:r>
          </w:p>
        </w:tc>
        <w:tc>
          <w:tcPr>
            <w:tcW w:type="dxa" w:w="2160"/>
          </w:tcPr>
          <w:p>
            <w:pPr>
              <w:spacing w:after="0" w:before="0" w:line="240" w:lineRule="auto"/>
              <w:jc w:val="left"/>
            </w:pPr>
            <w:r>
              <w:t>530000</w:t>
            </w:r>
          </w:p>
        </w:tc>
        <w:tc>
          <w:tcPr>
            <w:tcW w:type="dxa" w:w="2160"/>
          </w:tcPr>
          <w:p>
            <w:pPr>
              <w:spacing w:after="0" w:before="0" w:line="240" w:lineRule="auto"/>
              <w:jc w:val="left"/>
            </w:pPr>
            <w:r>
              <w:t>96.23</w:t>
            </w:r>
          </w:p>
        </w:tc>
        <w:tc>
          <w:tcPr>
            <w:tcW w:type="dxa" w:w="2160"/>
          </w:tcPr>
          <w:p>
            <w:pPr>
              <w:spacing w:after="0" w:before="0" w:line="240" w:lineRule="auto"/>
              <w:jc w:val="left"/>
            </w:pPr>
            <w:r>
              <w:t>91.87</w:t>
            </w:r>
          </w:p>
        </w:tc>
      </w:tr>
      <w:tr>
        <w:tc>
          <w:tcPr>
            <w:tcW w:type="dxa" w:w="2160"/>
          </w:tcPr>
          <w:p>
            <w:pPr>
              <w:spacing w:after="0" w:before="0" w:line="240" w:lineRule="auto"/>
              <w:jc w:val="left"/>
            </w:pPr>
            <w:r>
              <w:t>B</w:t>
            </w:r>
          </w:p>
        </w:tc>
        <w:tc>
          <w:tcPr>
            <w:tcW w:type="dxa" w:w="2160"/>
          </w:tcPr>
          <w:p>
            <w:pPr>
              <w:spacing w:after="0" w:before="0" w:line="240" w:lineRule="auto"/>
              <w:jc w:val="left"/>
            </w:pPr>
            <w:r>
              <w:t>82</w:t>
            </w:r>
          </w:p>
        </w:tc>
        <w:tc>
          <w:tcPr>
            <w:tcW w:type="dxa" w:w="2160"/>
          </w:tcPr>
          <w:p>
            <w:pPr>
              <w:spacing w:after="0" w:before="0" w:line="240" w:lineRule="auto"/>
              <w:jc w:val="left"/>
            </w:pPr>
            <w:r>
              <w:t>520000</w:t>
            </w:r>
          </w:p>
        </w:tc>
        <w:tc>
          <w:tcPr>
            <w:tcW w:type="dxa" w:w="2160"/>
          </w:tcPr>
          <w:p>
            <w:pPr>
              <w:spacing w:after="0" w:before="0" w:line="240" w:lineRule="auto"/>
              <w:jc w:val="left"/>
            </w:pPr>
            <w:r>
              <w:t>98.08</w:t>
            </w:r>
          </w:p>
        </w:tc>
        <w:tc>
          <w:tcPr>
            <w:tcW w:type="dxa" w:w="2160"/>
          </w:tcPr>
          <w:p>
            <w:pPr>
              <w:spacing w:after="0" w:before="0" w:line="240" w:lineRule="auto"/>
              <w:jc w:val="left"/>
            </w:pPr>
            <w:r>
              <w:t>86.82</w:t>
            </w:r>
          </w:p>
        </w:tc>
      </w:tr>
      <w:tr>
        <w:tc>
          <w:tcPr>
            <w:tcW w:type="dxa" w:w="2160"/>
          </w:tcPr>
          <w:p>
            <w:pPr>
              <w:spacing w:after="0" w:before="0" w:line="240" w:lineRule="auto"/>
              <w:jc w:val="left"/>
            </w:pPr>
            <w:r>
              <w:t>C</w:t>
            </w:r>
          </w:p>
        </w:tc>
        <w:tc>
          <w:tcPr>
            <w:tcW w:type="dxa" w:w="2160"/>
          </w:tcPr>
          <w:p>
            <w:pPr>
              <w:spacing w:after="0" w:before="0" w:line="240" w:lineRule="auto"/>
              <w:jc w:val="left"/>
            </w:pPr>
            <w:r>
              <w:t>86</w:t>
            </w:r>
          </w:p>
        </w:tc>
        <w:tc>
          <w:tcPr>
            <w:tcW w:type="dxa" w:w="2160"/>
          </w:tcPr>
          <w:p>
            <w:pPr>
              <w:spacing w:after="0" w:before="0" w:line="240" w:lineRule="auto"/>
              <w:jc w:val="left"/>
            </w:pPr>
            <w:r>
              <w:t>510000</w:t>
            </w:r>
          </w:p>
        </w:tc>
        <w:tc>
          <w:tcPr>
            <w:tcW w:type="dxa" w:w="2160"/>
          </w:tcPr>
          <w:p>
            <w:pPr>
              <w:spacing w:after="0" w:before="0" w:line="240" w:lineRule="auto"/>
              <w:jc w:val="left"/>
            </w:pPr>
            <w:r>
              <w:t>100.00</w:t>
            </w:r>
          </w:p>
        </w:tc>
        <w:tc>
          <w:tcPr>
            <w:tcW w:type="dxa" w:w="2160"/>
          </w:tcPr>
          <w:p>
            <w:pPr>
              <w:spacing w:after="0" w:before="0" w:line="240" w:lineRule="auto"/>
              <w:jc w:val="left"/>
            </w:pPr>
            <w:r>
              <w:t>90.20</w:t>
            </w:r>
          </w:p>
        </w:tc>
      </w:tr>
    </w:tbl>
    <w:p/>
    <w:p>
      <w:r>
        <w:t>Using the illustrative 70:30 weighting, Bidder A has the highest combined score despite not having the lowest evaluated cost.</w:t>
      </w:r>
    </w:p>
    <w:p>
      <w:r>
        <w:t>The result demonstrates why the evaluation method matters. The actual weighting and formulas must follow the approved procurement method and be disclosed as required.</w:t>
      </w:r>
    </w:p>
    <w:p>
      <w:pPr>
        <w:pStyle w:val="Heading2"/>
      </w:pPr>
      <w:r>
        <w:t>16. Delivery and schedule evaluation</w:t>
      </w:r>
    </w:p>
    <w:p>
      <w:r>
        <w:t>Delivery should be evaluated against the actual project requirement, not just the supplier's headline lead time.</w:t>
      </w:r>
    </w:p>
    <w:p>
      <w:r>
        <w:t>Check:</w:t>
      </w:r>
    </w:p>
    <w:p>
      <w:pPr>
        <w:pStyle w:val="ListBullet"/>
      </w:pPr>
      <w:r>
        <w:t>Manufacturing or procurement lead time.</w:t>
      </w:r>
    </w:p>
    <w:p>
      <w:pPr>
        <w:pStyle w:val="ListBullet"/>
      </w:pPr>
      <w:r>
        <w:t>Engineering and design duration.</w:t>
      </w:r>
    </w:p>
    <w:p>
      <w:pPr>
        <w:pStyle w:val="ListBullet"/>
      </w:pPr>
      <w:r>
        <w:t>Software development duration.</w:t>
      </w:r>
    </w:p>
    <w:p>
      <w:pPr>
        <w:pStyle w:val="ListBullet"/>
      </w:pPr>
      <w:r>
        <w:t>Factory testing schedule.</w:t>
      </w:r>
    </w:p>
    <w:p>
      <w:pPr>
        <w:pStyle w:val="ListBullet"/>
      </w:pPr>
      <w:r>
        <w:t>Shipping and delivery.</w:t>
      </w:r>
    </w:p>
    <w:p>
      <w:pPr>
        <w:pStyle w:val="ListBullet"/>
      </w:pPr>
      <w:r>
        <w:t>Site installation.</w:t>
      </w:r>
    </w:p>
    <w:p>
      <w:pPr>
        <w:pStyle w:val="ListBullet"/>
      </w:pPr>
      <w:r>
        <w:t>Commissioning and validation.</w:t>
      </w:r>
    </w:p>
    <w:p>
      <w:pPr>
        <w:pStyle w:val="ListBullet"/>
      </w:pPr>
      <w:r>
        <w:t>Availability of critical components.</w:t>
      </w:r>
    </w:p>
    <w:p>
      <w:pPr>
        <w:pStyle w:val="ListBullet"/>
      </w:pPr>
      <w:r>
        <w:t>Shutdown-window compatibility.</w:t>
      </w:r>
    </w:p>
    <w:p>
      <w:pPr>
        <w:pStyle w:val="ListBullet"/>
      </w:pPr>
      <w:r>
        <w:t>Resource availability.</w:t>
      </w:r>
    </w:p>
    <w:p>
      <w:pPr>
        <w:pStyle w:val="ListBullet"/>
      </w:pPr>
      <w:r>
        <w:t>Dependencies on buyer-provided information or access.</w:t>
      </w:r>
    </w:p>
    <w:p>
      <w:r>
        <w:t>A vendor quoting a shorter delivery time may rely on assumptions that are not feasible for the project.</w:t>
      </w:r>
    </w:p>
    <w:p>
      <w:r>
        <w:t>For example, a PLC retrofit cannot be completed merely because the hardware has arrived. Engineering, panel modification, program migration, testing, site integration, and production validation may dominate the overall schedule.</w:t>
      </w:r>
    </w:p>
    <w:p>
      <w:pPr>
        <w:pStyle w:val="Heading2"/>
      </w:pPr>
      <w:r>
        <w:t>17. Warranty and service evaluation</w:t>
      </w:r>
    </w:p>
    <w:p>
      <w:r>
        <w:t>Warranty and support conditions can materially affect the suitability of an offer.</w:t>
      </w:r>
    </w:p>
    <w:p>
      <w:r>
        <w:t>Evaluate:</w:t>
      </w:r>
    </w:p>
    <w:p>
      <w:pPr>
        <w:pStyle w:val="ListBullet"/>
      </w:pPr>
      <w:r>
        <w:t>Warranty duration and commencement.</w:t>
      </w:r>
    </w:p>
    <w:p>
      <w:pPr>
        <w:pStyle w:val="ListBullet"/>
      </w:pPr>
      <w:r>
        <w:t>Parts, labor, travel, and freight coverage.</w:t>
      </w:r>
    </w:p>
    <w:p>
      <w:pPr>
        <w:pStyle w:val="ListBullet"/>
      </w:pPr>
      <w:r>
        <w:t>Response commitments.</w:t>
      </w:r>
    </w:p>
    <w:p>
      <w:pPr>
        <w:pStyle w:val="ListBullet"/>
      </w:pPr>
      <w:r>
        <w:t>Availability of local service personnel.</w:t>
      </w:r>
    </w:p>
    <w:p>
      <w:pPr>
        <w:pStyle w:val="ListBullet"/>
      </w:pPr>
      <w:r>
        <w:t>Escalation arrangements.</w:t>
      </w:r>
    </w:p>
    <w:p>
      <w:pPr>
        <w:pStyle w:val="ListBullet"/>
      </w:pPr>
      <w:r>
        <w:t>Spare-parts stock or access.</w:t>
      </w:r>
    </w:p>
    <w:p>
      <w:pPr>
        <w:pStyle w:val="ListBullet"/>
      </w:pPr>
      <w:r>
        <w:t>Remote-support conditions.</w:t>
      </w:r>
    </w:p>
    <w:p>
      <w:pPr>
        <w:pStyle w:val="ListBullet"/>
      </w:pPr>
      <w:r>
        <w:t>Repair turnaround.</w:t>
      </w:r>
    </w:p>
    <w:p>
      <w:pPr>
        <w:pStyle w:val="ListBullet"/>
      </w:pPr>
      <w:r>
        <w:t>Technical documentation.</w:t>
      </w:r>
    </w:p>
    <w:p>
      <w:pPr>
        <w:pStyle w:val="ListBullet"/>
      </w:pPr>
      <w:r>
        <w:t>Availability of future upgrades.</w:t>
      </w:r>
    </w:p>
    <w:p>
      <w:pPr>
        <w:pStyle w:val="ListBullet"/>
      </w:pPr>
      <w:r>
        <w:t>End-of-life support arrangements.</w:t>
      </w:r>
    </w:p>
    <w:p>
      <w:r>
        <w:t>For critical equipment, distinguish between response time, attendance time, and restoration time. These measure different outcomes.</w:t>
      </w:r>
    </w:p>
    <w:p>
      <w:pPr>
        <w:pStyle w:val="Heading2"/>
      </w:pPr>
      <w:r>
        <w:t>18. Handling alternatives and deviations</w:t>
      </w:r>
    </w:p>
    <w:p>
      <w:r>
        <w:t>Suppliers may propose an alternative controller, different network architecture, substitute component, or modified scope.</w:t>
      </w:r>
    </w:p>
    <w:p>
      <w:r>
        <w:t>Evaluate alternatives against:</w:t>
      </w:r>
    </w:p>
    <w:p>
      <w:pPr>
        <w:pStyle w:val="ListBullet"/>
      </w:pPr>
      <w:r>
        <w:t>Functional equivalence.</w:t>
      </w:r>
    </w:p>
    <w:p>
      <w:pPr>
        <w:pStyle w:val="ListBullet"/>
      </w:pPr>
      <w:r>
        <w:t>Performance.</w:t>
      </w:r>
    </w:p>
    <w:p>
      <w:pPr>
        <w:pStyle w:val="ListBullet"/>
      </w:pPr>
      <w:r>
        <w:t>Compatibility.</w:t>
      </w:r>
    </w:p>
    <w:p>
      <w:pPr>
        <w:pStyle w:val="ListBullet"/>
      </w:pPr>
      <w:r>
        <w:t>Safety.</w:t>
      </w:r>
    </w:p>
    <w:p>
      <w:pPr>
        <w:pStyle w:val="ListBullet"/>
      </w:pPr>
      <w:r>
        <w:t>Reliability.</w:t>
      </w:r>
    </w:p>
    <w:p>
      <w:pPr>
        <w:pStyle w:val="ListBullet"/>
      </w:pPr>
      <w:r>
        <w:t>Maintainability.</w:t>
      </w:r>
    </w:p>
    <w:p>
      <w:pPr>
        <w:pStyle w:val="ListBullet"/>
      </w:pPr>
      <w:r>
        <w:t>Lifecycle support.</w:t>
      </w:r>
    </w:p>
    <w:p>
      <w:pPr>
        <w:pStyle w:val="ListBullet"/>
      </w:pPr>
      <w:r>
        <w:t>Migration effort.</w:t>
      </w:r>
    </w:p>
    <w:p>
      <w:pPr>
        <w:pStyle w:val="ListBullet"/>
      </w:pPr>
      <w:r>
        <w:t>Cost and schedule impact.</w:t>
      </w:r>
    </w:p>
    <w:p>
      <w:pPr>
        <w:pStyle w:val="ListBullet"/>
      </w:pPr>
      <w:r>
        <w:t>Procurement-policy restrictions.</w:t>
      </w:r>
    </w:p>
    <w:p>
      <w:r>
        <w:t>Record the original requirement, proposed deviation, technical impact, commercial impact, risk, and approval decision.</w:t>
      </w:r>
    </w:p>
    <w:p>
      <w:r>
        <w:t>Do not silently replace the original specification with a supplier's preferred design. If an alternative is accepted, ensure the resulting requirements and contractual deliverables are updated through the approved change process.</w:t>
      </w:r>
    </w:p>
    <w:p>
      <w:pPr>
        <w:pStyle w:val="Heading2"/>
      </w:pPr>
      <w:r>
        <w:t>19. Bid evaluation risks and controls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Different scope across quotations</w:t>
            </w:r>
          </w:p>
        </w:tc>
        <w:tc>
          <w:tcPr>
            <w:tcW w:type="dxa" w:w="3600"/>
          </w:tcPr>
          <w:p>
            <w:pPr>
              <w:spacing w:after="0" w:before="0" w:line="240" w:lineRule="auto"/>
              <w:jc w:val="left"/>
            </w:pPr>
            <w:r>
              <w:t>Invalid price comparison</w:t>
            </w:r>
          </w:p>
        </w:tc>
        <w:tc>
          <w:tcPr>
            <w:tcW w:type="dxa" w:w="3600"/>
          </w:tcPr>
          <w:p>
            <w:pPr>
              <w:spacing w:after="0" w:before="0" w:line="240" w:lineRule="auto"/>
              <w:jc w:val="left"/>
            </w:pPr>
            <w:r>
              <w:t>Normalize scope and document exclusions</w:t>
            </w:r>
          </w:p>
        </w:tc>
      </w:tr>
      <w:tr>
        <w:tc>
          <w:tcPr>
            <w:tcW w:type="dxa" w:w="3600"/>
          </w:tcPr>
          <w:p>
            <w:pPr>
              <w:spacing w:after="0" w:before="0" w:line="240" w:lineRule="auto"/>
              <w:jc w:val="left"/>
            </w:pPr>
            <w:r>
              <w:t>Undocumented technical deviations</w:t>
            </w:r>
          </w:p>
        </w:tc>
        <w:tc>
          <w:tcPr>
            <w:tcW w:type="dxa" w:w="3600"/>
          </w:tcPr>
          <w:p>
            <w:pPr>
              <w:spacing w:after="0" w:before="0" w:line="240" w:lineRule="auto"/>
              <w:jc w:val="left"/>
            </w:pPr>
            <w:r>
              <w:t>Hidden integration or safety risk</w:t>
            </w:r>
          </w:p>
        </w:tc>
        <w:tc>
          <w:tcPr>
            <w:tcW w:type="dxa" w:w="3600"/>
          </w:tcPr>
          <w:p>
            <w:pPr>
              <w:spacing w:after="0" w:before="0" w:line="240" w:lineRule="auto"/>
              <w:jc w:val="left"/>
            </w:pPr>
            <w:r>
              <w:t>Maintain a compliance and deviation register</w:t>
            </w:r>
          </w:p>
        </w:tc>
      </w:tr>
      <w:tr>
        <w:tc>
          <w:tcPr>
            <w:tcW w:type="dxa" w:w="3600"/>
          </w:tcPr>
          <w:p>
            <w:pPr>
              <w:spacing w:after="0" w:before="0" w:line="240" w:lineRule="auto"/>
              <w:jc w:val="left"/>
            </w:pPr>
            <w:r>
              <w:t>Unapproved scoring changes</w:t>
            </w:r>
          </w:p>
        </w:tc>
        <w:tc>
          <w:tcPr>
            <w:tcW w:type="dxa" w:w="3600"/>
          </w:tcPr>
          <w:p>
            <w:pPr>
              <w:spacing w:after="0" w:before="0" w:line="240" w:lineRule="auto"/>
              <w:jc w:val="left"/>
            </w:pPr>
            <w:r>
              <w:t>Biased or non-defensible result</w:t>
            </w:r>
          </w:p>
        </w:tc>
        <w:tc>
          <w:tcPr>
            <w:tcW w:type="dxa" w:w="3600"/>
          </w:tcPr>
          <w:p>
            <w:pPr>
              <w:spacing w:after="0" w:before="0" w:line="240" w:lineRule="auto"/>
              <w:jc w:val="left"/>
            </w:pPr>
            <w:r>
              <w:t>Freeze criteria and weights before evaluation</w:t>
            </w:r>
          </w:p>
        </w:tc>
      </w:tr>
      <w:tr>
        <w:tc>
          <w:tcPr>
            <w:tcW w:type="dxa" w:w="3600"/>
          </w:tcPr>
          <w:p>
            <w:pPr>
              <w:spacing w:after="0" w:before="0" w:line="240" w:lineRule="auto"/>
              <w:jc w:val="left"/>
            </w:pPr>
            <w:r>
              <w:t>Missing cost components</w:t>
            </w:r>
          </w:p>
        </w:tc>
        <w:tc>
          <w:tcPr>
            <w:tcW w:type="dxa" w:w="3600"/>
          </w:tcPr>
          <w:p>
            <w:pPr>
              <w:spacing w:after="0" w:before="0" w:line="240" w:lineRule="auto"/>
              <w:jc w:val="left"/>
            </w:pPr>
            <w:r>
              <w:t>Incorrect cost ranking</w:t>
            </w:r>
          </w:p>
        </w:tc>
        <w:tc>
          <w:tcPr>
            <w:tcW w:type="dxa" w:w="3600"/>
          </w:tcPr>
          <w:p>
            <w:pPr>
              <w:spacing w:after="0" w:before="0" w:line="240" w:lineRule="auto"/>
              <w:jc w:val="left"/>
            </w:pPr>
            <w:r>
              <w:t>Use an approved commercial normalization model</w:t>
            </w:r>
          </w:p>
        </w:tc>
      </w:tr>
      <w:tr>
        <w:tc>
          <w:tcPr>
            <w:tcW w:type="dxa" w:w="3600"/>
          </w:tcPr>
          <w:p>
            <w:pPr>
              <w:spacing w:after="0" w:before="0" w:line="240" w:lineRule="auto"/>
              <w:jc w:val="left"/>
            </w:pPr>
            <w:r>
              <w:t>Unverified supplier claims</w:t>
            </w:r>
          </w:p>
        </w:tc>
        <w:tc>
          <w:tcPr>
            <w:tcW w:type="dxa" w:w="3600"/>
          </w:tcPr>
          <w:p>
            <w:pPr>
              <w:spacing w:after="0" w:before="0" w:line="240" w:lineRule="auto"/>
              <w:jc w:val="left"/>
            </w:pPr>
            <w:r>
              <w:t>Technical or delivery failure</w:t>
            </w:r>
          </w:p>
        </w:tc>
        <w:tc>
          <w:tcPr>
            <w:tcW w:type="dxa" w:w="3600"/>
          </w:tcPr>
          <w:p>
            <w:pPr>
              <w:spacing w:after="0" w:before="0" w:line="240" w:lineRule="auto"/>
              <w:jc w:val="left"/>
            </w:pPr>
            <w:r>
              <w:t>Request appropriate evidence</w:t>
            </w:r>
          </w:p>
        </w:tc>
      </w:tr>
      <w:tr>
        <w:tc>
          <w:tcPr>
            <w:tcW w:type="dxa" w:w="3600"/>
          </w:tcPr>
          <w:p>
            <w:pPr>
              <w:spacing w:after="0" w:before="0" w:line="240" w:lineRule="auto"/>
              <w:jc w:val="left"/>
            </w:pPr>
            <w:r>
              <w:t>Inconsistent clarifications</w:t>
            </w:r>
          </w:p>
        </w:tc>
        <w:tc>
          <w:tcPr>
            <w:tcW w:type="dxa" w:w="3600"/>
          </w:tcPr>
          <w:p>
            <w:pPr>
              <w:spacing w:after="0" w:before="0" w:line="240" w:lineRule="auto"/>
              <w:jc w:val="left"/>
            </w:pPr>
            <w:r>
              <w:t>Unequal treatment of bidders</w:t>
            </w:r>
          </w:p>
        </w:tc>
        <w:tc>
          <w:tcPr>
            <w:tcW w:type="dxa" w:w="3600"/>
          </w:tcPr>
          <w:p>
            <w:pPr>
              <w:spacing w:after="0" w:before="0" w:line="240" w:lineRule="auto"/>
              <w:jc w:val="left"/>
            </w:pPr>
            <w:r>
              <w:t>Use controlled communication and records</w:t>
            </w:r>
          </w:p>
        </w:tc>
      </w:tr>
      <w:tr>
        <w:tc>
          <w:tcPr>
            <w:tcW w:type="dxa" w:w="3600"/>
          </w:tcPr>
          <w:p>
            <w:pPr>
              <w:spacing w:after="0" w:before="0" w:line="240" w:lineRule="auto"/>
              <w:jc w:val="left"/>
            </w:pPr>
            <w:r>
              <w:t>Ignored lifecycle costs</w:t>
            </w:r>
          </w:p>
        </w:tc>
        <w:tc>
          <w:tcPr>
            <w:tcW w:type="dxa" w:w="3600"/>
          </w:tcPr>
          <w:p>
            <w:pPr>
              <w:spacing w:after="0" w:before="0" w:line="240" w:lineRule="auto"/>
              <w:jc w:val="left"/>
            </w:pPr>
            <w:r>
              <w:t>Higher long-term expense</w:t>
            </w:r>
          </w:p>
        </w:tc>
        <w:tc>
          <w:tcPr>
            <w:tcW w:type="dxa" w:w="3600"/>
          </w:tcPr>
          <w:p>
            <w:pPr>
              <w:spacing w:after="0" w:before="0" w:line="240" w:lineRule="auto"/>
              <w:jc w:val="left"/>
            </w:pPr>
            <w:r>
              <w:t>Apply a defined TCO model where relevant</w:t>
            </w:r>
          </w:p>
        </w:tc>
      </w:tr>
      <w:tr>
        <w:tc>
          <w:tcPr>
            <w:tcW w:type="dxa" w:w="3600"/>
          </w:tcPr>
          <w:p>
            <w:pPr>
              <w:spacing w:after="0" w:before="0" w:line="240" w:lineRule="auto"/>
              <w:jc w:val="left"/>
            </w:pPr>
            <w:r>
              <w:t>Conflict of interest</w:t>
            </w:r>
          </w:p>
        </w:tc>
        <w:tc>
          <w:tcPr>
            <w:tcW w:type="dxa" w:w="3600"/>
          </w:tcPr>
          <w:p>
            <w:pPr>
              <w:spacing w:after="0" w:before="0" w:line="240" w:lineRule="auto"/>
              <w:jc w:val="left"/>
            </w:pPr>
            <w:r>
              <w:t>Compromised decision</w:t>
            </w:r>
          </w:p>
        </w:tc>
        <w:tc>
          <w:tcPr>
            <w:tcW w:type="dxa" w:w="3600"/>
          </w:tcPr>
          <w:p>
            <w:pPr>
              <w:spacing w:after="0" w:before="0" w:line="240" w:lineRule="auto"/>
              <w:jc w:val="left"/>
            </w:pPr>
            <w:r>
              <w:t>Declare and manage conflicts under policy</w:t>
            </w:r>
          </w:p>
        </w:tc>
      </w:tr>
      <w:tr>
        <w:tc>
          <w:tcPr>
            <w:tcW w:type="dxa" w:w="3600"/>
          </w:tcPr>
          <w:p>
            <w:pPr>
              <w:spacing w:after="0" w:before="0" w:line="240" w:lineRule="auto"/>
              <w:jc w:val="left"/>
            </w:pPr>
            <w:r>
              <w:t>Confidentiality breach</w:t>
            </w:r>
          </w:p>
        </w:tc>
        <w:tc>
          <w:tcPr>
            <w:tcW w:type="dxa" w:w="3600"/>
          </w:tcPr>
          <w:p>
            <w:pPr>
              <w:spacing w:after="0" w:before="0" w:line="240" w:lineRule="auto"/>
              <w:jc w:val="left"/>
            </w:pPr>
            <w:r>
              <w:t>Unfair competition and legal risk</w:t>
            </w:r>
          </w:p>
        </w:tc>
        <w:tc>
          <w:tcPr>
            <w:tcW w:type="dxa" w:w="3600"/>
          </w:tcPr>
          <w:p>
            <w:pPr>
              <w:spacing w:after="0" w:before="0" w:line="240" w:lineRule="auto"/>
              <w:jc w:val="left"/>
            </w:pPr>
            <w:r>
              <w:t>Restrict bid access and control information</w:t>
            </w:r>
          </w:p>
        </w:tc>
      </w:tr>
      <w:tr>
        <w:tc>
          <w:tcPr>
            <w:tcW w:type="dxa" w:w="3600"/>
          </w:tcPr>
          <w:p>
            <w:pPr>
              <w:spacing w:after="0" w:before="0" w:line="240" w:lineRule="auto"/>
              <w:jc w:val="left"/>
            </w:pPr>
            <w:r>
              <w:t>Unclear award approval</w:t>
            </w:r>
          </w:p>
        </w:tc>
        <w:tc>
          <w:tcPr>
            <w:tcW w:type="dxa" w:w="3600"/>
          </w:tcPr>
          <w:p>
            <w:pPr>
              <w:spacing w:after="0" w:before="0" w:line="240" w:lineRule="auto"/>
              <w:jc w:val="left"/>
            </w:pPr>
            <w:r>
              <w:t>Unauthorized commitment</w:t>
            </w:r>
          </w:p>
        </w:tc>
        <w:tc>
          <w:tcPr>
            <w:tcW w:type="dxa" w:w="3600"/>
          </w:tcPr>
          <w:p>
            <w:pPr>
              <w:spacing w:after="0" w:before="0" w:line="240" w:lineRule="auto"/>
              <w:jc w:val="left"/>
            </w:pPr>
            <w:r>
              <w:t>Follow delegated approval authority</w:t>
            </w:r>
          </w:p>
        </w:tc>
      </w:tr>
    </w:tbl>
    <w:p/>
    <w:p>
      <w:pPr>
        <w:pStyle w:val="Heading2"/>
      </w:pPr>
      <w:r>
        <w:t>20. Evaluation documentation</w:t>
      </w:r>
    </w:p>
    <w:p>
      <w:r>
        <w:t>A defensible bid evaluation file may contain:</w:t>
      </w:r>
    </w:p>
    <w:p>
      <w:pPr>
        <w:pStyle w:val="ListBullet"/>
      </w:pPr>
      <w:r>
        <w:t>Approved RFQ and specification revisions.</w:t>
      </w:r>
    </w:p>
    <w:p>
      <w:pPr>
        <w:pStyle w:val="ListBullet"/>
      </w:pPr>
      <w:r>
        <w:t>Bid receipt register.</w:t>
      </w:r>
    </w:p>
    <w:p>
      <w:pPr>
        <w:pStyle w:val="ListBullet"/>
      </w:pPr>
      <w:r>
        <w:t>Original supplier submissions.</w:t>
      </w:r>
    </w:p>
    <w:p>
      <w:pPr>
        <w:pStyle w:val="ListBullet"/>
      </w:pPr>
      <w:r>
        <w:t>Administrative compliance checklist.</w:t>
      </w:r>
    </w:p>
    <w:p>
      <w:pPr>
        <w:pStyle w:val="ListBullet"/>
      </w:pPr>
      <w:r>
        <w:t>Technical compliance matrix.</w:t>
      </w:r>
    </w:p>
    <w:p>
      <w:pPr>
        <w:pStyle w:val="ListBullet"/>
      </w:pPr>
      <w:r>
        <w:t>Technical scoring sheets, where applicable.</w:t>
      </w:r>
    </w:p>
    <w:p>
      <w:pPr>
        <w:pStyle w:val="ListBullet"/>
      </w:pPr>
      <w:r>
        <w:t>Clarification requests and responses.</w:t>
      </w:r>
    </w:p>
    <w:p>
      <w:pPr>
        <w:pStyle w:val="ListBullet"/>
      </w:pPr>
      <w:r>
        <w:t>Technical deviation register.</w:t>
      </w:r>
    </w:p>
    <w:p>
      <w:pPr>
        <w:pStyle w:val="ListBullet"/>
      </w:pPr>
      <w:r>
        <w:t>Commercial evaluation sheets.</w:t>
      </w:r>
    </w:p>
    <w:p>
      <w:pPr>
        <w:pStyle w:val="ListBullet"/>
      </w:pPr>
      <w:r>
        <w:t>Commercial normalization assumptions.</w:t>
      </w:r>
    </w:p>
    <w:p>
      <w:pPr>
        <w:pStyle w:val="ListBullet"/>
      </w:pPr>
      <w:r>
        <w:t>Delivery and warranty comparison.</w:t>
      </w:r>
    </w:p>
    <w:p>
      <w:pPr>
        <w:pStyle w:val="ListBullet"/>
      </w:pPr>
      <w:r>
        <w:t>Risk assessment.</w:t>
      </w:r>
    </w:p>
    <w:p>
      <w:pPr>
        <w:pStyle w:val="ListBullet"/>
      </w:pPr>
      <w:r>
        <w:t>Conflict-of-interest declarations, where required.</w:t>
      </w:r>
    </w:p>
    <w:p>
      <w:pPr>
        <w:pStyle w:val="ListBullet"/>
      </w:pPr>
      <w:r>
        <w:t>Evaluation meeting records.</w:t>
      </w:r>
    </w:p>
    <w:p>
      <w:pPr>
        <w:pStyle w:val="ListBullet"/>
      </w:pPr>
      <w:r>
        <w:t>Award recommendation.</w:t>
      </w:r>
    </w:p>
    <w:p>
      <w:pPr>
        <w:pStyle w:val="ListBullet"/>
      </w:pPr>
      <w:r>
        <w:t>Approval records.</w:t>
      </w:r>
    </w:p>
    <w:p>
      <w:pPr>
        <w:pStyle w:val="ListBullet"/>
      </w:pPr>
      <w:r>
        <w:t>Final negotiated offer and contract documents.</w:t>
      </w:r>
    </w:p>
    <w:p>
      <w:r>
        <w:t>Records should be retained according to the organization's document-retention and procurement policies.</w:t>
      </w:r>
    </w:p>
    <w:p>
      <w:pPr>
        <w:pStyle w:val="Heading2"/>
      </w:pPr>
      <w:r>
        <w:t>21. Practical example: PLC retrofit bid evaluation</w:t>
      </w:r>
    </w:p>
    <w:p>
      <w:r>
        <w:t>Assume a production machine needs an obsolete PLC replaced while retaining suitable field devices and minimizing downtime.</w:t>
      </w:r>
    </w:p>
    <w:p>
      <w:r>
        <w:t>Three suppliers submit bids.</w:t>
      </w:r>
    </w:p>
    <w:p>
      <w:pPr>
        <w:pStyle w:val="Heading3"/>
      </w:pPr>
      <w:r>
        <w:t>Technical evaluation</w:t>
      </w:r>
    </w:p>
    <w:p>
      <w:r>
        <w:t>The evaluation checks:</w:t>
      </w:r>
    </w:p>
    <w:p>
      <w:pPr>
        <w:pStyle w:val="ListBullet"/>
      </w:pPr>
      <w:r>
        <w:t>PLC and I/O compatibility.</w:t>
      </w:r>
    </w:p>
    <w:p>
      <w:pPr>
        <w:pStyle w:val="ListBullet"/>
      </w:pPr>
      <w:r>
        <w:t>Existing HMI integration.</w:t>
      </w:r>
    </w:p>
    <w:p>
      <w:pPr>
        <w:pStyle w:val="ListBullet"/>
      </w:pPr>
      <w:r>
        <w:t>Drive and robot interfaces.</w:t>
      </w:r>
    </w:p>
    <w:p>
      <w:pPr>
        <w:pStyle w:val="ListBullet"/>
      </w:pPr>
      <w:r>
        <w:t>Program migration strategy.</w:t>
      </w:r>
    </w:p>
    <w:p>
      <w:pPr>
        <w:pStyle w:val="ListBullet"/>
      </w:pPr>
      <w:r>
        <w:t>Safety-related interfaces.</w:t>
      </w:r>
    </w:p>
    <w:p>
      <w:pPr>
        <w:pStyle w:val="ListBullet"/>
      </w:pPr>
      <w:r>
        <w:t>Communication-loss behavior.</w:t>
      </w:r>
    </w:p>
    <w:p>
      <w:pPr>
        <w:pStyle w:val="ListBullet"/>
      </w:pPr>
      <w:r>
        <w:t>FAT and SAT coverage.</w:t>
      </w:r>
    </w:p>
    <w:p>
      <w:pPr>
        <w:pStyle w:val="ListBullet"/>
      </w:pPr>
      <w:r>
        <w:t>Editable source code and backup files.</w:t>
      </w:r>
    </w:p>
    <w:p>
      <w:pPr>
        <w:pStyle w:val="ListBullet"/>
      </w:pPr>
      <w:r>
        <w:t>Updated drawings and BOM.</w:t>
      </w:r>
    </w:p>
    <w:p>
      <w:pPr>
        <w:pStyle w:val="ListBullet"/>
      </w:pPr>
      <w:r>
        <w:t>Commissioning and production validation.</w:t>
      </w:r>
    </w:p>
    <w:p>
      <w:r>
        <w:t>Supplier A meets the required technical scope. Supplier B offers a lower price but excludes site commissioning. Supplier C proposes a different PLC family that requires substantial interface changes.</w:t>
      </w:r>
    </w:p>
    <w:p>
      <w:pPr>
        <w:pStyle w:val="Heading3"/>
      </w:pPr>
      <w:r>
        <w:t>Commercial evaluation</w:t>
      </w:r>
    </w:p>
    <w:p>
      <w:r>
        <w:t>The team then checks:</w:t>
      </w:r>
    </w:p>
    <w:p>
      <w:pPr>
        <w:pStyle w:val="ListBullet"/>
      </w:pPr>
      <w:r>
        <w:t>Hardware and engineering costs.</w:t>
      </w:r>
    </w:p>
    <w:p>
      <w:pPr>
        <w:pStyle w:val="ListBullet"/>
      </w:pPr>
      <w:r>
        <w:t>Installation and commissioning.</w:t>
      </w:r>
    </w:p>
    <w:p>
      <w:pPr>
        <w:pStyle w:val="ListBullet"/>
      </w:pPr>
      <w:r>
        <w:t>Travel and freight.</w:t>
      </w:r>
    </w:p>
    <w:p>
      <w:pPr>
        <w:pStyle w:val="ListBullet"/>
      </w:pPr>
      <w:r>
        <w:t>Taxes and payment terms.</w:t>
      </w:r>
    </w:p>
    <w:p>
      <w:pPr>
        <w:pStyle w:val="ListBullet"/>
      </w:pPr>
      <w:r>
        <w:t>Warranty and service arrangements.</w:t>
      </w:r>
    </w:p>
    <w:p>
      <w:pPr>
        <w:pStyle w:val="ListBullet"/>
      </w:pPr>
      <w:r>
        <w:t>Any additional costs created by the alternative architecture.</w:t>
      </w:r>
    </w:p>
    <w:p>
      <w:pPr>
        <w:pStyle w:val="ListBullet"/>
      </w:pPr>
      <w:r>
        <w:t>Schedule impact and approved evaluation allowances.</w:t>
      </w:r>
    </w:p>
    <w:p>
      <w:pPr>
        <w:pStyle w:val="Heading3"/>
      </w:pPr>
      <w:r>
        <w:t>Recommendation</w:t>
      </w:r>
    </w:p>
    <w:p>
      <w:r>
        <w:t>The award recommendation should state:</w:t>
      </w:r>
    </w:p>
    <w:p>
      <w:pPr>
        <w:pStyle w:val="ListBullet"/>
      </w:pPr>
      <w:r>
        <w:t>Which bids are technically qualified.</w:t>
      </w:r>
    </w:p>
    <w:p>
      <w:pPr>
        <w:pStyle w:val="ListBullet"/>
      </w:pPr>
      <w:r>
        <w:t>Which deviations remain unresolved.</w:t>
      </w:r>
    </w:p>
    <w:p>
      <w:pPr>
        <w:pStyle w:val="ListBullet"/>
      </w:pPr>
      <w:r>
        <w:t>The evaluated cost of each eligible offer.</w:t>
      </w:r>
    </w:p>
    <w:p>
      <w:pPr>
        <w:pStyle w:val="ListBullet"/>
      </w:pPr>
      <w:r>
        <w:t>The risks and assumptions affecting the comparison.</w:t>
      </w:r>
    </w:p>
    <w:p>
      <w:pPr>
        <w:pStyle w:val="ListBullet"/>
      </w:pPr>
      <w:r>
        <w:t>The reason for the recommended supplier.</w:t>
      </w:r>
    </w:p>
    <w:p>
      <w:pPr>
        <w:pStyle w:val="ListBullet"/>
      </w:pPr>
      <w:r>
        <w:t>Any conditions that must be satisfied before purchase order release.</w:t>
      </w:r>
    </w:p>
    <w:p>
      <w:r>
        <w:t>The lowest nominal quotation may be the preferred offer, but only if the evaluation demonstrates that it meets the requirements and offers acceptable risk and value.</w:t>
      </w:r>
    </w:p>
    <w:p>
      <w:pPr>
        <w:pStyle w:val="Heading2"/>
      </w:pPr>
      <w:r>
        <w:t>22. Common mistakes in bid evaluation</w:t>
      </w:r>
    </w:p>
    <w:p>
      <w:pPr>
        <w:pStyle w:val="ListBullet"/>
      </w:pPr>
      <w:r>
        <w:t>Evaluating price before understanding technical compliance.</w:t>
      </w:r>
    </w:p>
    <w:p>
      <w:pPr>
        <w:pStyle w:val="ListBullet"/>
      </w:pPr>
      <w:r>
        <w:t>Treating supplier declarations as sufficient proof for every requirement.</w:t>
      </w:r>
    </w:p>
    <w:p>
      <w:pPr>
        <w:pStyle w:val="ListBullet"/>
      </w:pPr>
      <w:r>
        <w:t>Comparing quotations with different scopes.</w:t>
      </w:r>
    </w:p>
    <w:p>
      <w:pPr>
        <w:pStyle w:val="ListBullet"/>
      </w:pPr>
      <w:r>
        <w:t>Ignoring exclusions hidden in commercial terms.</w:t>
      </w:r>
    </w:p>
    <w:p>
      <w:pPr>
        <w:pStyle w:val="ListBullet"/>
      </w:pPr>
      <w:r>
        <w:t>Allowing a high score to compensate for a failed mandatory requirement.</w:t>
      </w:r>
    </w:p>
    <w:p>
      <w:pPr>
        <w:pStyle w:val="ListBullet"/>
      </w:pPr>
      <w:r>
        <w:t>Changing scoring weights after bids are received.</w:t>
      </w:r>
    </w:p>
    <w:p>
      <w:pPr>
        <w:pStyle w:val="ListBullet"/>
      </w:pPr>
      <w:r>
        <w:t>Failing to document clarifications.</w:t>
      </w:r>
    </w:p>
    <w:p>
      <w:pPr>
        <w:pStyle w:val="ListBullet"/>
      </w:pPr>
      <w:r>
        <w:t>Accepting technical alternatives without impact assessment.</w:t>
      </w:r>
    </w:p>
    <w:p>
      <w:pPr>
        <w:pStyle w:val="ListBullet"/>
      </w:pPr>
      <w:r>
        <w:t>Ignoring software licenses and editable project deliverables.</w:t>
      </w:r>
    </w:p>
    <w:p>
      <w:pPr>
        <w:pStyle w:val="ListBullet"/>
      </w:pPr>
      <w:r>
        <w:t>Overlooking commissioning, training, and spare-parts costs.</w:t>
      </w:r>
    </w:p>
    <w:p>
      <w:pPr>
        <w:pStyle w:val="ListBullet"/>
      </w:pPr>
      <w:r>
        <w:t>Using unrealistic lead times without checking project dependencies.</w:t>
      </w:r>
    </w:p>
    <w:p>
      <w:pPr>
        <w:pStyle w:val="ListBullet"/>
      </w:pPr>
      <w:r>
        <w:t>Failing to evaluate warranty and technical support.</w:t>
      </w:r>
    </w:p>
    <w:p>
      <w:pPr>
        <w:pStyle w:val="ListBullet"/>
      </w:pPr>
      <w:r>
        <w:t>Selecting a supplier without documenting the award rationale.</w:t>
      </w:r>
    </w:p>
    <w:p>
      <w:pPr>
        <w:pStyle w:val="ListBullet"/>
      </w:pPr>
      <w:r>
        <w:t>Allowing conflicts of interest or unauthorized communication to influence the result.</w:t>
      </w:r>
    </w:p>
    <w:p>
      <w:pPr>
        <w:pStyle w:val="Heading2"/>
      </w:pPr>
      <w:r>
        <w:t>23. Practical bid evaluation checklist</w:t>
      </w:r>
    </w:p>
    <w:p>
      <w:pPr>
        <w:pStyle w:val="Heading3"/>
      </w:pPr>
      <w:r>
        <w:t>Administrative review</w:t>
      </w:r>
    </w:p>
    <w:p>
      <w:pPr>
        <w:pStyle w:val="ListBullet"/>
      </w:pPr>
      <w:r>
        <w:t>Bid received and recorded under the approved procedure.</w:t>
      </w:r>
    </w:p>
    <w:p>
      <w:pPr>
        <w:pStyle w:val="ListBullet"/>
      </w:pPr>
      <w:r>
        <w:t>Required documents and declarations checked.</w:t>
      </w:r>
    </w:p>
    <w:p>
      <w:pPr>
        <w:pStyle w:val="ListBullet"/>
      </w:pPr>
      <w:r>
        <w:t>RFQ and specification revisions verified.</w:t>
      </w:r>
    </w:p>
    <w:p>
      <w:pPr>
        <w:pStyle w:val="ListBullet"/>
      </w:pPr>
      <w:r>
        <w:t>Bid validity and submission requirements checked.</w:t>
      </w:r>
    </w:p>
    <w:p>
      <w:pPr>
        <w:pStyle w:val="Heading3"/>
      </w:pPr>
      <w:r>
        <w:t>Technical review</w:t>
      </w:r>
    </w:p>
    <w:p>
      <w:pPr>
        <w:pStyle w:val="ListBullet"/>
      </w:pPr>
      <w:r>
        <w:t>Each mandatory requirement evaluated.</w:t>
      </w:r>
    </w:p>
    <w:p>
      <w:pPr>
        <w:pStyle w:val="ListBullet"/>
      </w:pPr>
      <w:r>
        <w:t>Proposed hardware and software identified.</w:t>
      </w:r>
    </w:p>
    <w:p>
      <w:pPr>
        <w:pStyle w:val="ListBullet"/>
      </w:pPr>
      <w:r>
        <w:t>Interfaces and compatibility assessed.</w:t>
      </w:r>
    </w:p>
    <w:p>
      <w:pPr>
        <w:pStyle w:val="ListBullet"/>
      </w:pPr>
      <w:r>
        <w:t>Safety requirements evaluated.</w:t>
      </w:r>
    </w:p>
    <w:p>
      <w:pPr>
        <w:pStyle w:val="ListBullet"/>
      </w:pPr>
      <w:r>
        <w:t>Testing and acceptance commitments checked.</w:t>
      </w:r>
    </w:p>
    <w:p>
      <w:pPr>
        <w:pStyle w:val="ListBullet"/>
      </w:pPr>
      <w:r>
        <w:t>Documentation and source-code deliverables reviewed.</w:t>
      </w:r>
    </w:p>
    <w:p>
      <w:pPr>
        <w:pStyle w:val="ListBullet"/>
      </w:pPr>
      <w:r>
        <w:t>Deviations and assumptions recorded.</w:t>
      </w:r>
    </w:p>
    <w:p>
      <w:pPr>
        <w:pStyle w:val="ListBullet"/>
      </w:pPr>
      <w:r>
        <w:t>Clarifications resolved where permitted.</w:t>
      </w:r>
    </w:p>
    <w:p>
      <w:pPr>
        <w:pStyle w:val="ListBullet"/>
      </w:pPr>
      <w:r>
        <w:t>Technical qualification decision documented.</w:t>
      </w:r>
    </w:p>
    <w:p>
      <w:pPr>
        <w:pStyle w:val="Heading3"/>
      </w:pPr>
      <w:r>
        <w:t>Commercial review</w:t>
      </w:r>
    </w:p>
    <w:p>
      <w:pPr>
        <w:pStyle w:val="ListBullet"/>
      </w:pPr>
      <w:r>
        <w:t>Pricing breakdown reviewed.</w:t>
      </w:r>
    </w:p>
    <w:p>
      <w:pPr>
        <w:pStyle w:val="ListBullet"/>
      </w:pPr>
      <w:r>
        <w:t>Exclusions and optional costs identified.</w:t>
      </w:r>
    </w:p>
    <w:p>
      <w:pPr>
        <w:pStyle w:val="ListBullet"/>
      </w:pPr>
      <w:r>
        <w:t>Installation and commissioning included or normalized.</w:t>
      </w:r>
    </w:p>
    <w:p>
      <w:pPr>
        <w:pStyle w:val="ListBullet"/>
      </w:pPr>
      <w:r>
        <w:t>Taxes, freight, and duties addressed.</w:t>
      </w:r>
    </w:p>
    <w:p>
      <w:pPr>
        <w:pStyle w:val="ListBullet"/>
      </w:pPr>
      <w:r>
        <w:t>Delivery and payment conditions evaluated.</w:t>
      </w:r>
    </w:p>
    <w:p>
      <w:pPr>
        <w:pStyle w:val="ListBullet"/>
      </w:pPr>
      <w:r>
        <w:t>Warranty and support conditions compared.</w:t>
      </w:r>
    </w:p>
    <w:p>
      <w:pPr>
        <w:pStyle w:val="ListBullet"/>
      </w:pPr>
      <w:r>
        <w:t>Approved normalization method applied.</w:t>
      </w:r>
    </w:p>
    <w:p>
      <w:pPr>
        <w:pStyle w:val="ListBullet"/>
      </w:pPr>
      <w:r>
        <w:t>Lifecycle costs considered where required.</w:t>
      </w:r>
    </w:p>
    <w:p>
      <w:pPr>
        <w:pStyle w:val="Heading3"/>
      </w:pPr>
      <w:r>
        <w:t>Award recommendation</w:t>
      </w:r>
    </w:p>
    <w:p>
      <w:pPr>
        <w:pStyle w:val="ListBullet"/>
      </w:pPr>
      <w:r>
        <w:t>Evaluation criteria and weights follow approved rules.</w:t>
      </w:r>
    </w:p>
    <w:p>
      <w:pPr>
        <w:pStyle w:val="ListBullet"/>
      </w:pPr>
      <w:r>
        <w:t>Eligible offers compared consistently.</w:t>
      </w:r>
    </w:p>
    <w:p>
      <w:pPr>
        <w:pStyle w:val="ListBullet"/>
      </w:pPr>
      <w:r>
        <w:t>Key risks and unresolved conditions recorded.</w:t>
      </w:r>
    </w:p>
    <w:p>
      <w:pPr>
        <w:pStyle w:val="ListBullet"/>
      </w:pPr>
      <w:r>
        <w:t>Recommendation supported by evidence.</w:t>
      </w:r>
    </w:p>
    <w:p>
      <w:pPr>
        <w:pStyle w:val="ListBullet"/>
      </w:pPr>
      <w:r>
        <w:t>Required approvals obtained.</w:t>
      </w:r>
    </w:p>
    <w:p>
      <w:pPr>
        <w:pStyle w:val="ListBullet"/>
      </w:pPr>
      <w:r>
        <w:t>Records retained in the controlled procurement file.</w:t>
      </w:r>
    </w:p>
    <w:p>
      <w:pPr>
        <w:pStyle w:val="Heading2"/>
      </w:pPr>
      <w:r>
        <w:t>24. Interview questions and answers</w:t>
      </w:r>
    </w:p>
    <w:p>
      <w:r>
        <w:t>Q1. What is technical bid evaluation?</w:t>
      </w:r>
    </w:p>
    <w:p>
      <w:r>
        <w:t>It is the assessment of a supplier's proposed solution against the approved technical specification, including functionality, compatibility, performance, safety, testing, and deliverables.</w:t>
      </w:r>
    </w:p>
    <w:p>
      <w:r>
        <w:t>Q2. What is commercial bid evaluation?</w:t>
      </w:r>
    </w:p>
    <w:p>
      <w:r>
        <w:t>It examines price and contractual conditions, including delivery, payment, taxes, warranty, exclusions, and other costs or risks.</w:t>
      </w:r>
    </w:p>
    <w:p>
      <w:r>
        <w:t>Q3. Why is technical evaluation performed before commercial evaluation in some procurement processes?</w:t>
      </w:r>
    </w:p>
    <w:p>
      <w:r>
        <w:t>It establishes which bids meet mandatory technical requirements before commercial comparison, preventing unsuitable offers from winning solely because of price.</w:t>
      </w:r>
    </w:p>
    <w:p>
      <w:r>
        <w:t>Q4. What is commercial normalization?</w:t>
      </w:r>
    </w:p>
    <w:p>
      <w:r>
        <w:t>It adjusts bids to a common evaluation basis so that scope differences and missing costs can be compared consistently.</w:t>
      </w:r>
    </w:p>
    <w:p>
      <w:r>
        <w:t>Q5. What is the difference between a technical deviation and a commercial deviation?</w:t>
      </w:r>
    </w:p>
    <w:p>
      <w:r>
        <w:t>A technical deviation departs from the technical specification. A commercial deviation departs from the required pricing, delivery, payment, warranty, or contractual conditions.</w:t>
      </w:r>
    </w:p>
    <w:p>
      <w:r>
        <w:t>Q6. What is a technical compliance matrix?</w:t>
      </w:r>
    </w:p>
    <w:p>
      <w:r>
        <w:t>It records each technical requirement and the supplier's compliance position, evidence, clarification, and final evaluation decision.</w:t>
      </w:r>
    </w:p>
    <w:p>
      <w:r>
        <w:t>Q7. Can the lowest-priced bidder be rejected?</w:t>
      </w:r>
    </w:p>
    <w:p>
      <w:r>
        <w:t>Yes, where permitted by the applicable procurement rules and the documented evaluation, such as when mandatory requirements are not met or the bid is otherwise ineligible.</w:t>
      </w:r>
    </w:p>
    <w:p>
      <w:r>
        <w:t>Q8. What is a combined technical-commercial score?</w:t>
      </w:r>
    </w:p>
    <w:p>
      <w:r>
        <w:t>It is a weighted score combining technical performance and commercial performance under a predefined evaluation method.</w:t>
      </w:r>
    </w:p>
    <w:p>
      <w:r>
        <w:t>Q9. Why should the evaluation criteria be established before bids are received?</w:t>
      </w:r>
    </w:p>
    <w:p>
      <w:r>
        <w:t>It supports consistent treatment, transparency, and an auditable decision while reducing the risk of criteria being changed to favor a particular supplier.</w:t>
      </w:r>
    </w:p>
    <w:p>
      <w:r>
        <w:t>Q10. What is the purpose of bid clarification?</w:t>
      </w:r>
    </w:p>
    <w:p>
      <w:r>
        <w:t>It resolves ambiguities or missing information in a controlled manner without improperly changing the competition or giving one bidder an unfair advantage.</w:t>
      </w:r>
    </w:p>
    <w:p>
      <w:r>
        <w:t>Q11. Why should lifecycle cost be considered?</w:t>
      </w:r>
    </w:p>
    <w:p>
      <w:r>
        <w:t>Because the initial purchase price does not include every cost associated with installation, maintenance, downtime, licensing, support, and future replacement.</w:t>
      </w:r>
    </w:p>
    <w:p>
      <w:r>
        <w:t>Q12. What should an award recommendation contain?</w:t>
      </w:r>
    </w:p>
    <w:p>
      <w:r>
        <w:t>It should summarize eligibility, technical compliance, commercial comparison, material deviations, risks, evaluation results, and the rationale for the recommended award.</w:t>
      </w:r>
    </w:p>
    <w:p>
      <w:pPr>
        <w:pStyle w:val="Heading2"/>
      </w:pPr>
      <w:r>
        <w:t>25. Key principles</w:t>
      </w:r>
    </w:p>
    <w:p>
      <w:r>
        <w:t>A robust technical and commercial bid evaluation follows these principles:</w:t>
      </w:r>
    </w:p>
    <w:p>
      <w:pPr>
        <w:tabs>
          <w:tab w:pos="403" w:val="left"/>
        </w:tabs>
        <w:spacing w:after="40" w:line="276" w:lineRule="auto"/>
        <w:ind w:left="403" w:hanging="403"/>
        <w:jc w:val="left"/>
      </w:pPr>
      <w:r>
        <w:rPr>
          <w:color w:val="1A2E4A"/>
        </w:rPr>
        <w:t>1.</w:t>
        <w:tab/>
      </w:r>
      <w:r>
        <w:t>Evaluate against the approved specification: Do not invent criteria after bids are received.</w:t>
      </w:r>
    </w:p>
    <w:p>
      <w:pPr>
        <w:tabs>
          <w:tab w:pos="403" w:val="left"/>
        </w:tabs>
        <w:spacing w:after="40" w:line="276" w:lineRule="auto"/>
        <w:ind w:left="403" w:hanging="403"/>
        <w:jc w:val="left"/>
      </w:pPr>
      <w:r>
        <w:rPr>
          <w:color w:val="1A2E4A"/>
        </w:rPr>
        <w:t>2.</w:t>
        <w:tab/>
      </w:r>
      <w:r>
        <w:t>Separate mandatory compliance from scoring: A failed mandatory requirement cannot be hidden by a high total score.</w:t>
      </w:r>
    </w:p>
    <w:p>
      <w:pPr>
        <w:tabs>
          <w:tab w:pos="403" w:val="left"/>
        </w:tabs>
        <w:spacing w:after="40" w:line="276" w:lineRule="auto"/>
        <w:ind w:left="403" w:hanging="403"/>
        <w:jc w:val="left"/>
      </w:pPr>
      <w:r>
        <w:rPr>
          <w:color w:val="1A2E4A"/>
        </w:rPr>
        <w:t>3.</w:t>
        <w:tab/>
      </w:r>
      <w:r>
        <w:t>Compare equivalent scope: Normalize documented differences using an approved method.</w:t>
      </w:r>
    </w:p>
    <w:p>
      <w:pPr>
        <w:tabs>
          <w:tab w:pos="403" w:val="left"/>
        </w:tabs>
        <w:spacing w:after="40" w:line="276" w:lineRule="auto"/>
        <w:ind w:left="403" w:hanging="403"/>
        <w:jc w:val="left"/>
      </w:pPr>
      <w:r>
        <w:rPr>
          <w:color w:val="1A2E4A"/>
        </w:rPr>
        <w:t>4.</w:t>
        <w:tab/>
      </w:r>
      <w:r>
        <w:t>Use evidence: Verify claims and retain traceable evaluation records.</w:t>
      </w:r>
    </w:p>
    <w:p>
      <w:pPr>
        <w:tabs>
          <w:tab w:pos="403" w:val="left"/>
        </w:tabs>
        <w:spacing w:after="40" w:line="276" w:lineRule="auto"/>
        <w:ind w:left="403" w:hanging="403"/>
        <w:jc w:val="left"/>
      </w:pPr>
      <w:r>
        <w:rPr>
          <w:color w:val="1A2E4A"/>
        </w:rPr>
        <w:t>5.</w:t>
        <w:tab/>
      </w:r>
      <w:r>
        <w:t>Assess total value: Consider technical suitability, delivery, support, risk, and lifecycle cost.</w:t>
      </w:r>
    </w:p>
    <w:p>
      <w:pPr>
        <w:tabs>
          <w:tab w:pos="403" w:val="left"/>
        </w:tabs>
        <w:spacing w:after="40" w:line="276" w:lineRule="auto"/>
        <w:ind w:left="403" w:hanging="403"/>
        <w:jc w:val="left"/>
      </w:pPr>
      <w:r>
        <w:rPr>
          <w:color w:val="1A2E4A"/>
        </w:rPr>
        <w:t>6.</w:t>
        <w:tab/>
      </w:r>
      <w:r>
        <w:t>Control clarifications and deviations: Apply the same rules consistently.</w:t>
      </w:r>
    </w:p>
    <w:p>
      <w:pPr>
        <w:tabs>
          <w:tab w:pos="403" w:val="left"/>
        </w:tabs>
        <w:spacing w:after="40" w:line="276" w:lineRule="auto"/>
        <w:ind w:left="403" w:hanging="403"/>
        <w:jc w:val="left"/>
      </w:pPr>
      <w:r>
        <w:rPr>
          <w:color w:val="1A2E4A"/>
        </w:rPr>
        <w:t>7.</w:t>
        <w:tab/>
      </w:r>
      <w:r>
        <w:t>Document the decision: Make the award recommendation understandable and auditable.</w:t>
      </w:r>
    </w:p>
    <w:p>
      <w:r>
        <w:t>Bid evaluation converts supplier quotations into a structured decision. Its quality depends on the quality of the original specification, the consistency of the evaluation method, and the discipline used to record the evidence.</w:t>
      </w:r>
    </w:p>
    <w:p>
      <w:pPr>
        <w:pStyle w:val="Heading2"/>
      </w:pPr>
      <w:r>
        <w:t>NEXT TOPIC</w:t>
      </w:r>
    </w:p>
    <w:p>
      <w:r>
        <w:rPr>
          <w:rFonts w:ascii="Consolas" w:hAnsi="Consolas"/>
          <w:color w:val="333333"/>
          <w:sz w:val="19"/>
          <w:shd w:val="clear" w:color="auto" w:fill="EFEFEF"/>
        </w:rPr>
        <w:t>02_PLAN_WISE_2026\02_INDUSTRY3_0\07_Lifecycle\03_Procurement\05_Bid_Comparison - Bid comparison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02_PLAN_WISE_2026\02_INDUSTRY3_0\07_Lifecycle\03_Procurement\04_Technical_Commercial_Bid - Technical/Commercial bid evaluation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