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02_PLAN_WISE_2026\02_INDUSTRY3_0\07_Lifecycle\03_Procurement\05_Bid_Comparison - Bid comparison</w:t>
      </w:r>
    </w:p>
    <w:p>
      <w:pPr>
        <w:pStyle w:val="Heading2"/>
      </w:pPr>
      <w:r>
        <w:t>1. What is bid comparison?</w:t>
      </w:r>
    </w:p>
    <w:p>
      <w:r>
        <w:t>Bid comparison is the systematic comparison of quotations received from multiple vendors against a common technical, commercial, delivery, and contractual basis to identify the most suitable offer.</w:t>
      </w:r>
    </w:p>
    <w:p>
      <w:r>
        <w:t>In industrial automation procurement, quotations can differ in more than price. One supplier may include programming, commissioning, training, and documentation, while another may quote only hardware. A third may offer a different PLC platform, exclude installation, or propose a longer delivery schedule.</w:t>
      </w:r>
    </w:p>
    <w:p>
      <w:r>
        <w:t>Bid comparison identifies these differences, makes their impact visible, and supports a documented procurement decision.</w:t>
      </w:r>
    </w:p>
    <w:p>
      <w:r>
        <w:t>The main objectives are to:</w:t>
      </w:r>
    </w:p>
    <w:p>
      <w:pPr>
        <w:pStyle w:val="ListBullet"/>
      </w:pPr>
      <w:r>
        <w:t>Compare equivalent scopes of supply.</w:t>
      </w:r>
    </w:p>
    <w:p>
      <w:pPr>
        <w:pStyle w:val="ListBullet"/>
      </w:pPr>
      <w:r>
        <w:t>Identify technical compliance gaps and deviations.</w:t>
      </w:r>
    </w:p>
    <w:p>
      <w:pPr>
        <w:pStyle w:val="ListBullet"/>
      </w:pPr>
      <w:r>
        <w:t>Normalize prices to a common evaluation basis.</w:t>
      </w:r>
    </w:p>
    <w:p>
      <w:pPr>
        <w:pStyle w:val="ListBullet"/>
      </w:pPr>
      <w:r>
        <w:t>Compare delivery, warranty, service, and payment conditions.</w:t>
      </w:r>
    </w:p>
    <w:p>
      <w:pPr>
        <w:pStyle w:val="ListBullet"/>
      </w:pPr>
      <w:r>
        <w:t>Evaluate total cost and lifecycle risks where appropriate.</w:t>
      </w:r>
    </w:p>
    <w:p>
      <w:pPr>
        <w:pStyle w:val="ListBullet"/>
      </w:pPr>
      <w:r>
        <w:t>Identify the lowest evaluated cost and the best overall value.</w:t>
      </w:r>
    </w:p>
    <w:p>
      <w:pPr>
        <w:pStyle w:val="ListBullet"/>
      </w:pPr>
      <w:r>
        <w:t>Provide a traceable basis for supplier selection and approval.</w:t>
      </w:r>
    </w:p>
    <w:p>
      <w:r>
        <w:t>Lowest quoted price, lowest evaluated price, and best-value offer are three different concepts. Confusing them is an efficient way to buy an inexpensive problem.</w:t>
      </w:r>
    </w:p>
    <w:p>
      <w:pPr>
        <w:pStyle w:val="Heading2"/>
      </w:pPr>
      <w:r>
        <w:t>2. Bid comparison versus bid evaluation</w:t>
      </w:r>
    </w:p>
    <w:p>
      <w:r>
        <w:t>Bid evaluation is the broader process of assessing whether offers meet the procurement requirements. Bid comparison is the structured comparison of those offers, often using a comparison statement or spreadsheet.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Bid evaluation</w:t>
            </w:r>
          </w:p>
        </w:tc>
        <w:tc>
          <w:tcPr>
            <w:tcW w:type="dxa" w:w="3600"/>
            <w:shd w:val="clear" w:color="auto" w:fill="EEF2F7"/>
          </w:tcPr>
          <w:p>
            <w:pPr>
              <w:spacing w:after="0" w:before="0" w:line="240" w:lineRule="auto"/>
              <w:jc w:val="left"/>
            </w:pPr>
            <w:r>
              <w:rPr>
                <w:b/>
                <w:color w:val="1A2E4A"/>
              </w:rPr>
              <w:t>Bid comparison</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Determine compliance and suitability</w:t>
            </w:r>
          </w:p>
        </w:tc>
        <w:tc>
          <w:tcPr>
            <w:tcW w:type="dxa" w:w="3600"/>
          </w:tcPr>
          <w:p>
            <w:pPr>
              <w:spacing w:after="0" w:before="0" w:line="240" w:lineRule="auto"/>
              <w:jc w:val="left"/>
            </w:pPr>
            <w:r>
              <w:t>Compare eligible offers consistently</w:t>
            </w:r>
          </w:p>
        </w:tc>
      </w:tr>
      <w:tr>
        <w:tc>
          <w:tcPr>
            <w:tcW w:type="dxa" w:w="3600"/>
          </w:tcPr>
          <w:p>
            <w:pPr>
              <w:spacing w:after="0" w:before="0" w:line="240" w:lineRule="auto"/>
              <w:jc w:val="left"/>
            </w:pPr>
            <w:r>
              <w:t>Technical review</w:t>
            </w:r>
          </w:p>
        </w:tc>
        <w:tc>
          <w:tcPr>
            <w:tcW w:type="dxa" w:w="3600"/>
          </w:tcPr>
          <w:p>
            <w:pPr>
              <w:spacing w:after="0" w:before="0" w:line="240" w:lineRule="auto"/>
              <w:jc w:val="left"/>
            </w:pPr>
            <w:r>
              <w:t>Detailed requirement-by-requirement assessment</w:t>
            </w:r>
          </w:p>
        </w:tc>
        <w:tc>
          <w:tcPr>
            <w:tcW w:type="dxa" w:w="3600"/>
          </w:tcPr>
          <w:p>
            <w:pPr>
              <w:spacing w:after="0" w:before="0" w:line="240" w:lineRule="auto"/>
              <w:jc w:val="left"/>
            </w:pPr>
            <w:r>
              <w:t>Summarizes compliance and key differences</w:t>
            </w:r>
          </w:p>
        </w:tc>
      </w:tr>
      <w:tr>
        <w:tc>
          <w:tcPr>
            <w:tcW w:type="dxa" w:w="3600"/>
          </w:tcPr>
          <w:p>
            <w:pPr>
              <w:spacing w:after="0" w:before="0" w:line="240" w:lineRule="auto"/>
              <w:jc w:val="left"/>
            </w:pPr>
            <w:r>
              <w:t>Commercial review</w:t>
            </w:r>
          </w:p>
        </w:tc>
        <w:tc>
          <w:tcPr>
            <w:tcW w:type="dxa" w:w="3600"/>
          </w:tcPr>
          <w:p>
            <w:pPr>
              <w:spacing w:after="0" w:before="0" w:line="240" w:lineRule="auto"/>
              <w:jc w:val="left"/>
            </w:pPr>
            <w:r>
              <w:t>Checks price and contractual acceptability</w:t>
            </w:r>
          </w:p>
        </w:tc>
        <w:tc>
          <w:tcPr>
            <w:tcW w:type="dxa" w:w="3600"/>
          </w:tcPr>
          <w:p>
            <w:pPr>
              <w:spacing w:after="0" w:before="0" w:line="240" w:lineRule="auto"/>
              <w:jc w:val="left"/>
            </w:pPr>
            <w:r>
              <w:t>Presents normalized cost and commercial terms</w:t>
            </w:r>
          </w:p>
        </w:tc>
      </w:tr>
      <w:tr>
        <w:tc>
          <w:tcPr>
            <w:tcW w:type="dxa" w:w="3600"/>
          </w:tcPr>
          <w:p>
            <w:pPr>
              <w:spacing w:after="0" w:before="0" w:line="240" w:lineRule="auto"/>
              <w:jc w:val="left"/>
            </w:pPr>
            <w:r>
              <w:t>Typical output</w:t>
            </w:r>
          </w:p>
        </w:tc>
        <w:tc>
          <w:tcPr>
            <w:tcW w:type="dxa" w:w="3600"/>
          </w:tcPr>
          <w:p>
            <w:pPr>
              <w:spacing w:after="0" w:before="0" w:line="240" w:lineRule="auto"/>
              <w:jc w:val="left"/>
            </w:pPr>
            <w:r>
              <w:t>Technical and commercial evaluation records</w:t>
            </w:r>
          </w:p>
        </w:tc>
        <w:tc>
          <w:tcPr>
            <w:tcW w:type="dxa" w:w="3600"/>
          </w:tcPr>
          <w:p>
            <w:pPr>
              <w:spacing w:after="0" w:before="0" w:line="240" w:lineRule="auto"/>
              <w:jc w:val="left"/>
            </w:pPr>
            <w:r>
              <w:t>Comparative statement or bid comparison sheet</w:t>
            </w:r>
          </w:p>
        </w:tc>
      </w:tr>
      <w:tr>
        <w:tc>
          <w:tcPr>
            <w:tcW w:type="dxa" w:w="3600"/>
          </w:tcPr>
          <w:p>
            <w:pPr>
              <w:spacing w:after="0" w:before="0" w:line="240" w:lineRule="auto"/>
              <w:jc w:val="left"/>
            </w:pPr>
            <w:r>
              <w:t>Decision role</w:t>
            </w:r>
          </w:p>
        </w:tc>
        <w:tc>
          <w:tcPr>
            <w:tcW w:type="dxa" w:w="3600"/>
          </w:tcPr>
          <w:p>
            <w:pPr>
              <w:spacing w:after="0" w:before="0" w:line="240" w:lineRule="auto"/>
              <w:jc w:val="left"/>
            </w:pPr>
            <w:r>
              <w:t>Establishes eligibility and evaluation outcome</w:t>
            </w:r>
          </w:p>
        </w:tc>
        <w:tc>
          <w:tcPr>
            <w:tcW w:type="dxa" w:w="3600"/>
          </w:tcPr>
          <w:p>
            <w:pPr>
              <w:spacing w:after="0" w:before="0" w:line="240" w:lineRule="auto"/>
              <w:jc w:val="left"/>
            </w:pPr>
            <w:r>
              <w:t>Supports ranking and award recommendation</w:t>
            </w:r>
          </w:p>
        </w:tc>
      </w:tr>
    </w:tbl>
    <w:p/>
    <w:p>
      <w:r>
        <w:t>The activities overlap in practice. Bid comparison should use the results of the technical and commercial evaluation rather than replacing detailed engineering review.</w:t>
      </w:r>
    </w:p>
    <w:p>
      <w:pPr>
        <w:pStyle w:val="Heading2"/>
      </w:pPr>
      <w:r>
        <w:t>3. Where bid comparison fits in procurement</w:t>
      </w:r>
    </w:p>
    <w:p>
      <w:pPr>
        <w:shd w:val="clear" w:color="auto" w:fill="F4F4F4"/>
        <w:spacing w:before="0" w:after="0" w:line="240" w:lineRule="auto"/>
        <w:ind w:left="216" w:right="216"/>
        <w:jc w:val="left"/>
      </w:pPr>
      <w:r>
        <w:rPr>
          <w:rFonts w:ascii="Consolas" w:hAnsi="Consolas"/>
          <w:color w:val="202020"/>
          <w:sz w:val="18"/>
        </w:rPr>
        <w:t>Approved Technical and Commercial Specification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RFQ Issued to Suitable Vendors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Bids Received and Registered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Administrative and Technical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Resolve Permitted Clarifications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Technically Eligible Bids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Normalize Commercial Offers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Prepare Bid Comparison Statement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Cost, Delivery, Warranty, and Risk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Award Recommendation and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Purchase Order / Contract</w:t>
      </w:r>
    </w:p>
    <w:p/>
    <w:p>
      <w:r>
        <w:t>The exact sequence depends on the organization's procurement policy. In some processes, technical and commercial bids are submitted separately, and only commercially eligible offers from technically qualified bidders are compared.</w:t>
      </w:r>
    </w:p>
    <w:p>
      <w:pPr>
        <w:pStyle w:val="Heading2"/>
      </w:pPr>
      <w:r>
        <w:t>4. Types of bid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Comparison type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Technical comparison</w:t>
            </w:r>
          </w:p>
        </w:tc>
        <w:tc>
          <w:tcPr>
            <w:tcW w:type="dxa" w:w="3600"/>
          </w:tcPr>
          <w:p>
            <w:pPr>
              <w:spacing w:after="0" w:before="0" w:line="240" w:lineRule="auto"/>
              <w:jc w:val="left"/>
            </w:pPr>
            <w:r>
              <w:t>Compare compliance and capabilities</w:t>
            </w:r>
          </w:p>
        </w:tc>
        <w:tc>
          <w:tcPr>
            <w:tcW w:type="dxa" w:w="3600"/>
          </w:tcPr>
          <w:p>
            <w:pPr>
              <w:spacing w:after="0" w:before="0" w:line="240" w:lineRule="auto"/>
              <w:jc w:val="left"/>
            </w:pPr>
            <w:r>
              <w:t>PLC models, I/O capacity, communication interfaces</w:t>
            </w:r>
          </w:p>
        </w:tc>
      </w:tr>
      <w:tr>
        <w:tc>
          <w:tcPr>
            <w:tcW w:type="dxa" w:w="3600"/>
          </w:tcPr>
          <w:p>
            <w:pPr>
              <w:spacing w:after="0" w:before="0" w:line="240" w:lineRule="auto"/>
              <w:jc w:val="left"/>
            </w:pPr>
            <w:r>
              <w:t>Commercial comparison</w:t>
            </w:r>
          </w:p>
        </w:tc>
        <w:tc>
          <w:tcPr>
            <w:tcW w:type="dxa" w:w="3600"/>
          </w:tcPr>
          <w:p>
            <w:pPr>
              <w:spacing w:after="0" w:before="0" w:line="240" w:lineRule="auto"/>
              <w:jc w:val="left"/>
            </w:pPr>
            <w:r>
              <w:t>Compare price and contractual conditions</w:t>
            </w:r>
          </w:p>
        </w:tc>
        <w:tc>
          <w:tcPr>
            <w:tcW w:type="dxa" w:w="3600"/>
          </w:tcPr>
          <w:p>
            <w:pPr>
              <w:spacing w:after="0" w:before="0" w:line="240" w:lineRule="auto"/>
              <w:jc w:val="left"/>
            </w:pPr>
            <w:r>
              <w:t>Hardware cost, payment terms, warranty</w:t>
            </w:r>
          </w:p>
        </w:tc>
      </w:tr>
      <w:tr>
        <w:tc>
          <w:tcPr>
            <w:tcW w:type="dxa" w:w="3600"/>
          </w:tcPr>
          <w:p>
            <w:pPr>
              <w:spacing w:after="0" w:before="0" w:line="240" w:lineRule="auto"/>
              <w:jc w:val="left"/>
            </w:pPr>
            <w:r>
              <w:t>Delivery comparison</w:t>
            </w:r>
          </w:p>
        </w:tc>
        <w:tc>
          <w:tcPr>
            <w:tcW w:type="dxa" w:w="3600"/>
          </w:tcPr>
          <w:p>
            <w:pPr>
              <w:spacing w:after="0" w:before="0" w:line="240" w:lineRule="auto"/>
              <w:jc w:val="left"/>
            </w:pPr>
            <w:r>
              <w:t>Compare delivery and implementation schedules</w:t>
            </w:r>
          </w:p>
        </w:tc>
        <w:tc>
          <w:tcPr>
            <w:tcW w:type="dxa" w:w="3600"/>
          </w:tcPr>
          <w:p>
            <w:pPr>
              <w:spacing w:after="0" w:before="0" w:line="240" w:lineRule="auto"/>
              <w:jc w:val="left"/>
            </w:pPr>
            <w:r>
              <w:t>Lead time, installation duration, shutdown window</w:t>
            </w:r>
          </w:p>
        </w:tc>
      </w:tr>
      <w:tr>
        <w:tc>
          <w:tcPr>
            <w:tcW w:type="dxa" w:w="3600"/>
          </w:tcPr>
          <w:p>
            <w:pPr>
              <w:spacing w:after="0" w:before="0" w:line="240" w:lineRule="auto"/>
              <w:jc w:val="left"/>
            </w:pPr>
            <w:r>
              <w:t>Lifecycle-cost comparison</w:t>
            </w:r>
          </w:p>
        </w:tc>
        <w:tc>
          <w:tcPr>
            <w:tcW w:type="dxa" w:w="3600"/>
          </w:tcPr>
          <w:p>
            <w:pPr>
              <w:spacing w:after="0" w:before="0" w:line="240" w:lineRule="auto"/>
              <w:jc w:val="left"/>
            </w:pPr>
            <w:r>
              <w:t>Compare costs over a defined period</w:t>
            </w:r>
          </w:p>
        </w:tc>
        <w:tc>
          <w:tcPr>
            <w:tcW w:type="dxa" w:w="3600"/>
          </w:tcPr>
          <w:p>
            <w:pPr>
              <w:spacing w:after="0" w:before="0" w:line="240" w:lineRule="auto"/>
              <w:jc w:val="left"/>
            </w:pPr>
            <w:r>
              <w:t>Maintenance, licensing, spares, downtime</w:t>
            </w:r>
          </w:p>
        </w:tc>
      </w:tr>
      <w:tr>
        <w:tc>
          <w:tcPr>
            <w:tcW w:type="dxa" w:w="3600"/>
          </w:tcPr>
          <w:p>
            <w:pPr>
              <w:spacing w:after="0" w:before="0" w:line="240" w:lineRule="auto"/>
              <w:jc w:val="left"/>
            </w:pPr>
            <w:r>
              <w:t>Total-scope comparison</w:t>
            </w:r>
          </w:p>
        </w:tc>
        <w:tc>
          <w:tcPr>
            <w:tcW w:type="dxa" w:w="3600"/>
          </w:tcPr>
          <w:p>
            <w:pPr>
              <w:spacing w:after="0" w:before="0" w:line="240" w:lineRule="auto"/>
              <w:jc w:val="left"/>
            </w:pPr>
            <w:r>
              <w:t>Compare complete delivered solutions</w:t>
            </w:r>
          </w:p>
        </w:tc>
        <w:tc>
          <w:tcPr>
            <w:tcW w:type="dxa" w:w="3600"/>
          </w:tcPr>
          <w:p>
            <w:pPr>
              <w:spacing w:after="0" w:before="0" w:line="240" w:lineRule="auto"/>
              <w:jc w:val="left"/>
            </w:pPr>
            <w:r>
              <w:t>Supply, programming, installation, commissioning</w:t>
            </w:r>
          </w:p>
        </w:tc>
      </w:tr>
      <w:tr>
        <w:tc>
          <w:tcPr>
            <w:tcW w:type="dxa" w:w="3600"/>
          </w:tcPr>
          <w:p>
            <w:pPr>
              <w:spacing w:after="0" w:before="0" w:line="240" w:lineRule="auto"/>
              <w:jc w:val="left"/>
            </w:pPr>
            <w:r>
              <w:t>Historical-price comparison</w:t>
            </w:r>
          </w:p>
        </w:tc>
        <w:tc>
          <w:tcPr>
            <w:tcW w:type="dxa" w:w="3600"/>
          </w:tcPr>
          <w:p>
            <w:pPr>
              <w:spacing w:after="0" w:before="0" w:line="240" w:lineRule="auto"/>
              <w:jc w:val="left"/>
            </w:pPr>
            <w:r>
              <w:t>Compare current quotations with previous purchases</w:t>
            </w:r>
          </w:p>
        </w:tc>
        <w:tc>
          <w:tcPr>
            <w:tcW w:type="dxa" w:w="3600"/>
          </w:tcPr>
          <w:p>
            <w:pPr>
              <w:spacing w:after="0" w:before="0" w:line="240" w:lineRule="auto"/>
              <w:jc w:val="left"/>
            </w:pPr>
            <w:r>
              <w:t>Price changes for recurring PLC modules</w:t>
            </w:r>
          </w:p>
        </w:tc>
      </w:tr>
      <w:tr>
        <w:tc>
          <w:tcPr>
            <w:tcW w:type="dxa" w:w="3600"/>
          </w:tcPr>
          <w:p>
            <w:pPr>
              <w:spacing w:after="0" w:before="0" w:line="240" w:lineRule="auto"/>
              <w:jc w:val="left"/>
            </w:pPr>
            <w:r>
              <w:t>Make-equivalence comparison</w:t>
            </w:r>
          </w:p>
        </w:tc>
        <w:tc>
          <w:tcPr>
            <w:tcW w:type="dxa" w:w="3600"/>
          </w:tcPr>
          <w:p>
            <w:pPr>
              <w:spacing w:after="0" w:before="0" w:line="240" w:lineRule="auto"/>
              <w:jc w:val="left"/>
            </w:pPr>
            <w:r>
              <w:t>Compare alternative manufacturers or platforms</w:t>
            </w:r>
          </w:p>
        </w:tc>
        <w:tc>
          <w:tcPr>
            <w:tcW w:type="dxa" w:w="3600"/>
          </w:tcPr>
          <w:p>
            <w:pPr>
              <w:spacing w:after="0" w:before="0" w:line="240" w:lineRule="auto"/>
              <w:jc w:val="left"/>
            </w:pPr>
            <w:r>
              <w:t>Proposed replacement PLCs with different architectures</w:t>
            </w:r>
          </w:p>
        </w:tc>
      </w:tr>
    </w:tbl>
    <w:p/>
    <w:p>
      <w:r>
        <w:t>Different comparisons answer different questions. A hardware-only comparison cannot establish which turnkey automation solution is best.</w:t>
      </w:r>
    </w:p>
    <w:p>
      <w:pPr>
        <w:pStyle w:val="Heading2"/>
      </w:pPr>
      <w:r>
        <w:t>5. Prepare the comparison basis before comparing prices</w:t>
      </w:r>
    </w:p>
    <w:p>
      <w:r>
        <w:t>Before entering quotation values into a spreadsheet, establish the rules for comparison.</w:t>
      </w:r>
    </w:p>
    <w:p>
      <w:r>
        <w:t>Confirm:</w:t>
      </w:r>
    </w:p>
    <w:p>
      <w:pPr>
        <w:pStyle w:val="ListBullet"/>
      </w:pPr>
      <w:r>
        <w:t>The same RFQ revision was used.</w:t>
      </w:r>
    </w:p>
    <w:p>
      <w:pPr>
        <w:pStyle w:val="ListBullet"/>
      </w:pPr>
      <w:r>
        <w:t>Required quantities and units are consistent.</w:t>
      </w:r>
    </w:p>
    <w:p>
      <w:pPr>
        <w:pStyle w:val="ListBullet"/>
      </w:pPr>
      <w:r>
        <w:t>The scope of supply is clearly defined.</w:t>
      </w:r>
    </w:p>
    <w:p>
      <w:pPr>
        <w:pStyle w:val="ListBullet"/>
      </w:pPr>
      <w:r>
        <w:t>Technical deviations are identified.</w:t>
      </w:r>
    </w:p>
    <w:p>
      <w:pPr>
        <w:pStyle w:val="ListBullet"/>
      </w:pPr>
      <w:r>
        <w:t>Mandatory requirements are addressed.</w:t>
      </w:r>
    </w:p>
    <w:p>
      <w:pPr>
        <w:pStyle w:val="ListBullet"/>
      </w:pPr>
      <w:r>
        <w:t>Delivery terms and locations are comparable.</w:t>
      </w:r>
    </w:p>
    <w:p>
      <w:pPr>
        <w:pStyle w:val="ListBullet"/>
      </w:pPr>
      <w:r>
        <w:t>Taxes and duties are treated consistently.</w:t>
      </w:r>
    </w:p>
    <w:p>
      <w:pPr>
        <w:pStyle w:val="ListBullet"/>
      </w:pPr>
      <w:r>
        <w:t>Freight and packaging are accounted for.</w:t>
      </w:r>
    </w:p>
    <w:p>
      <w:pPr>
        <w:pStyle w:val="ListBullet"/>
      </w:pPr>
      <w:r>
        <w:t>Currency conversion rules are defined where necessary.</w:t>
      </w:r>
    </w:p>
    <w:p>
      <w:pPr>
        <w:pStyle w:val="ListBullet"/>
      </w:pPr>
      <w:r>
        <w:t>Installation and commissioning are included or appropriately adjusted.</w:t>
      </w:r>
    </w:p>
    <w:p>
      <w:pPr>
        <w:pStyle w:val="ListBullet"/>
      </w:pPr>
      <w:r>
        <w:t>Warranty and service differences are visible.</w:t>
      </w:r>
    </w:p>
    <w:p>
      <w:pPr>
        <w:pStyle w:val="ListBullet"/>
      </w:pPr>
      <w:r>
        <w:t>Optional items are separated from mandatory scope.</w:t>
      </w:r>
    </w:p>
    <w:p>
      <w:pPr>
        <w:pStyle w:val="ListBullet"/>
      </w:pPr>
      <w:r>
        <w:t>Evaluation criteria and weightings follow the approved procedure.</w:t>
      </w:r>
    </w:p>
    <w:p>
      <w:r>
        <w:t>A spreadsheet cannot correct an undefined requirement. It can only calculate the consequences of that undefined requirement with impressive arithmetic.</w:t>
      </w:r>
    </w:p>
    <w:p>
      <w:pPr>
        <w:pStyle w:val="Heading2"/>
      </w:pPr>
      <w:r>
        <w:t>6. Structure of a bid comparison statement</w:t>
      </w:r>
    </w:p>
    <w:p>
      <w:r>
        <w:t>A bid comparison statement, often called a comparative statement of quotations, consolidates key information from each supplier's offer.</w:t>
      </w:r>
    </w:p>
    <w:p>
      <w:r>
        <w:t>A useful structure contains: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Section</w:t>
            </w:r>
          </w:p>
        </w:tc>
        <w:tc>
          <w:tcPr>
            <w:tcW w:type="dxa" w:w="5400"/>
            <w:shd w:val="clear" w:color="auto" w:fill="EEF2F7"/>
          </w:tcPr>
          <w:p>
            <w:pPr>
              <w:spacing w:after="0" w:before="0" w:line="240" w:lineRule="auto"/>
              <w:jc w:val="left"/>
            </w:pPr>
            <w:r>
              <w:rPr>
                <w:b/>
                <w:color w:val="1A2E4A"/>
              </w:rPr>
              <w:t>Information</w:t>
            </w:r>
          </w:p>
        </w:tc>
      </w:tr>
      <w:tr>
        <w:tc>
          <w:tcPr>
            <w:tcW w:type="dxa" w:w="5400"/>
          </w:tcPr>
          <w:p>
            <w:pPr>
              <w:spacing w:after="0" w:before="0" w:line="240" w:lineRule="auto"/>
              <w:jc w:val="left"/>
            </w:pPr>
            <w:r>
              <w:t>Header</w:t>
            </w:r>
          </w:p>
        </w:tc>
        <w:tc>
          <w:tcPr>
            <w:tcW w:type="dxa" w:w="5400"/>
          </w:tcPr>
          <w:p>
            <w:pPr>
              <w:spacing w:after="0" w:before="0" w:line="240" w:lineRule="auto"/>
              <w:jc w:val="left"/>
            </w:pPr>
            <w:r>
              <w:t>RFQ number, project, plant, date, revision</w:t>
            </w:r>
          </w:p>
        </w:tc>
      </w:tr>
      <w:tr>
        <w:tc>
          <w:tcPr>
            <w:tcW w:type="dxa" w:w="5400"/>
          </w:tcPr>
          <w:p>
            <w:pPr>
              <w:spacing w:after="0" w:before="0" w:line="240" w:lineRule="auto"/>
              <w:jc w:val="left"/>
            </w:pPr>
            <w:r>
              <w:t>Supplier details</w:t>
            </w:r>
          </w:p>
        </w:tc>
        <w:tc>
          <w:tcPr>
            <w:tcW w:type="dxa" w:w="5400"/>
          </w:tcPr>
          <w:p>
            <w:pPr>
              <w:spacing w:after="0" w:before="0" w:line="240" w:lineRule="auto"/>
              <w:jc w:val="left"/>
            </w:pPr>
            <w:r>
              <w:t>Vendor names, quotation numbers, quotation dates</w:t>
            </w:r>
          </w:p>
        </w:tc>
      </w:tr>
      <w:tr>
        <w:tc>
          <w:tcPr>
            <w:tcW w:type="dxa" w:w="5400"/>
          </w:tcPr>
          <w:p>
            <w:pPr>
              <w:spacing w:after="0" w:before="0" w:line="240" w:lineRule="auto"/>
              <w:jc w:val="left"/>
            </w:pPr>
            <w:r>
              <w:t>Technical status</w:t>
            </w:r>
          </w:p>
        </w:tc>
        <w:tc>
          <w:tcPr>
            <w:tcW w:type="dxa" w:w="5400"/>
          </w:tcPr>
          <w:p>
            <w:pPr>
              <w:spacing w:after="0" w:before="0" w:line="240" w:lineRule="auto"/>
              <w:jc w:val="left"/>
            </w:pPr>
            <w:r>
              <w:t>Compliant, conditionally compliant, or noncompliant</w:t>
            </w:r>
          </w:p>
        </w:tc>
      </w:tr>
      <w:tr>
        <w:tc>
          <w:tcPr>
            <w:tcW w:type="dxa" w:w="5400"/>
          </w:tcPr>
          <w:p>
            <w:pPr>
              <w:spacing w:after="0" w:before="0" w:line="240" w:lineRule="auto"/>
              <w:jc w:val="left"/>
            </w:pPr>
            <w:r>
              <w:t>Scope comparison</w:t>
            </w:r>
          </w:p>
        </w:tc>
        <w:tc>
          <w:tcPr>
            <w:tcW w:type="dxa" w:w="5400"/>
          </w:tcPr>
          <w:p>
            <w:pPr>
              <w:spacing w:after="0" w:before="0" w:line="240" w:lineRule="auto"/>
              <w:jc w:val="left"/>
            </w:pPr>
            <w:r>
              <w:t>Included items, exclusions, alternatives</w:t>
            </w:r>
          </w:p>
        </w:tc>
      </w:tr>
      <w:tr>
        <w:tc>
          <w:tcPr>
            <w:tcW w:type="dxa" w:w="5400"/>
          </w:tcPr>
          <w:p>
            <w:pPr>
              <w:spacing w:after="0" w:before="0" w:line="240" w:lineRule="auto"/>
              <w:jc w:val="left"/>
            </w:pPr>
            <w:r>
              <w:t>Price comparison</w:t>
            </w:r>
          </w:p>
        </w:tc>
        <w:tc>
          <w:tcPr>
            <w:tcW w:type="dxa" w:w="5400"/>
          </w:tcPr>
          <w:p>
            <w:pPr>
              <w:spacing w:after="0" w:before="0" w:line="240" w:lineRule="auto"/>
              <w:jc w:val="left"/>
            </w:pPr>
            <w:r>
              <w:t>Base price, itemized costs, normalized cost</w:t>
            </w:r>
          </w:p>
        </w:tc>
      </w:tr>
      <w:tr>
        <w:tc>
          <w:tcPr>
            <w:tcW w:type="dxa" w:w="5400"/>
          </w:tcPr>
          <w:p>
            <w:pPr>
              <w:spacing w:after="0" w:before="0" w:line="240" w:lineRule="auto"/>
              <w:jc w:val="left"/>
            </w:pPr>
            <w:r>
              <w:t>Delivery comparison</w:t>
            </w:r>
          </w:p>
        </w:tc>
        <w:tc>
          <w:tcPr>
            <w:tcW w:type="dxa" w:w="5400"/>
          </w:tcPr>
          <w:p>
            <w:pPr>
              <w:spacing w:after="0" w:before="0" w:line="240" w:lineRule="auto"/>
              <w:jc w:val="left"/>
            </w:pPr>
            <w:r>
              <w:t>Lead time, delivery commitments, commissioning duration</w:t>
            </w:r>
          </w:p>
        </w:tc>
      </w:tr>
      <w:tr>
        <w:tc>
          <w:tcPr>
            <w:tcW w:type="dxa" w:w="5400"/>
          </w:tcPr>
          <w:p>
            <w:pPr>
              <w:spacing w:after="0" w:before="0" w:line="240" w:lineRule="auto"/>
              <w:jc w:val="left"/>
            </w:pPr>
            <w:r>
              <w:t>Commercial conditions</w:t>
            </w:r>
          </w:p>
        </w:tc>
        <w:tc>
          <w:tcPr>
            <w:tcW w:type="dxa" w:w="5400"/>
          </w:tcPr>
          <w:p>
            <w:pPr>
              <w:spacing w:after="0" w:before="0" w:line="240" w:lineRule="auto"/>
              <w:jc w:val="left"/>
            </w:pPr>
            <w:r>
              <w:t>Warranty, payment terms, quotation validity</w:t>
            </w:r>
          </w:p>
        </w:tc>
      </w:tr>
      <w:tr>
        <w:tc>
          <w:tcPr>
            <w:tcW w:type="dxa" w:w="5400"/>
          </w:tcPr>
          <w:p>
            <w:pPr>
              <w:spacing w:after="0" w:before="0" w:line="240" w:lineRule="auto"/>
              <w:jc w:val="left"/>
            </w:pPr>
            <w:r>
              <w:t>Risk assessment</w:t>
            </w:r>
          </w:p>
        </w:tc>
        <w:tc>
          <w:tcPr>
            <w:tcW w:type="dxa" w:w="5400"/>
          </w:tcPr>
          <w:p>
            <w:pPr>
              <w:spacing w:after="0" w:before="0" w:line="240" w:lineRule="auto"/>
              <w:jc w:val="left"/>
            </w:pPr>
            <w:r>
              <w:t>Major deviations, support risks, lifecycle concerns</w:t>
            </w:r>
          </w:p>
        </w:tc>
      </w:tr>
      <w:tr>
        <w:tc>
          <w:tcPr>
            <w:tcW w:type="dxa" w:w="5400"/>
          </w:tcPr>
          <w:p>
            <w:pPr>
              <w:spacing w:after="0" w:before="0" w:line="240" w:lineRule="auto"/>
              <w:jc w:val="left"/>
            </w:pPr>
            <w:r>
              <w:t>Evaluation result</w:t>
            </w:r>
          </w:p>
        </w:tc>
        <w:tc>
          <w:tcPr>
            <w:tcW w:type="dxa" w:w="5400"/>
          </w:tcPr>
          <w:p>
            <w:pPr>
              <w:spacing w:after="0" w:before="0" w:line="240" w:lineRule="auto"/>
              <w:jc w:val="left"/>
            </w:pPr>
            <w:r>
              <w:t>Eligible offers, ranking under the approved method</w:t>
            </w:r>
          </w:p>
        </w:tc>
      </w:tr>
      <w:tr>
        <w:tc>
          <w:tcPr>
            <w:tcW w:type="dxa" w:w="5400"/>
          </w:tcPr>
          <w:p>
            <w:pPr>
              <w:spacing w:after="0" w:before="0" w:line="240" w:lineRule="auto"/>
              <w:jc w:val="left"/>
            </w:pPr>
            <w:r>
              <w:t>Recommendation</w:t>
            </w:r>
          </w:p>
        </w:tc>
        <w:tc>
          <w:tcPr>
            <w:tcW w:type="dxa" w:w="5400"/>
          </w:tcPr>
          <w:p>
            <w:pPr>
              <w:spacing w:after="0" w:before="0" w:line="240" w:lineRule="auto"/>
              <w:jc w:val="left"/>
            </w:pPr>
            <w:r>
              <w:t>Proposed supplier and documented justification</w:t>
            </w:r>
          </w:p>
        </w:tc>
      </w:tr>
      <w:tr>
        <w:tc>
          <w:tcPr>
            <w:tcW w:type="dxa" w:w="5400"/>
          </w:tcPr>
          <w:p>
            <w:pPr>
              <w:spacing w:after="0" w:before="0" w:line="240" w:lineRule="auto"/>
              <w:jc w:val="left"/>
            </w:pPr>
            <w:r>
              <w:t>Approvals</w:t>
            </w:r>
          </w:p>
        </w:tc>
        <w:tc>
          <w:tcPr>
            <w:tcW w:type="dxa" w:w="5400"/>
          </w:tcPr>
          <w:p>
            <w:pPr>
              <w:spacing w:after="0" w:before="0" w:line="240" w:lineRule="auto"/>
              <w:jc w:val="left"/>
            </w:pPr>
            <w:r>
              <w:t>Reviewers and authorized decision-makers</w:t>
            </w:r>
          </w:p>
        </w:tc>
      </w:tr>
    </w:tbl>
    <w:p/>
    <w:p>
      <w:r>
        <w:t>The comparison statement should reference the original quotations and supporting evaluation records. It should not become the only record of the decision.</w:t>
      </w:r>
    </w:p>
    <w:p>
      <w:pPr>
        <w:pStyle w:val="Heading2"/>
      </w:pPr>
      <w:r>
        <w:t>7. Technical bid comparison</w:t>
      </w:r>
    </w:p>
    <w:p>
      <w:r>
        <w:t>Technical comparison identifies whether suppliers are offering equivalent products or solutions.</w:t>
      </w:r>
    </w:p>
    <w:p>
      <w:r>
        <w:t>For an automation project, compare:</w:t>
      </w:r>
    </w:p>
    <w:p>
      <w:pPr>
        <w:pStyle w:val="ListBullet"/>
      </w:pPr>
      <w:r>
        <w:t>Manufacturer and model.</w:t>
      </w:r>
    </w:p>
    <w:p>
      <w:pPr>
        <w:pStyle w:val="ListBullet"/>
      </w:pPr>
      <w:r>
        <w:t>CPU or controller capabilities.</w:t>
      </w:r>
    </w:p>
    <w:p>
      <w:pPr>
        <w:pStyle w:val="ListBullet"/>
      </w:pPr>
      <w:r>
        <w:t>I/O capacity and types.</w:t>
      </w:r>
    </w:p>
    <w:p>
      <w:pPr>
        <w:pStyle w:val="ListBullet"/>
      </w:pPr>
      <w:r>
        <w:t>Communication protocols.</w:t>
      </w:r>
    </w:p>
    <w:p>
      <w:pPr>
        <w:pStyle w:val="ListBullet"/>
      </w:pPr>
      <w:r>
        <w:t>HMI and drive compatibility.</w:t>
      </w:r>
    </w:p>
    <w:p>
      <w:pPr>
        <w:pStyle w:val="ListBullet"/>
      </w:pPr>
      <w:r>
        <w:t>Network architecture.</w:t>
      </w:r>
    </w:p>
    <w:p>
      <w:pPr>
        <w:pStyle w:val="ListBullet"/>
      </w:pPr>
      <w:r>
        <w:t>Software versions and licensing.</w:t>
      </w:r>
    </w:p>
    <w:p>
      <w:pPr>
        <w:pStyle w:val="ListBullet"/>
      </w:pPr>
      <w:r>
        <w:t>Safety functions.</w:t>
      </w:r>
    </w:p>
    <w:p>
      <w:pPr>
        <w:pStyle w:val="ListBullet"/>
      </w:pPr>
      <w:r>
        <w:t>Performance commitments.</w:t>
      </w:r>
    </w:p>
    <w:p>
      <w:pPr>
        <w:pStyle w:val="ListBullet"/>
      </w:pPr>
      <w:r>
        <w:t>Installation and commissioning scope.</w:t>
      </w:r>
    </w:p>
    <w:p>
      <w:pPr>
        <w:pStyle w:val="ListBullet"/>
      </w:pPr>
      <w:r>
        <w:t>FAT and SAT commitments.</w:t>
      </w:r>
    </w:p>
    <w:p>
      <w:pPr>
        <w:pStyle w:val="ListBullet"/>
      </w:pPr>
      <w:r>
        <w:t>Editable source files and backups.</w:t>
      </w:r>
    </w:p>
    <w:p>
      <w:pPr>
        <w:pStyle w:val="ListBullet"/>
      </w:pPr>
      <w:r>
        <w:t>Drawings, BOM, and other handover deliverables.</w:t>
      </w:r>
    </w:p>
    <w:p>
      <w:pPr>
        <w:pStyle w:val="ListBullet"/>
      </w:pPr>
      <w:r>
        <w:t>Warranty and lifecycle support.</w:t>
      </w:r>
    </w:p>
    <w:p>
      <w:pPr>
        <w:pStyle w:val="Heading3"/>
      </w:pPr>
      <w:r>
        <w:t>Example: PLC retrofit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Technical item</w:t>
            </w:r>
          </w:p>
        </w:tc>
        <w:tc>
          <w:tcPr>
            <w:tcW w:type="dxa" w:w="2700"/>
            <w:shd w:val="clear" w:color="auto" w:fill="EEF2F7"/>
          </w:tcPr>
          <w:p>
            <w:pPr>
              <w:spacing w:after="0" w:before="0" w:line="240" w:lineRule="auto"/>
              <w:jc w:val="left"/>
            </w:pPr>
            <w:r>
              <w:rPr>
                <w:b/>
                <w:color w:val="1A2E4A"/>
              </w:rPr>
              <w:t>Vendor A</w:t>
            </w:r>
          </w:p>
        </w:tc>
        <w:tc>
          <w:tcPr>
            <w:tcW w:type="dxa" w:w="2700"/>
            <w:shd w:val="clear" w:color="auto" w:fill="EEF2F7"/>
          </w:tcPr>
          <w:p>
            <w:pPr>
              <w:spacing w:after="0" w:before="0" w:line="240" w:lineRule="auto"/>
              <w:jc w:val="left"/>
            </w:pPr>
            <w:r>
              <w:rPr>
                <w:b/>
                <w:color w:val="1A2E4A"/>
              </w:rPr>
              <w:t>Vendor B</w:t>
            </w:r>
          </w:p>
        </w:tc>
        <w:tc>
          <w:tcPr>
            <w:tcW w:type="dxa" w:w="2700"/>
            <w:shd w:val="clear" w:color="auto" w:fill="EEF2F7"/>
          </w:tcPr>
          <w:p>
            <w:pPr>
              <w:spacing w:after="0" w:before="0" w:line="240" w:lineRule="auto"/>
              <w:jc w:val="left"/>
            </w:pPr>
            <w:r>
              <w:rPr>
                <w:b/>
                <w:color w:val="1A2E4A"/>
              </w:rPr>
              <w:t>Vendor C</w:t>
            </w:r>
          </w:p>
        </w:tc>
      </w:tr>
      <w:tr>
        <w:tc>
          <w:tcPr>
            <w:tcW w:type="dxa" w:w="2700"/>
          </w:tcPr>
          <w:p>
            <w:pPr>
              <w:spacing w:after="0" w:before="0" w:line="240" w:lineRule="auto"/>
              <w:jc w:val="left"/>
            </w:pPr>
            <w:r>
              <w:t>Proposed PLC</w:t>
            </w:r>
          </w:p>
        </w:tc>
        <w:tc>
          <w:tcPr>
            <w:tcW w:type="dxa" w:w="2700"/>
          </w:tcPr>
          <w:p>
            <w:pPr>
              <w:spacing w:after="0" w:before="0" w:line="240" w:lineRule="auto"/>
              <w:jc w:val="left"/>
            </w:pPr>
            <w:r>
              <w:t>Platform X</w:t>
            </w:r>
          </w:p>
        </w:tc>
        <w:tc>
          <w:tcPr>
            <w:tcW w:type="dxa" w:w="2700"/>
          </w:tcPr>
          <w:p>
            <w:pPr>
              <w:spacing w:after="0" w:before="0" w:line="240" w:lineRule="auto"/>
              <w:jc w:val="left"/>
            </w:pPr>
            <w:r>
              <w:t>Platform X</w:t>
            </w:r>
          </w:p>
        </w:tc>
        <w:tc>
          <w:tcPr>
            <w:tcW w:type="dxa" w:w="2700"/>
          </w:tcPr>
          <w:p>
            <w:pPr>
              <w:spacing w:after="0" w:before="0" w:line="240" w:lineRule="auto"/>
              <w:jc w:val="left"/>
            </w:pPr>
            <w:r>
              <w:t>Platform Y</w:t>
            </w:r>
          </w:p>
        </w:tc>
      </w:tr>
      <w:tr>
        <w:tc>
          <w:tcPr>
            <w:tcW w:type="dxa" w:w="2700"/>
          </w:tcPr>
          <w:p>
            <w:pPr>
              <w:spacing w:after="0" w:before="0" w:line="240" w:lineRule="auto"/>
              <w:jc w:val="left"/>
            </w:pPr>
            <w:r>
              <w:t>Existing I/O compatibility</w:t>
            </w:r>
          </w:p>
        </w:tc>
        <w:tc>
          <w:tcPr>
            <w:tcW w:type="dxa" w:w="2700"/>
          </w:tcPr>
          <w:p>
            <w:pPr>
              <w:spacing w:after="0" w:before="0" w:line="240" w:lineRule="auto"/>
              <w:jc w:val="left"/>
            </w:pPr>
            <w:r>
              <w:t>Compliant</w:t>
            </w:r>
          </w:p>
        </w:tc>
        <w:tc>
          <w:tcPr>
            <w:tcW w:type="dxa" w:w="2700"/>
          </w:tcPr>
          <w:p>
            <w:pPr>
              <w:spacing w:after="0" w:before="0" w:line="240" w:lineRule="auto"/>
              <w:jc w:val="left"/>
            </w:pPr>
            <w:r>
              <w:t>Compliant</w:t>
            </w:r>
          </w:p>
        </w:tc>
        <w:tc>
          <w:tcPr>
            <w:tcW w:type="dxa" w:w="2700"/>
          </w:tcPr>
          <w:p>
            <w:pPr>
              <w:spacing w:after="0" w:before="0" w:line="240" w:lineRule="auto"/>
              <w:jc w:val="left"/>
            </w:pPr>
            <w:r>
              <w:t>Requires assessment</w:t>
            </w:r>
          </w:p>
        </w:tc>
      </w:tr>
      <w:tr>
        <w:tc>
          <w:tcPr>
            <w:tcW w:type="dxa" w:w="2700"/>
          </w:tcPr>
          <w:p>
            <w:pPr>
              <w:spacing w:after="0" w:before="0" w:line="240" w:lineRule="auto"/>
              <w:jc w:val="left"/>
            </w:pPr>
            <w:r>
              <w:t>HMI integration</w:t>
            </w:r>
          </w:p>
        </w:tc>
        <w:tc>
          <w:tcPr>
            <w:tcW w:type="dxa" w:w="2700"/>
          </w:tcPr>
          <w:p>
            <w:pPr>
              <w:spacing w:after="0" w:before="0" w:line="240" w:lineRule="auto"/>
              <w:jc w:val="left"/>
            </w:pPr>
            <w:r>
              <w:t>Included</w:t>
            </w:r>
          </w:p>
        </w:tc>
        <w:tc>
          <w:tcPr>
            <w:tcW w:type="dxa" w:w="2700"/>
          </w:tcPr>
          <w:p>
            <w:pPr>
              <w:spacing w:after="0" w:before="0" w:line="240" w:lineRule="auto"/>
              <w:jc w:val="left"/>
            </w:pPr>
            <w:r>
              <w:t>Included</w:t>
            </w:r>
          </w:p>
        </w:tc>
        <w:tc>
          <w:tcPr>
            <w:tcW w:type="dxa" w:w="2700"/>
          </w:tcPr>
          <w:p>
            <w:pPr>
              <w:spacing w:after="0" w:before="0" w:line="240" w:lineRule="auto"/>
              <w:jc w:val="left"/>
            </w:pPr>
            <w:r>
              <w:t>Additional engineering</w:t>
            </w:r>
          </w:p>
        </w:tc>
      </w:tr>
      <w:tr>
        <w:tc>
          <w:tcPr>
            <w:tcW w:type="dxa" w:w="2700"/>
          </w:tcPr>
          <w:p>
            <w:pPr>
              <w:spacing w:after="0" w:before="0" w:line="240" w:lineRule="auto"/>
              <w:jc w:val="left"/>
            </w:pPr>
            <w:r>
              <w:t>Source-code handover</w:t>
            </w:r>
          </w:p>
        </w:tc>
        <w:tc>
          <w:tcPr>
            <w:tcW w:type="dxa" w:w="2700"/>
          </w:tcPr>
          <w:p>
            <w:pPr>
              <w:spacing w:after="0" w:before="0" w:line="240" w:lineRule="auto"/>
              <w:jc w:val="left"/>
            </w:pPr>
            <w:r>
              <w:t>Included</w:t>
            </w:r>
          </w:p>
        </w:tc>
        <w:tc>
          <w:tcPr>
            <w:tcW w:type="dxa" w:w="2700"/>
          </w:tcPr>
          <w:p>
            <w:pPr>
              <w:spacing w:after="0" w:before="0" w:line="240" w:lineRule="auto"/>
              <w:jc w:val="left"/>
            </w:pPr>
            <w:r>
              <w:t>Included</w:t>
            </w:r>
          </w:p>
        </w:tc>
        <w:tc>
          <w:tcPr>
            <w:tcW w:type="dxa" w:w="2700"/>
          </w:tcPr>
          <w:p>
            <w:pPr>
              <w:spacing w:after="0" w:before="0" w:line="240" w:lineRule="auto"/>
              <w:jc w:val="left"/>
            </w:pPr>
            <w:r>
              <w:t>Included</w:t>
            </w:r>
          </w:p>
        </w:tc>
      </w:tr>
      <w:tr>
        <w:tc>
          <w:tcPr>
            <w:tcW w:type="dxa" w:w="2700"/>
          </w:tcPr>
          <w:p>
            <w:pPr>
              <w:spacing w:after="0" w:before="0" w:line="240" w:lineRule="auto"/>
              <w:jc w:val="left"/>
            </w:pPr>
            <w:r>
              <w:t>Site commissioning</w:t>
            </w:r>
          </w:p>
        </w:tc>
        <w:tc>
          <w:tcPr>
            <w:tcW w:type="dxa" w:w="2700"/>
          </w:tcPr>
          <w:p>
            <w:pPr>
              <w:spacing w:after="0" w:before="0" w:line="240" w:lineRule="auto"/>
              <w:jc w:val="left"/>
            </w:pPr>
            <w:r>
              <w:t>Included</w:t>
            </w:r>
          </w:p>
        </w:tc>
        <w:tc>
          <w:tcPr>
            <w:tcW w:type="dxa" w:w="2700"/>
          </w:tcPr>
          <w:p>
            <w:pPr>
              <w:spacing w:after="0" w:before="0" w:line="240" w:lineRule="auto"/>
              <w:jc w:val="left"/>
            </w:pPr>
            <w:r>
              <w:t>Excluded</w:t>
            </w:r>
          </w:p>
        </w:tc>
        <w:tc>
          <w:tcPr>
            <w:tcW w:type="dxa" w:w="2700"/>
          </w:tcPr>
          <w:p>
            <w:pPr>
              <w:spacing w:after="0" w:before="0" w:line="240" w:lineRule="auto"/>
              <w:jc w:val="left"/>
            </w:pPr>
            <w:r>
              <w:t>Included</w:t>
            </w:r>
          </w:p>
        </w:tc>
      </w:tr>
      <w:tr>
        <w:tc>
          <w:tcPr>
            <w:tcW w:type="dxa" w:w="2700"/>
          </w:tcPr>
          <w:p>
            <w:pPr>
              <w:spacing w:after="0" w:before="0" w:line="240" w:lineRule="auto"/>
              <w:jc w:val="left"/>
            </w:pPr>
            <w:r>
              <w:t>FAT and SAT</w:t>
            </w:r>
          </w:p>
        </w:tc>
        <w:tc>
          <w:tcPr>
            <w:tcW w:type="dxa" w:w="2700"/>
          </w:tcPr>
          <w:p>
            <w:pPr>
              <w:spacing w:after="0" w:before="0" w:line="240" w:lineRule="auto"/>
              <w:jc w:val="left"/>
            </w:pPr>
            <w:r>
              <w:t>Included</w:t>
            </w:r>
          </w:p>
        </w:tc>
        <w:tc>
          <w:tcPr>
            <w:tcW w:type="dxa" w:w="2700"/>
          </w:tcPr>
          <w:p>
            <w:pPr>
              <w:spacing w:after="0" w:before="0" w:line="240" w:lineRule="auto"/>
              <w:jc w:val="left"/>
            </w:pPr>
            <w:r>
              <w:t>FAT only</w:t>
            </w:r>
          </w:p>
        </w:tc>
        <w:tc>
          <w:tcPr>
            <w:tcW w:type="dxa" w:w="2700"/>
          </w:tcPr>
          <w:p>
            <w:pPr>
              <w:spacing w:after="0" w:before="0" w:line="240" w:lineRule="auto"/>
              <w:jc w:val="left"/>
            </w:pPr>
            <w:r>
              <w:t>Included</w:t>
            </w:r>
          </w:p>
        </w:tc>
      </w:tr>
      <w:tr>
        <w:tc>
          <w:tcPr>
            <w:tcW w:type="dxa" w:w="2700"/>
          </w:tcPr>
          <w:p>
            <w:pPr>
              <w:spacing w:after="0" w:before="0" w:line="240" w:lineRule="auto"/>
              <w:jc w:val="left"/>
            </w:pPr>
            <w:r>
              <w:t>Final technical status</w:t>
            </w:r>
          </w:p>
        </w:tc>
        <w:tc>
          <w:tcPr>
            <w:tcW w:type="dxa" w:w="2700"/>
          </w:tcPr>
          <w:p>
            <w:pPr>
              <w:spacing w:after="0" w:before="0" w:line="240" w:lineRule="auto"/>
              <w:jc w:val="left"/>
            </w:pPr>
            <w:r>
              <w:t>Compliant</w:t>
            </w:r>
          </w:p>
        </w:tc>
        <w:tc>
          <w:tcPr>
            <w:tcW w:type="dxa" w:w="2700"/>
          </w:tcPr>
          <w:p>
            <w:pPr>
              <w:spacing w:after="0" w:before="0" w:line="240" w:lineRule="auto"/>
              <w:jc w:val="left"/>
            </w:pPr>
            <w:r>
              <w:t>Deviation</w:t>
            </w:r>
          </w:p>
        </w:tc>
        <w:tc>
          <w:tcPr>
            <w:tcW w:type="dxa" w:w="2700"/>
          </w:tcPr>
          <w:p>
            <w:pPr>
              <w:spacing w:after="0" w:before="0" w:line="240" w:lineRule="auto"/>
              <w:jc w:val="left"/>
            </w:pPr>
            <w:r>
              <w:t>Clarification required</w:t>
            </w:r>
          </w:p>
        </w:tc>
      </w:tr>
    </w:tbl>
    <w:p/>
    <w:p>
      <w:r>
        <w:t>The platform names are illustrative. The actual comparison must use the specific equipment, configurations, and requirements in the submitted bids.</w:t>
      </w:r>
    </w:p>
    <w:p>
      <w:r>
        <w:t>Vendor B's lower price cannot be compared directly with Vendor A's total-scope price until the missing commissioning scope is handled according to the approved evaluation rules.</w:t>
      </w:r>
    </w:p>
    <w:p>
      <w:pPr>
        <w:pStyle w:val="Heading2"/>
      </w:pPr>
      <w:r>
        <w:t>8. Commercial bid comparison</w:t>
      </w:r>
    </w:p>
    <w:p>
      <w:r>
        <w:t>Commercial comparison examines the full cost and purchasing conditions.</w:t>
      </w:r>
    </w:p>
    <w:p>
      <w:r>
        <w:t>Important elements include:</w:t>
      </w:r>
    </w:p>
    <w:p>
      <w:pPr>
        <w:pStyle w:val="ListBullet"/>
      </w:pPr>
      <w:r>
        <w:t>Base equipment price.</w:t>
      </w:r>
    </w:p>
    <w:p>
      <w:pPr>
        <w:pStyle w:val="ListBullet"/>
      </w:pPr>
      <w:r>
        <w:t>Engineering and programming charges.</w:t>
      </w:r>
    </w:p>
    <w:p>
      <w:pPr>
        <w:pStyle w:val="ListBullet"/>
      </w:pPr>
      <w:r>
        <w:t>Panel fabrication or modification.</w:t>
      </w:r>
    </w:p>
    <w:p>
      <w:pPr>
        <w:pStyle w:val="ListBullet"/>
      </w:pPr>
      <w:r>
        <w:t>Installation and commissioning.</w:t>
      </w:r>
    </w:p>
    <w:p>
      <w:pPr>
        <w:pStyle w:val="ListBullet"/>
      </w:pPr>
      <w:r>
        <w:t>Freight, packing, and insurance.</w:t>
      </w:r>
    </w:p>
    <w:p>
      <w:pPr>
        <w:pStyle w:val="ListBullet"/>
      </w:pPr>
      <w:r>
        <w:t>Applicable taxes and duties.</w:t>
      </w:r>
    </w:p>
    <w:p>
      <w:pPr>
        <w:pStyle w:val="ListBullet"/>
      </w:pPr>
      <w:r>
        <w:t>Travel and accommodation.</w:t>
      </w:r>
    </w:p>
    <w:p>
      <w:pPr>
        <w:pStyle w:val="ListBullet"/>
      </w:pPr>
      <w:r>
        <w:t>Software licenses and subscriptions.</w:t>
      </w:r>
    </w:p>
    <w:p>
      <w:pPr>
        <w:pStyle w:val="ListBullet"/>
      </w:pPr>
      <w:r>
        <w:t>Training.</w:t>
      </w:r>
    </w:p>
    <w:p>
      <w:pPr>
        <w:pStyle w:val="ListBullet"/>
      </w:pPr>
      <w:r>
        <w:t>Spare parts.</w:t>
      </w:r>
    </w:p>
    <w:p>
      <w:pPr>
        <w:pStyle w:val="ListBullet"/>
      </w:pPr>
      <w:r>
        <w:t>Warranty and support.</w:t>
      </w:r>
    </w:p>
    <w:p>
      <w:pPr>
        <w:pStyle w:val="ListBullet"/>
      </w:pPr>
      <w:r>
        <w:t>Payment milestones.</w:t>
      </w:r>
    </w:p>
    <w:p>
      <w:pPr>
        <w:pStyle w:val="ListBullet"/>
      </w:pPr>
      <w:r>
        <w:t>Price validity and escalation clauses.</w:t>
      </w:r>
    </w:p>
    <w:p>
      <w:pPr>
        <w:pStyle w:val="ListBullet"/>
      </w:pPr>
      <w:r>
        <w:t>Optional items and exclusions.</w:t>
      </w:r>
    </w:p>
    <w:p>
      <w:r>
        <w:t>For every quotation, distinguish between costs already included in the quoted price and costs that must be added for comparison. This prevents double-counting.</w:t>
      </w:r>
    </w:p>
    <w:p>
      <w:pPr>
        <w:pStyle w:val="Heading2"/>
      </w:pPr>
      <w:r>
        <w:t>9. Price normalization</w:t>
      </w:r>
    </w:p>
    <w:p>
      <w:r>
        <w:t>Price normalization adjusts quotations to a common evaluation basis by accounting for relevant differences in scope and commercial conditions.</w:t>
      </w:r>
    </w:p>
    <w:p>
      <w:r>
        <w:t>A general model is:</w:t>
      </w:r>
    </w:p>
    <w:p>
      <w:pPr>
        <w:spacing w:before="120" w:after="160"/>
        <w:jc w:val="center"/>
      </w:pPr>
      <m:oMathPara>
        <m:oMath>
          <m:sSub>
            <m:e>
              <m:r>
                <m:t>C</m:t>
              </m:r>
            </m:e>
            <m:sub>
              <m:r>
                <m:t>N</m:t>
              </m:r>
            </m:sub>
          </m:sSub>
          <m:r>
            <m:t>=</m:t>
          </m:r>
          <m:sSub>
            <m:e>
              <m:r>
                <m:t>C</m:t>
              </m:r>
            </m:e>
            <m:sub>
              <m:r>
                <m:t>Q</m:t>
              </m:r>
            </m:sub>
          </m:sSub>
          <m:r>
            <m:t>+</m:t>
          </m:r>
          <m:sSub>
            <m:e>
              <m:r>
                <m:t>C</m:t>
              </m:r>
            </m:e>
            <m:sub>
              <m:r>
                <m:t>M</m:t>
              </m:r>
            </m:sub>
          </m:sSub>
          <m:r>
            <m:t>+</m:t>
          </m:r>
          <m:sSub>
            <m:e>
              <m:r>
                <m:t>C</m:t>
              </m:r>
            </m:e>
            <m:sub>
              <m:r>
                <m:t>I</m:t>
              </m:r>
            </m:sub>
          </m:sSub>
          <m:r>
            <m:t>+</m:t>
          </m:r>
          <m:sSub>
            <m:e>
              <m:r>
                <m:t>C</m:t>
              </m:r>
            </m:e>
            <m:sub>
              <m:r>
                <m:t>D</m:t>
              </m:r>
            </m:sub>
          </m:sSub>
          <m:r>
            <m:t>+</m:t>
          </m:r>
          <m:sSub>
            <m:e>
              <m:r>
                <m:t>C</m:t>
              </m:r>
            </m:e>
            <m:sub>
              <m:r>
                <m:t>O</m:t>
              </m:r>
            </m:sub>
          </m:sSub>
        </m:oMath>
      </m:oMathPara>
    </w:p>
    <w:p>
      <w:r>
        <w:t>Where:</w:t>
      </w:r>
    </w:p>
    <w:p>
      <w:pPr>
        <w:pStyle w:val="ListBullet"/>
      </w:pPr>
      <m:oMath>
        <m:sSub>
          <m:e>
            <m:r>
              <m:t>C</m:t>
            </m:r>
          </m:e>
          <m:sub>
            <m:r>
              <m:t>N</m:t>
            </m:r>
          </m:sub>
        </m:sSub>
      </m:oMath>
      <w:r>
        <w:t xml:space="preserve"> is the normalized evaluated cost.</w:t>
      </w:r>
    </w:p>
    <w:p>
      <w:pPr>
        <w:pStyle w:val="ListBullet"/>
      </w:pPr>
      <m:oMath>
        <m:sSub>
          <m:e>
            <m:r>
              <m:t>C</m:t>
            </m:r>
          </m:e>
          <m:sub>
            <m:r>
              <m:t>Q</m:t>
            </m:r>
          </m:sub>
        </m:sSub>
      </m:oMath>
      <w:r>
        <w:t xml:space="preserve"> is the quoted cost for the required scope.</w:t>
      </w:r>
    </w:p>
    <w:p>
      <w:pPr>
        <w:pStyle w:val="ListBullet"/>
      </w:pPr>
      <m:oMath>
        <m:sSub>
          <m:e>
            <m:r>
              <m:t>C</m:t>
            </m:r>
          </m:e>
          <m:sub>
            <m:r>
              <m:t>M</m:t>
            </m:r>
          </m:sub>
        </m:sSub>
      </m:oMath>
      <w:r>
        <w:t xml:space="preserve"> is the cost of missing mandatory items.</w:t>
      </w:r>
    </w:p>
    <w:p>
      <w:pPr>
        <w:pStyle w:val="ListBullet"/>
      </w:pPr>
      <m:oMath>
        <m:sSub>
          <m:e>
            <m:r>
              <m:t>C</m:t>
            </m:r>
          </m:e>
          <m:sub>
            <m:r>
              <m:t>I</m:t>
            </m:r>
          </m:sub>
        </m:sSub>
      </m:oMath>
      <w:r>
        <w:t xml:space="preserve"> is the cost of required installation and commissioning not already included.</w:t>
      </w:r>
    </w:p>
    <w:p>
      <w:pPr>
        <w:pStyle w:val="ListBullet"/>
      </w:pPr>
      <m:oMath>
        <m:sSub>
          <m:e>
            <m:r>
              <m:t>C</m:t>
            </m:r>
          </m:e>
          <m:sub>
            <m:r>
              <m:t>D</m:t>
            </m:r>
          </m:sub>
        </m:sSub>
      </m:oMath>
      <w:r>
        <w:t xml:space="preserve"> is the applicable delivery and logistics adjustment.</w:t>
      </w:r>
    </w:p>
    <w:p>
      <w:pPr>
        <w:pStyle w:val="ListBullet"/>
      </w:pPr>
      <m:oMath>
        <m:sSub>
          <m:e>
            <m:r>
              <m:t>C</m:t>
            </m:r>
          </m:e>
          <m:sub>
            <m:r>
              <m:t>O</m:t>
            </m:r>
          </m:sub>
        </m:sSub>
      </m:oMath>
      <w:r>
        <w:t xml:space="preserve"> is other approved evaluation adjustments.</w:t>
      </w:r>
    </w:p>
    <w:p>
      <w:r>
        <w:t xml:space="preserve">The formula is conceptual. The actual calculation must define the treatment of taxes, duties, currency, discounts, warranty, and all relevant costs. If an item is already included in </w:t>
      </w:r>
      <m:oMath>
        <m:sSub>
          <m:e>
            <m:r>
              <m:t>C</m:t>
            </m:r>
          </m:e>
          <m:sub>
            <m:r>
              <m:t>Q</m:t>
            </m:r>
          </m:sub>
        </m:sSub>
      </m:oMath>
      <w:r>
        <w:t>, it must not be added again.</w:t>
      </w:r>
    </w:p>
    <w:p>
      <w:pPr>
        <w:pStyle w:val="Heading3"/>
      </w:pPr>
      <w:r>
        <w:t>Worked example</w:t>
      </w:r>
    </w:p>
    <w:p>
      <w:r>
        <w:t>Suppose three vendors quote for a PLC retrofit.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Cost component</w:t>
            </w:r>
          </w:p>
        </w:tc>
        <w:tc>
          <w:tcPr>
            <w:tcW w:type="dxa" w:w="2700"/>
            <w:shd w:val="clear" w:color="auto" w:fill="EEF2F7"/>
          </w:tcPr>
          <w:p>
            <w:pPr>
              <w:spacing w:after="0" w:before="0" w:line="240" w:lineRule="auto"/>
              <w:jc w:val="left"/>
            </w:pPr>
            <w:r>
              <w:rPr>
                <w:b/>
                <w:color w:val="1A2E4A"/>
              </w:rPr>
              <w:t>Vendor A</w:t>
            </w:r>
          </w:p>
        </w:tc>
        <w:tc>
          <w:tcPr>
            <w:tcW w:type="dxa" w:w="2700"/>
            <w:shd w:val="clear" w:color="auto" w:fill="EEF2F7"/>
          </w:tcPr>
          <w:p>
            <w:pPr>
              <w:spacing w:after="0" w:before="0" w:line="240" w:lineRule="auto"/>
              <w:jc w:val="left"/>
            </w:pPr>
            <w:r>
              <w:rPr>
                <w:b/>
                <w:color w:val="1A2E4A"/>
              </w:rPr>
              <w:t>Vendor B</w:t>
            </w:r>
          </w:p>
        </w:tc>
        <w:tc>
          <w:tcPr>
            <w:tcW w:type="dxa" w:w="2700"/>
            <w:shd w:val="clear" w:color="auto" w:fill="EEF2F7"/>
          </w:tcPr>
          <w:p>
            <w:pPr>
              <w:spacing w:after="0" w:before="0" w:line="240" w:lineRule="auto"/>
              <w:jc w:val="left"/>
            </w:pPr>
            <w:r>
              <w:rPr>
                <w:b/>
                <w:color w:val="1A2E4A"/>
              </w:rPr>
              <w:t>Vendor C</w:t>
            </w:r>
          </w:p>
        </w:tc>
      </w:tr>
      <w:tr>
        <w:tc>
          <w:tcPr>
            <w:tcW w:type="dxa" w:w="2700"/>
          </w:tcPr>
          <w:p>
            <w:pPr>
              <w:spacing w:after="0" w:before="0" w:line="240" w:lineRule="auto"/>
              <w:jc w:val="left"/>
            </w:pPr>
            <w:r>
              <w:t>Hardware</w:t>
            </w:r>
          </w:p>
        </w:tc>
        <w:tc>
          <w:tcPr>
            <w:tcW w:type="dxa" w:w="2700"/>
          </w:tcPr>
          <w:p>
            <w:pPr>
              <w:spacing w:after="0" w:before="0" w:line="240" w:lineRule="auto"/>
              <w:jc w:val="left"/>
            </w:pPr>
            <w:r>
              <w:t>400000</w:t>
            </w:r>
          </w:p>
        </w:tc>
        <w:tc>
          <w:tcPr>
            <w:tcW w:type="dxa" w:w="2700"/>
          </w:tcPr>
          <w:p>
            <w:pPr>
              <w:spacing w:after="0" w:before="0" w:line="240" w:lineRule="auto"/>
              <w:jc w:val="left"/>
            </w:pPr>
            <w:r>
              <w:t>360000</w:t>
            </w:r>
          </w:p>
        </w:tc>
        <w:tc>
          <w:tcPr>
            <w:tcW w:type="dxa" w:w="2700"/>
          </w:tcPr>
          <w:p>
            <w:pPr>
              <w:spacing w:after="0" w:before="0" w:line="240" w:lineRule="auto"/>
              <w:jc w:val="left"/>
            </w:pPr>
            <w:r>
              <w:t>390000</w:t>
            </w:r>
          </w:p>
        </w:tc>
      </w:tr>
      <w:tr>
        <w:tc>
          <w:tcPr>
            <w:tcW w:type="dxa" w:w="2700"/>
          </w:tcPr>
          <w:p>
            <w:pPr>
              <w:spacing w:after="0" w:before="0" w:line="240" w:lineRule="auto"/>
              <w:jc w:val="left"/>
            </w:pPr>
            <w:r>
              <w:t>Engineering</w:t>
            </w:r>
          </w:p>
        </w:tc>
        <w:tc>
          <w:tcPr>
            <w:tcW w:type="dxa" w:w="2700"/>
          </w:tcPr>
          <w:p>
            <w:pPr>
              <w:spacing w:after="0" w:before="0" w:line="240" w:lineRule="auto"/>
              <w:jc w:val="left"/>
            </w:pPr>
            <w:r>
              <w:t>80000</w:t>
            </w:r>
          </w:p>
        </w:tc>
        <w:tc>
          <w:tcPr>
            <w:tcW w:type="dxa" w:w="2700"/>
          </w:tcPr>
          <w:p>
            <w:pPr>
              <w:spacing w:after="0" w:before="0" w:line="240" w:lineRule="auto"/>
              <w:jc w:val="left"/>
            </w:pPr>
            <w:r>
              <w:t>100000</w:t>
            </w:r>
          </w:p>
        </w:tc>
        <w:tc>
          <w:tcPr>
            <w:tcW w:type="dxa" w:w="2700"/>
          </w:tcPr>
          <w:p>
            <w:pPr>
              <w:spacing w:after="0" w:before="0" w:line="240" w:lineRule="auto"/>
              <w:jc w:val="left"/>
            </w:pPr>
            <w:r>
              <w:t>70000</w:t>
            </w:r>
          </w:p>
        </w:tc>
      </w:tr>
      <w:tr>
        <w:tc>
          <w:tcPr>
            <w:tcW w:type="dxa" w:w="2700"/>
          </w:tcPr>
          <w:p>
            <w:pPr>
              <w:spacing w:after="0" w:before="0" w:line="240" w:lineRule="auto"/>
              <w:jc w:val="left"/>
            </w:pPr>
            <w:r>
              <w:t>Installation and commissioning</w:t>
            </w:r>
          </w:p>
        </w:tc>
        <w:tc>
          <w:tcPr>
            <w:tcW w:type="dxa" w:w="2700"/>
          </w:tcPr>
          <w:p>
            <w:pPr>
              <w:spacing w:after="0" w:before="0" w:line="240" w:lineRule="auto"/>
              <w:jc w:val="left"/>
            </w:pPr>
            <w:r>
              <w:t>40000</w:t>
            </w:r>
          </w:p>
        </w:tc>
        <w:tc>
          <w:tcPr>
            <w:tcW w:type="dxa" w:w="2700"/>
          </w:tcPr>
          <w:p>
            <w:pPr>
              <w:spacing w:after="0" w:before="0" w:line="240" w:lineRule="auto"/>
              <w:jc w:val="left"/>
            </w:pPr>
            <w:r>
              <w:t>Excluded</w:t>
            </w:r>
          </w:p>
        </w:tc>
        <w:tc>
          <w:tcPr>
            <w:tcW w:type="dxa" w:w="2700"/>
          </w:tcPr>
          <w:p>
            <w:pPr>
              <w:spacing w:after="0" w:before="0" w:line="240" w:lineRule="auto"/>
              <w:jc w:val="left"/>
            </w:pPr>
            <w:r>
              <w:t>50000</w:t>
            </w:r>
          </w:p>
        </w:tc>
      </w:tr>
      <w:tr>
        <w:tc>
          <w:tcPr>
            <w:tcW w:type="dxa" w:w="2700"/>
          </w:tcPr>
          <w:p>
            <w:pPr>
              <w:spacing w:after="0" w:before="0" w:line="240" w:lineRule="auto"/>
              <w:jc w:val="left"/>
            </w:pPr>
            <w:r>
              <w:t>Freight and packaging</w:t>
            </w:r>
          </w:p>
        </w:tc>
        <w:tc>
          <w:tcPr>
            <w:tcW w:type="dxa" w:w="2700"/>
          </w:tcPr>
          <w:p>
            <w:pPr>
              <w:spacing w:after="0" w:before="0" w:line="240" w:lineRule="auto"/>
              <w:jc w:val="left"/>
            </w:pPr>
            <w:r>
              <w:t>10000</w:t>
            </w:r>
          </w:p>
        </w:tc>
        <w:tc>
          <w:tcPr>
            <w:tcW w:type="dxa" w:w="2700"/>
          </w:tcPr>
          <w:p>
            <w:pPr>
              <w:spacing w:after="0" w:before="0" w:line="240" w:lineRule="auto"/>
              <w:jc w:val="left"/>
            </w:pPr>
            <w:r>
              <w:t>15000</w:t>
            </w:r>
          </w:p>
        </w:tc>
        <w:tc>
          <w:tcPr>
            <w:tcW w:type="dxa" w:w="2700"/>
          </w:tcPr>
          <w:p>
            <w:pPr>
              <w:spacing w:after="0" w:before="0" w:line="240" w:lineRule="auto"/>
              <w:jc w:val="left"/>
            </w:pPr>
            <w:r>
              <w:t>Included</w:t>
            </w:r>
          </w:p>
        </w:tc>
      </w:tr>
      <w:tr>
        <w:tc>
          <w:tcPr>
            <w:tcW w:type="dxa" w:w="2700"/>
          </w:tcPr>
          <w:p>
            <w:pPr>
              <w:spacing w:after="0" w:before="0" w:line="240" w:lineRule="auto"/>
              <w:jc w:val="left"/>
            </w:pPr>
            <w:r>
              <w:t>Quoted subtotal</w:t>
            </w:r>
          </w:p>
        </w:tc>
        <w:tc>
          <w:tcPr>
            <w:tcW w:type="dxa" w:w="2700"/>
          </w:tcPr>
          <w:p>
            <w:pPr>
              <w:spacing w:after="0" w:before="0" w:line="240" w:lineRule="auto"/>
              <w:jc w:val="left"/>
            </w:pPr>
            <w:r>
              <w:t>530000</w:t>
            </w:r>
          </w:p>
        </w:tc>
        <w:tc>
          <w:tcPr>
            <w:tcW w:type="dxa" w:w="2700"/>
          </w:tcPr>
          <w:p>
            <w:pPr>
              <w:spacing w:after="0" w:before="0" w:line="240" w:lineRule="auto"/>
              <w:jc w:val="left"/>
            </w:pPr>
            <w:r>
              <w:t>475000</w:t>
            </w:r>
          </w:p>
        </w:tc>
        <w:tc>
          <w:tcPr>
            <w:tcW w:type="dxa" w:w="2700"/>
          </w:tcPr>
          <w:p>
            <w:pPr>
              <w:spacing w:after="0" w:before="0" w:line="240" w:lineRule="auto"/>
              <w:jc w:val="left"/>
            </w:pPr>
            <w:r>
              <w:t>510000</w:t>
            </w:r>
          </w:p>
        </w:tc>
      </w:tr>
    </w:tbl>
    <w:p/>
    <w:p>
      <w:r>
        <w:t>All amounts are illustrative and expressed in Indian rupees. Taxes and other unspecified costs are excluded.</w:t>
      </w:r>
    </w:p>
    <w:p>
      <w:r>
        <w:t>Assume Vendor B requires a documented, approved evaluation allowance of ₹45,000 for installation and commissioning. The normalized comparison becomes: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Vendor</w:t>
            </w:r>
          </w:p>
        </w:tc>
        <w:tc>
          <w:tcPr>
            <w:tcW w:type="dxa" w:w="2700"/>
            <w:shd w:val="clear" w:color="auto" w:fill="EEF2F7"/>
          </w:tcPr>
          <w:p>
            <w:pPr>
              <w:spacing w:after="0" w:before="0" w:line="240" w:lineRule="auto"/>
              <w:jc w:val="left"/>
            </w:pPr>
            <w:r>
              <w:rPr>
                <w:b/>
                <w:color w:val="1A2E4A"/>
              </w:rPr>
              <w:t>Quoted subtotal</w:t>
            </w:r>
          </w:p>
        </w:tc>
        <w:tc>
          <w:tcPr>
            <w:tcW w:type="dxa" w:w="2700"/>
            <w:shd w:val="clear" w:color="auto" w:fill="EEF2F7"/>
          </w:tcPr>
          <w:p>
            <w:pPr>
              <w:spacing w:after="0" w:before="0" w:line="240" w:lineRule="auto"/>
              <w:jc w:val="left"/>
            </w:pPr>
            <w:r>
              <w:rPr>
                <w:b/>
                <w:color w:val="1A2E4A"/>
              </w:rPr>
              <w:t>Evaluation adjustment</w:t>
            </w:r>
          </w:p>
        </w:tc>
        <w:tc>
          <w:tcPr>
            <w:tcW w:type="dxa" w:w="2700"/>
            <w:shd w:val="clear" w:color="auto" w:fill="EEF2F7"/>
          </w:tcPr>
          <w:p>
            <w:pPr>
              <w:spacing w:after="0" w:before="0" w:line="240" w:lineRule="auto"/>
              <w:jc w:val="left"/>
            </w:pPr>
            <w:r>
              <w:rPr>
                <w:b/>
                <w:color w:val="1A2E4A"/>
              </w:rPr>
              <w:t>Normalized subtotal</w:t>
            </w:r>
          </w:p>
        </w:tc>
      </w:tr>
      <w:tr>
        <w:tc>
          <w:tcPr>
            <w:tcW w:type="dxa" w:w="2700"/>
          </w:tcPr>
          <w:p>
            <w:pPr>
              <w:spacing w:after="0" w:before="0" w:line="240" w:lineRule="auto"/>
              <w:jc w:val="left"/>
            </w:pPr>
            <w:r>
              <w:t>A</w:t>
            </w:r>
          </w:p>
        </w:tc>
        <w:tc>
          <w:tcPr>
            <w:tcW w:type="dxa" w:w="2700"/>
          </w:tcPr>
          <w:p>
            <w:pPr>
              <w:spacing w:after="0" w:before="0" w:line="240" w:lineRule="auto"/>
              <w:jc w:val="left"/>
            </w:pPr>
            <w:r>
              <w:t>530000</w:t>
            </w:r>
          </w:p>
        </w:tc>
        <w:tc>
          <w:tcPr>
            <w:tcW w:type="dxa" w:w="2700"/>
          </w:tcPr>
          <w:p>
            <w:pPr>
              <w:spacing w:after="0" w:before="0" w:line="240" w:lineRule="auto"/>
              <w:jc w:val="left"/>
            </w:pPr>
            <w:r>
              <w:t>0</w:t>
            </w:r>
          </w:p>
        </w:tc>
        <w:tc>
          <w:tcPr>
            <w:tcW w:type="dxa" w:w="2700"/>
          </w:tcPr>
          <w:p>
            <w:pPr>
              <w:spacing w:after="0" w:before="0" w:line="240" w:lineRule="auto"/>
              <w:jc w:val="left"/>
            </w:pPr>
            <w:r>
              <w:t>530000</w:t>
            </w:r>
          </w:p>
        </w:tc>
      </w:tr>
      <w:tr>
        <w:tc>
          <w:tcPr>
            <w:tcW w:type="dxa" w:w="2700"/>
          </w:tcPr>
          <w:p>
            <w:pPr>
              <w:spacing w:after="0" w:before="0" w:line="240" w:lineRule="auto"/>
              <w:jc w:val="left"/>
            </w:pPr>
            <w:r>
              <w:t>B</w:t>
            </w:r>
          </w:p>
        </w:tc>
        <w:tc>
          <w:tcPr>
            <w:tcW w:type="dxa" w:w="2700"/>
          </w:tcPr>
          <w:p>
            <w:pPr>
              <w:spacing w:after="0" w:before="0" w:line="240" w:lineRule="auto"/>
              <w:jc w:val="left"/>
            </w:pPr>
            <w:r>
              <w:t>475000</w:t>
            </w:r>
          </w:p>
        </w:tc>
        <w:tc>
          <w:tcPr>
            <w:tcW w:type="dxa" w:w="2700"/>
          </w:tcPr>
          <w:p>
            <w:pPr>
              <w:spacing w:after="0" w:before="0" w:line="240" w:lineRule="auto"/>
              <w:jc w:val="left"/>
            </w:pPr>
            <w:r>
              <w:t>45000</w:t>
            </w:r>
          </w:p>
        </w:tc>
        <w:tc>
          <w:tcPr>
            <w:tcW w:type="dxa" w:w="2700"/>
          </w:tcPr>
          <w:p>
            <w:pPr>
              <w:spacing w:after="0" w:before="0" w:line="240" w:lineRule="auto"/>
              <w:jc w:val="left"/>
            </w:pPr>
            <w:r>
              <w:t>520000</w:t>
            </w:r>
          </w:p>
        </w:tc>
      </w:tr>
      <w:tr>
        <w:tc>
          <w:tcPr>
            <w:tcW w:type="dxa" w:w="2700"/>
          </w:tcPr>
          <w:p>
            <w:pPr>
              <w:spacing w:after="0" w:before="0" w:line="240" w:lineRule="auto"/>
              <w:jc w:val="left"/>
            </w:pPr>
            <w:r>
              <w:t>C</w:t>
            </w:r>
          </w:p>
        </w:tc>
        <w:tc>
          <w:tcPr>
            <w:tcW w:type="dxa" w:w="2700"/>
          </w:tcPr>
          <w:p>
            <w:pPr>
              <w:spacing w:after="0" w:before="0" w:line="240" w:lineRule="auto"/>
              <w:jc w:val="left"/>
            </w:pPr>
            <w:r>
              <w:t>510000</w:t>
            </w:r>
          </w:p>
        </w:tc>
        <w:tc>
          <w:tcPr>
            <w:tcW w:type="dxa" w:w="2700"/>
          </w:tcPr>
          <w:p>
            <w:pPr>
              <w:spacing w:after="0" w:before="0" w:line="240" w:lineRule="auto"/>
              <w:jc w:val="left"/>
            </w:pPr>
            <w:r>
              <w:t>0</w:t>
            </w:r>
          </w:p>
        </w:tc>
        <w:tc>
          <w:tcPr>
            <w:tcW w:type="dxa" w:w="2700"/>
          </w:tcPr>
          <w:p>
            <w:pPr>
              <w:spacing w:after="0" w:before="0" w:line="240" w:lineRule="auto"/>
              <w:jc w:val="left"/>
            </w:pPr>
            <w:r>
              <w:t>510000</w:t>
            </w:r>
          </w:p>
        </w:tc>
      </w:tr>
    </w:tbl>
    <w:p/>
    <w:p>
      <w:r>
        <w:t>Vendor C has the lowest normalized subtotal, assuming its included freight covers the required delivery scope and no other adjustments are needed.</w:t>
      </w:r>
    </w:p>
    <w:p>
      <w:r>
        <w:t>This does not automatically establish Vendor C as the preferred supplier. Technical compliance, warranty, delivery, support, and all other required evaluation criteria still matter.</w:t>
      </w:r>
    </w:p>
    <w:p>
      <w:r>
        <w:t>An evaluation allowance is not necessarily the final contract price. Use only adjustments permitted by procurement policy and supported by a defensible basis.</w:t>
      </w:r>
    </w:p>
    <w:p>
      <w:pPr>
        <w:pStyle w:val="Heading2"/>
      </w:pPr>
      <w:r>
        <w:t>10. Taxes, duties, freight, and currency</w:t>
      </w:r>
    </w:p>
    <w:p>
      <w:r>
        <w:t>Commercial comparisons become unreliable when quotations use different cost conventions.</w:t>
      </w:r>
    </w:p>
    <w:p>
      <w:pPr>
        <w:pStyle w:val="Heading3"/>
      </w:pPr>
      <w:r>
        <w:t>Taxes and duties</w:t>
      </w:r>
    </w:p>
    <w:p>
      <w:r>
        <w:t>Determine whether prices are quoted:</w:t>
      </w:r>
    </w:p>
    <w:p>
      <w:pPr>
        <w:pStyle w:val="ListBullet"/>
      </w:pPr>
      <w:r>
        <w:t>Before applicable taxes.</w:t>
      </w:r>
    </w:p>
    <w:p>
      <w:pPr>
        <w:pStyle w:val="ListBullet"/>
      </w:pPr>
      <w:r>
        <w:t>Inclusive of applicable taxes.</w:t>
      </w:r>
    </w:p>
    <w:p>
      <w:pPr>
        <w:pStyle w:val="ListBullet"/>
      </w:pPr>
      <w:r>
        <w:t>With taxes shown separately.</w:t>
      </w:r>
    </w:p>
    <w:p>
      <w:pPr>
        <w:pStyle w:val="ListBullet"/>
      </w:pPr>
      <w:r>
        <w:t>With import duties or other charges included or excluded.</w:t>
      </w:r>
    </w:p>
    <w:p>
      <w:r>
        <w:t>The comparison must apply the organization's prescribed evaluation basis. Tax treatment should not be assumed identical across all purchases or supplier locations.</w:t>
      </w:r>
    </w:p>
    <w:p>
      <w:pPr>
        <w:pStyle w:val="Heading3"/>
      </w:pPr>
      <w:r>
        <w:t>Freight and delivery</w:t>
      </w:r>
    </w:p>
    <w:p>
      <w:r>
        <w:t>Check whether each quotation includes:</w:t>
      </w:r>
    </w:p>
    <w:p>
      <w:pPr>
        <w:pStyle w:val="ListBullet"/>
      </w:pPr>
      <w:r>
        <w:t>Packing.</w:t>
      </w:r>
    </w:p>
    <w:p>
      <w:pPr>
        <w:pStyle w:val="ListBullet"/>
      </w:pPr>
      <w:r>
        <w:t>Transportation.</w:t>
      </w:r>
    </w:p>
    <w:p>
      <w:pPr>
        <w:pStyle w:val="ListBullet"/>
      </w:pPr>
      <w:r>
        <w:t>Transit insurance.</w:t>
      </w:r>
    </w:p>
    <w:p>
      <w:pPr>
        <w:pStyle w:val="ListBullet"/>
      </w:pPr>
      <w:r>
        <w:t>Unloading.</w:t>
      </w:r>
    </w:p>
    <w:p>
      <w:pPr>
        <w:pStyle w:val="ListBullet"/>
      </w:pPr>
      <w:r>
        <w:t>Delivery to the required plant.</w:t>
      </w:r>
    </w:p>
    <w:p>
      <w:pPr>
        <w:pStyle w:val="ListBullet"/>
      </w:pPr>
      <w:r>
        <w:t>Special handling.</w:t>
      </w:r>
    </w:p>
    <w:p>
      <w:pPr>
        <w:pStyle w:val="ListBullet"/>
      </w:pPr>
      <w:r>
        <w:t>Import or customs-related charges, where applicable.</w:t>
      </w:r>
    </w:p>
    <w:p>
      <w:r>
        <w:t>Delivery terms should clearly identify the agreed point of delivery and the responsibilities of each party.</w:t>
      </w:r>
    </w:p>
    <w:p>
      <w:pPr>
        <w:pStyle w:val="Heading3"/>
      </w:pPr>
      <w:r>
        <w:t>Currency conversion</w:t>
      </w:r>
    </w:p>
    <w:p>
      <w:r>
        <w:t>If bids are submitted in different currencies, use the approved exchange-rate source and reference date.</w:t>
      </w:r>
    </w:p>
    <w:p>
      <w:r>
        <w:t>Document:</w:t>
      </w:r>
    </w:p>
    <w:p>
      <w:pPr>
        <w:pStyle w:val="ListBullet"/>
      </w:pPr>
      <w:r>
        <w:t>Original currency.</w:t>
      </w:r>
    </w:p>
    <w:p>
      <w:pPr>
        <w:pStyle w:val="ListBullet"/>
      </w:pPr>
      <w:r>
        <w:t>Original quoted amount.</w:t>
      </w:r>
    </w:p>
    <w:p>
      <w:pPr>
        <w:pStyle w:val="ListBullet"/>
      </w:pPr>
      <w:r>
        <w:t>Exchange-rate source.</w:t>
      </w:r>
    </w:p>
    <w:p>
      <w:pPr>
        <w:pStyle w:val="ListBullet"/>
      </w:pPr>
      <w:r>
        <w:t>Applicable conversion date.</w:t>
      </w:r>
    </w:p>
    <w:p>
      <w:pPr>
        <w:pStyle w:val="ListBullet"/>
      </w:pPr>
      <w:r>
        <w:t>Converted value.</w:t>
      </w:r>
    </w:p>
    <w:p>
      <w:pPr>
        <w:pStyle w:val="ListBullet"/>
      </w:pPr>
      <w:r>
        <w:t>Treatment of currency risk.</w:t>
      </w:r>
    </w:p>
    <w:p>
      <w:r>
        <w:t>Do not select a favorable exchange rate independently for each supplier. The method must be consistent with the procurement rules.</w:t>
      </w:r>
    </w:p>
    <w:p>
      <w:pPr>
        <w:pStyle w:val="Heading2"/>
      </w:pPr>
      <w:r>
        <w:t>11. Delivery and implementation comparison</w:t>
      </w:r>
    </w:p>
    <w:p>
      <w:r>
        <w:t>Delivery should include the time required to make the equipment or system operational, not just the time required to ship hardware.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Schedule element</w:t>
            </w:r>
          </w:p>
        </w:tc>
        <w:tc>
          <w:tcPr>
            <w:tcW w:type="dxa" w:w="2700"/>
            <w:shd w:val="clear" w:color="auto" w:fill="EEF2F7"/>
          </w:tcPr>
          <w:p>
            <w:pPr>
              <w:spacing w:after="0" w:before="0" w:line="240" w:lineRule="auto"/>
              <w:jc w:val="left"/>
            </w:pPr>
            <w:r>
              <w:rPr>
                <w:b/>
                <w:color w:val="1A2E4A"/>
              </w:rPr>
              <w:t>Vendor A</w:t>
            </w:r>
          </w:p>
        </w:tc>
        <w:tc>
          <w:tcPr>
            <w:tcW w:type="dxa" w:w="2700"/>
            <w:shd w:val="clear" w:color="auto" w:fill="EEF2F7"/>
          </w:tcPr>
          <w:p>
            <w:pPr>
              <w:spacing w:after="0" w:before="0" w:line="240" w:lineRule="auto"/>
              <w:jc w:val="left"/>
            </w:pPr>
            <w:r>
              <w:rPr>
                <w:b/>
                <w:color w:val="1A2E4A"/>
              </w:rPr>
              <w:t>Vendor B</w:t>
            </w:r>
          </w:p>
        </w:tc>
        <w:tc>
          <w:tcPr>
            <w:tcW w:type="dxa" w:w="2700"/>
            <w:shd w:val="clear" w:color="auto" w:fill="EEF2F7"/>
          </w:tcPr>
          <w:p>
            <w:pPr>
              <w:spacing w:after="0" w:before="0" w:line="240" w:lineRule="auto"/>
              <w:jc w:val="left"/>
            </w:pPr>
            <w:r>
              <w:rPr>
                <w:b/>
                <w:color w:val="1A2E4A"/>
              </w:rPr>
              <w:t>Vendor C</w:t>
            </w:r>
          </w:p>
        </w:tc>
      </w:tr>
      <w:tr>
        <w:tc>
          <w:tcPr>
            <w:tcW w:type="dxa" w:w="2700"/>
          </w:tcPr>
          <w:p>
            <w:pPr>
              <w:spacing w:after="0" w:before="0" w:line="240" w:lineRule="auto"/>
              <w:jc w:val="left"/>
            </w:pPr>
            <w:r>
              <w:t>Hardware lead time</w:t>
            </w:r>
          </w:p>
        </w:tc>
        <w:tc>
          <w:tcPr>
            <w:tcW w:type="dxa" w:w="2700"/>
          </w:tcPr>
          <w:p>
            <w:pPr>
              <w:spacing w:after="0" w:before="0" w:line="240" w:lineRule="auto"/>
              <w:jc w:val="left"/>
            </w:pPr>
            <w:r>
              <w:t>6 weeks</w:t>
            </w:r>
          </w:p>
        </w:tc>
        <w:tc>
          <w:tcPr>
            <w:tcW w:type="dxa" w:w="2700"/>
          </w:tcPr>
          <w:p>
            <w:pPr>
              <w:spacing w:after="0" w:before="0" w:line="240" w:lineRule="auto"/>
              <w:jc w:val="left"/>
            </w:pPr>
            <w:r>
              <w:t>4 weeks</w:t>
            </w:r>
          </w:p>
        </w:tc>
        <w:tc>
          <w:tcPr>
            <w:tcW w:type="dxa" w:w="2700"/>
          </w:tcPr>
          <w:p>
            <w:pPr>
              <w:spacing w:after="0" w:before="0" w:line="240" w:lineRule="auto"/>
              <w:jc w:val="left"/>
            </w:pPr>
            <w:r>
              <w:t>5 weeks</w:t>
            </w:r>
          </w:p>
        </w:tc>
      </w:tr>
      <w:tr>
        <w:tc>
          <w:tcPr>
            <w:tcW w:type="dxa" w:w="2700"/>
          </w:tcPr>
          <w:p>
            <w:pPr>
              <w:spacing w:after="0" w:before="0" w:line="240" w:lineRule="auto"/>
              <w:jc w:val="left"/>
            </w:pPr>
            <w:r>
              <w:t>Engineering duration</w:t>
            </w:r>
          </w:p>
        </w:tc>
        <w:tc>
          <w:tcPr>
            <w:tcW w:type="dxa" w:w="2700"/>
          </w:tcPr>
          <w:p>
            <w:pPr>
              <w:spacing w:after="0" w:before="0" w:line="240" w:lineRule="auto"/>
              <w:jc w:val="left"/>
            </w:pPr>
            <w:r>
              <w:t>2 weeks</w:t>
            </w:r>
          </w:p>
        </w:tc>
        <w:tc>
          <w:tcPr>
            <w:tcW w:type="dxa" w:w="2700"/>
          </w:tcPr>
          <w:p>
            <w:pPr>
              <w:spacing w:after="0" w:before="0" w:line="240" w:lineRule="auto"/>
              <w:jc w:val="left"/>
            </w:pPr>
            <w:r>
              <w:t>3 weeks</w:t>
            </w:r>
          </w:p>
        </w:tc>
        <w:tc>
          <w:tcPr>
            <w:tcW w:type="dxa" w:w="2700"/>
          </w:tcPr>
          <w:p>
            <w:pPr>
              <w:spacing w:after="0" w:before="0" w:line="240" w:lineRule="auto"/>
              <w:jc w:val="left"/>
            </w:pPr>
            <w:r>
              <w:t>2 weeks</w:t>
            </w:r>
          </w:p>
        </w:tc>
      </w:tr>
      <w:tr>
        <w:tc>
          <w:tcPr>
            <w:tcW w:type="dxa" w:w="2700"/>
          </w:tcPr>
          <w:p>
            <w:pPr>
              <w:spacing w:after="0" w:before="0" w:line="240" w:lineRule="auto"/>
              <w:jc w:val="left"/>
            </w:pPr>
            <w:r>
              <w:t>Site installation</w:t>
            </w:r>
          </w:p>
        </w:tc>
        <w:tc>
          <w:tcPr>
            <w:tcW w:type="dxa" w:w="2700"/>
          </w:tcPr>
          <w:p>
            <w:pPr>
              <w:spacing w:after="0" w:before="0" w:line="240" w:lineRule="auto"/>
              <w:jc w:val="left"/>
            </w:pPr>
            <w:r>
              <w:t>3 days</w:t>
            </w:r>
          </w:p>
        </w:tc>
        <w:tc>
          <w:tcPr>
            <w:tcW w:type="dxa" w:w="2700"/>
          </w:tcPr>
          <w:p>
            <w:pPr>
              <w:spacing w:after="0" w:before="0" w:line="240" w:lineRule="auto"/>
              <w:jc w:val="left"/>
            </w:pPr>
            <w:r>
              <w:t>Excluded</w:t>
            </w:r>
          </w:p>
        </w:tc>
        <w:tc>
          <w:tcPr>
            <w:tcW w:type="dxa" w:w="2700"/>
          </w:tcPr>
          <w:p>
            <w:pPr>
              <w:spacing w:after="0" w:before="0" w:line="240" w:lineRule="auto"/>
              <w:jc w:val="left"/>
            </w:pPr>
            <w:r>
              <w:t>4 days</w:t>
            </w:r>
          </w:p>
        </w:tc>
      </w:tr>
      <w:tr>
        <w:tc>
          <w:tcPr>
            <w:tcW w:type="dxa" w:w="2700"/>
          </w:tcPr>
          <w:p>
            <w:pPr>
              <w:spacing w:after="0" w:before="0" w:line="240" w:lineRule="auto"/>
              <w:jc w:val="left"/>
            </w:pPr>
            <w:r>
              <w:t>Commissioning</w:t>
            </w:r>
          </w:p>
        </w:tc>
        <w:tc>
          <w:tcPr>
            <w:tcW w:type="dxa" w:w="2700"/>
          </w:tcPr>
          <w:p>
            <w:pPr>
              <w:spacing w:after="0" w:before="0" w:line="240" w:lineRule="auto"/>
              <w:jc w:val="left"/>
            </w:pPr>
            <w:r>
              <w:t>Included</w:t>
            </w:r>
          </w:p>
        </w:tc>
        <w:tc>
          <w:tcPr>
            <w:tcW w:type="dxa" w:w="2700"/>
          </w:tcPr>
          <w:p>
            <w:pPr>
              <w:spacing w:after="0" w:before="0" w:line="240" w:lineRule="auto"/>
              <w:jc w:val="left"/>
            </w:pPr>
            <w:r>
              <w:t>Excluded</w:t>
            </w:r>
          </w:p>
        </w:tc>
        <w:tc>
          <w:tcPr>
            <w:tcW w:type="dxa" w:w="2700"/>
          </w:tcPr>
          <w:p>
            <w:pPr>
              <w:spacing w:after="0" w:before="0" w:line="240" w:lineRule="auto"/>
              <w:jc w:val="left"/>
            </w:pPr>
            <w:r>
              <w:t>Included</w:t>
            </w:r>
          </w:p>
        </w:tc>
      </w:tr>
      <w:tr>
        <w:tc>
          <w:tcPr>
            <w:tcW w:type="dxa" w:w="2700"/>
          </w:tcPr>
          <w:p>
            <w:pPr>
              <w:spacing w:after="0" w:before="0" w:line="240" w:lineRule="auto"/>
              <w:jc w:val="left"/>
            </w:pPr>
            <w:r>
              <w:t>Stated completion condition</w:t>
            </w:r>
          </w:p>
        </w:tc>
        <w:tc>
          <w:tcPr>
            <w:tcW w:type="dxa" w:w="2700"/>
          </w:tcPr>
          <w:p>
            <w:pPr>
              <w:spacing w:after="0" w:before="0" w:line="240" w:lineRule="auto"/>
              <w:jc w:val="left"/>
            </w:pPr>
            <w:r>
              <w:t>SAT completion</w:t>
            </w:r>
          </w:p>
        </w:tc>
        <w:tc>
          <w:tcPr>
            <w:tcW w:type="dxa" w:w="2700"/>
          </w:tcPr>
          <w:p>
            <w:pPr>
              <w:spacing w:after="0" w:before="0" w:line="240" w:lineRule="auto"/>
              <w:jc w:val="left"/>
            </w:pPr>
            <w:r>
              <w:t>Hardware delivery</w:t>
            </w:r>
          </w:p>
        </w:tc>
        <w:tc>
          <w:tcPr>
            <w:tcW w:type="dxa" w:w="2700"/>
          </w:tcPr>
          <w:p>
            <w:pPr>
              <w:spacing w:after="0" w:before="0" w:line="240" w:lineRule="auto"/>
              <w:jc w:val="left"/>
            </w:pPr>
            <w:r>
              <w:t>SAT completion</w:t>
            </w:r>
          </w:p>
        </w:tc>
      </w:tr>
    </w:tbl>
    <w:p/>
    <w:p>
      <w:r>
        <w:t>The values are illustrative.</w:t>
      </w:r>
    </w:p>
    <w:p>
      <w:r>
        <w:t>Before ranking delivery commitments, check whether durations overlap or occur sequentially. Confirm whether the vendor's schedule depends on buyer approvals, access, shutdown availability, or delivery of other equipment.</w:t>
      </w:r>
    </w:p>
    <w:p>
      <w:r>
        <w:t>For industrial automation, the relevant milestone may be successful production handover rather than arrival of the PLC in stores.</w:t>
      </w:r>
    </w:p>
    <w:p>
      <w:pPr>
        <w:pStyle w:val="Heading2"/>
      </w:pPr>
      <w:r>
        <w:t>12. Warranty and service comparison</w:t>
      </w:r>
    </w:p>
    <w:p>
      <w:r>
        <w:t>Warranty conditions should be compared beyond the number of months stated in a quotation.</w:t>
      </w:r>
    </w:p>
    <w:p>
      <w:r>
        <w:t>Evaluate:</w:t>
      </w:r>
    </w:p>
    <w:p>
      <w:pPr>
        <w:pStyle w:val="ListBullet"/>
      </w:pPr>
      <w:r>
        <w:t>Warranty commencement.</w:t>
      </w:r>
    </w:p>
    <w:p>
      <w:pPr>
        <w:pStyle w:val="ListBullet"/>
      </w:pPr>
      <w:r>
        <w:t>Warranty duration.</w:t>
      </w:r>
    </w:p>
    <w:p>
      <w:pPr>
        <w:pStyle w:val="ListBullet"/>
      </w:pPr>
      <w:r>
        <w:t>Parts and labor coverage.</w:t>
      </w:r>
    </w:p>
    <w:p>
      <w:pPr>
        <w:pStyle w:val="ListBullet"/>
      </w:pPr>
      <w:r>
        <w:t>Travel and freight coverage.</w:t>
      </w:r>
    </w:p>
    <w:p>
      <w:pPr>
        <w:pStyle w:val="ListBullet"/>
      </w:pPr>
      <w:r>
        <w:t>Response commitments.</w:t>
      </w:r>
    </w:p>
    <w:p>
      <w:pPr>
        <w:pStyle w:val="ListBullet"/>
      </w:pPr>
      <w:r>
        <w:t>Repair turnaround.</w:t>
      </w:r>
    </w:p>
    <w:p>
      <w:pPr>
        <w:pStyle w:val="ListBullet"/>
      </w:pPr>
      <w:r>
        <w:t>Local service capability.</w:t>
      </w:r>
    </w:p>
    <w:p>
      <w:pPr>
        <w:pStyle w:val="ListBullet"/>
      </w:pPr>
      <w:r>
        <w:t>Spare-parts availability.</w:t>
      </w:r>
    </w:p>
    <w:p>
      <w:pPr>
        <w:pStyle w:val="ListBullet"/>
      </w:pPr>
      <w:r>
        <w:t>Technical escalation.</w:t>
      </w:r>
    </w:p>
    <w:p>
      <w:pPr>
        <w:pStyle w:val="ListBullet"/>
      </w:pPr>
      <w:r>
        <w:t>Support for obsolete or discontinued products.</w:t>
      </w:r>
    </w:p>
    <w:p>
      <w:r>
        <w:t>A 12-month warranty starting at delivery may provide a different practical benefit from a 12-month warranty starting at commissioning.</w:t>
      </w:r>
    </w:p>
    <w:p>
      <w:r>
        <w:t>Likewise, a warranty that covers parts but excludes on-site labor can leave the plant with significant repair costs.</w:t>
      </w:r>
    </w:p>
    <w:p>
      <w:pPr>
        <w:pStyle w:val="Heading2"/>
      </w:pPr>
      <w:r>
        <w:t>13. Lowest bidder versus best-value bidder</w:t>
      </w:r>
    </w:p>
    <w:p>
      <w:r>
        <w:t>These concepts must be distinguished.</w:t>
      </w:r>
    </w:p>
    <w:p>
      <w:r>
        <w:t>Lowest quoted bidder: The supplier with the lowest original quotation total.</w:t>
      </w:r>
    </w:p>
    <w:p>
      <w:r>
        <w:t>Lowest evaluated bidder: The supplier with the lowest cost after applying the approved evaluation methodology and adjustments.</w:t>
      </w:r>
    </w:p>
    <w:p>
      <w:r>
        <w:t>Best-value bidder: The supplier offering the most suitable outcome under the approved criteria, considering factors such as technical compliance, cost, delivery, support, risk, and lifecycle performance.</w:t>
      </w:r>
    </w:p>
    <w:p>
      <w:r>
        <w:t>Depending on procurement policy, best value may be established through a pass/fail technical assessment followed by lowest evaluated cost, a weighted technical-commercial model, or another approved approach.</w:t>
      </w:r>
    </w:p>
    <w:p>
      <w:r>
        <w:t>Do not assume that a higher technical score always justifies a higher price. The relationship between quality, cost, and award eligibility must be defined by the applicable evaluation method.</w:t>
      </w:r>
    </w:p>
    <w:p>
      <w:pPr>
        <w:pStyle w:val="Heading2"/>
      </w:pPr>
      <w:r>
        <w:t>14. Weighted bid comparison</w:t>
      </w:r>
    </w:p>
    <w:p>
      <w:r>
        <w:t>When the approved procurement process uses combined scoring, the technical and commercial scores can be combined using predefined weights.</w:t>
      </w:r>
    </w:p>
    <w:p>
      <w:r>
        <w:t>For a common cost-based scoring method:</w:t>
      </w:r>
    </w:p>
    <w:p>
      <w:pPr>
        <w:spacing w:before="120" w:after="160"/>
        <w:jc w:val="center"/>
      </w:pPr>
      <m:oMathPara>
        <m:oMath>
          <m:sSub>
            <m:e>
              <m:r>
                <m:t>S</m:t>
              </m:r>
            </m:e>
            <m:sub>
              <m:r>
                <m:t>C</m:t>
              </m:r>
            </m:sub>
          </m:sSub>
          <m:r>
            <m:t>=</m:t>
          </m:r>
          <m:f>
            <m:fPr>
              <m:type m:val="bar"/>
            </m:fPr>
            <m:num>
              <m:sSub>
                <m:e>
                  <m:r>
                    <m:t>C</m:t>
                  </m:r>
                </m:e>
                <m:sub>
                  <m:r>
                    <m:t>min</m:t>
                  </m:r>
                </m:sub>
              </m:sSub>
            </m:num>
            <m:den>
              <m:sSub>
                <m:e>
                  <m:r>
                    <m:t>C</m:t>
                  </m:r>
                </m:e>
                <m:sub>
                  <m:r>
                    <m:t>i</m:t>
                  </m:r>
                </m:sub>
              </m:sSub>
            </m:den>
          </m:f>
          <m:r>
            <m:t>×100</m:t>
          </m:r>
        </m:oMath>
      </m:oMathPara>
    </w:p>
    <w:p>
      <w:r>
        <w:t>Where:</w:t>
      </w:r>
    </w:p>
    <w:p>
      <w:pPr>
        <w:pStyle w:val="ListBullet"/>
      </w:pPr>
      <m:oMath>
        <m:sSub>
          <m:e>
            <m:r>
              <m:t>S</m:t>
            </m:r>
          </m:e>
          <m:sub>
            <m:r>
              <m:t>C</m:t>
            </m:r>
          </m:sub>
        </m:sSub>
      </m:oMath>
      <w:r>
        <w:t xml:space="preserve"> is the commercial score for bidder </w:t>
      </w:r>
      <m:oMath>
        <m:r>
          <m:t>i</m:t>
        </m:r>
      </m:oMath>
      <w:r>
        <w:t>.</w:t>
      </w:r>
    </w:p>
    <w:p>
      <w:pPr>
        <w:pStyle w:val="ListBullet"/>
      </w:pPr>
      <m:oMath>
        <m:sSub>
          <m:e>
            <m:r>
              <m:t>C</m:t>
            </m:r>
          </m:e>
          <m:sub>
            <m:r>
              <m:t>min</m:t>
            </m:r>
          </m:sub>
        </m:sSub>
      </m:oMath>
      <w:r>
        <w:t xml:space="preserve"> is the lowest eligible evaluated cost.</w:t>
      </w:r>
    </w:p>
    <w:p>
      <w:pPr>
        <w:pStyle w:val="ListBullet"/>
      </w:pPr>
      <m:oMath>
        <m:sSub>
          <m:e>
            <m:r>
              <m:t>C</m:t>
            </m:r>
          </m:e>
          <m:sub>
            <m:r>
              <m:t>i</m:t>
            </m:r>
          </m:sub>
        </m:sSub>
      </m:oMath>
      <w:r>
        <w:t xml:space="preserve"> is the bidder's eligible evaluated cost.</w:t>
      </w:r>
    </w:p>
    <w:p>
      <w:r>
        <w:t>The combined score is:</w:t>
      </w:r>
    </w:p>
    <w:p>
      <w:pPr>
        <w:spacing w:before="120" w:after="160"/>
        <w:jc w:val="center"/>
      </w:pPr>
      <m:oMathPara>
        <m:oMath>
          <m:sSub>
            <m:e>
              <m:r>
                <m:t>S</m:t>
              </m:r>
            </m:e>
            <m:sub>
              <m:r>
                <m:t>F</m:t>
              </m:r>
            </m:sub>
          </m:sSub>
          <m:r>
            <m:t>=</m:t>
          </m:r>
          <m:sSub>
            <m:e>
              <m:r>
                <m:t>w</m:t>
              </m:r>
            </m:e>
            <m:sub>
              <m:r>
                <m:t>T</m:t>
              </m:r>
            </m:sub>
          </m:sSub>
          <m:sSub>
            <m:e>
              <m:r>
                <m:t>S</m:t>
              </m:r>
            </m:e>
            <m:sub>
              <m:r>
                <m:t>T</m:t>
              </m:r>
            </m:sub>
          </m:sSub>
          <m:r>
            <m:t>+</m:t>
          </m:r>
          <m:sSub>
            <m:e>
              <m:r>
                <m:t>w</m:t>
              </m:r>
            </m:e>
            <m:sub>
              <m:r>
                <m:t>C</m:t>
              </m:r>
            </m:sub>
          </m:sSub>
          <m:sSub>
            <m:e>
              <m:r>
                <m:t>S</m:t>
              </m:r>
            </m:e>
            <m:sub>
              <m:r>
                <m:t>C</m:t>
              </m:r>
            </m:sub>
          </m:sSub>
        </m:oMath>
      </m:oMathPara>
    </w:p>
    <w:p>
      <w:r>
        <w:t>Where:</w:t>
      </w:r>
    </w:p>
    <w:p>
      <w:pPr>
        <w:pStyle w:val="ListBullet"/>
      </w:pPr>
      <m:oMath>
        <m:sSub>
          <m:e>
            <m:r>
              <m:t>S</m:t>
            </m:r>
          </m:e>
          <m:sub>
            <m:r>
              <m:t>F</m:t>
            </m:r>
          </m:sub>
        </m:sSub>
      </m:oMath>
      <w:r>
        <w:t xml:space="preserve"> is the final score.</w:t>
      </w:r>
    </w:p>
    <w:p>
      <w:pPr>
        <w:pStyle w:val="ListBullet"/>
      </w:pPr>
      <m:oMath>
        <m:sSub>
          <m:e>
            <m:r>
              <m:t>S</m:t>
            </m:r>
          </m:e>
          <m:sub>
            <m:r>
              <m:t>T</m:t>
            </m:r>
          </m:sub>
        </m:sSub>
      </m:oMath>
      <w:r>
        <w:t xml:space="preserve"> is the technical score.</w:t>
      </w:r>
    </w:p>
    <w:p>
      <w:pPr>
        <w:pStyle w:val="ListBullet"/>
      </w:pPr>
      <m:oMath>
        <m:sSub>
          <m:e>
            <m:r>
              <m:t>S</m:t>
            </m:r>
          </m:e>
          <m:sub>
            <m:r>
              <m:t>C</m:t>
            </m:r>
          </m:sub>
        </m:sSub>
      </m:oMath>
      <w:r>
        <w:t xml:space="preserve"> is the commercial score.</w:t>
      </w:r>
    </w:p>
    <w:p>
      <w:pPr>
        <w:pStyle w:val="ListBullet"/>
      </w:pPr>
      <m:oMath>
        <m:sSub>
          <m:e>
            <m:r>
              <m:t>w</m:t>
            </m:r>
          </m:e>
          <m:sub>
            <m:r>
              <m:t>T</m:t>
            </m:r>
          </m:sub>
        </m:sSub>
      </m:oMath>
      <w:r>
        <w:t xml:space="preserve"> is the technical weighting.</w:t>
      </w:r>
    </w:p>
    <w:p>
      <w:pPr>
        <w:pStyle w:val="ListBullet"/>
      </w:pPr>
      <m:oMath>
        <m:sSub>
          <m:e>
            <m:r>
              <m:t>w</m:t>
            </m:r>
          </m:e>
          <m:sub>
            <m:r>
              <m:t>C</m:t>
            </m:r>
          </m:sub>
        </m:sSub>
      </m:oMath>
      <w:r>
        <w:t xml:space="preserve"> is the commercial weighting.</w:t>
      </w:r>
    </w:p>
    <w:p>
      <w:pPr>
        <w:pStyle w:val="ListBullet"/>
      </w:pPr>
      <m:oMath>
        <m:sSub>
          <m:e>
            <m:r>
              <m:t>w</m:t>
            </m:r>
          </m:e>
          <m:sub>
            <m:r>
              <m:t>T</m:t>
            </m:r>
          </m:sub>
        </m:sSub>
        <m:r>
          <m:t>+</m:t>
        </m:r>
        <m:sSub>
          <m:e>
            <m:r>
              <m:t>w</m:t>
            </m:r>
          </m:e>
          <m:sub>
            <m:r>
              <m:t>C</m:t>
            </m:r>
          </m:sub>
        </m:sSub>
        <m:r>
          <m:t>=1</m:t>
        </m:r>
      </m:oMath>
      <w:r>
        <w:t>.</w:t>
      </w:r>
    </w:p>
    <w:p>
      <w:r>
        <w:t xml:space="preserve">For example, a 70% technical and 30% commercial model uses </w:t>
      </w:r>
      <m:oMath>
        <m:sSub>
          <m:e>
            <m:r>
              <m:t>w</m:t>
            </m:r>
          </m:e>
          <m:sub>
            <m:r>
              <m:t>T</m:t>
            </m:r>
          </m:sub>
        </m:sSub>
        <m:r>
          <m:t>=0.70</m:t>
        </m:r>
      </m:oMath>
      <w:r>
        <w:t xml:space="preserve"> and </w:t>
      </w:r>
      <m:oMath>
        <m:sSub>
          <m:e>
            <m:r>
              <m:t>w</m:t>
            </m:r>
          </m:e>
          <m:sub>
            <m:r>
              <m:t>C</m:t>
            </m:r>
          </m:sub>
        </m:sSub>
        <m:r>
          <m:t>=0.30</m:t>
        </m:r>
      </m:oMath>
      <w:r>
        <w:t>.</w:t>
      </w:r>
    </w:p>
    <w:p>
      <w:r>
        <w:t>The method is illustrative. Use the exact formula and eligibility rules prescribed by the procurement procedure. Mandatory requirements must not be overridden by the combined score.</w:t>
      </w:r>
    </w:p>
    <w:p>
      <w:pPr>
        <w:pStyle w:val="Heading2"/>
      </w:pPr>
      <w:r>
        <w:t>15. Bid comparison in Excel</w:t>
      </w:r>
    </w:p>
    <w:p>
      <w:r>
        <w:t>Excel is commonly used to prepare comparison statements because it supports structured tables, formulas, filtering, conditional formatting, and controlled review.</w:t>
      </w:r>
    </w:p>
    <w:p>
      <w:pPr>
        <w:pStyle w:val="Heading3"/>
      </w:pPr>
      <w:r>
        <w:t>Suggested workbook structure</w:t>
      </w:r>
    </w:p>
    <w:p>
      <w:pPr>
        <w:pStyle w:val="ListBullet"/>
      </w:pPr>
      <w:r>
        <w:rPr>
          <w:rFonts w:ascii="Consolas" w:hAnsi="Consolas"/>
          <w:color w:val="333333"/>
          <w:sz w:val="19"/>
          <w:shd w:val="clear" w:color="auto" w:fill="EFEFEF"/>
        </w:rPr>
        <w:t>01_Bid_Summary</w:t>
      </w:r>
      <w:r>
        <w:t>: Supplier details, technical status, and final ranking.</w:t>
      </w:r>
    </w:p>
    <w:p>
      <w:pPr>
        <w:pStyle w:val="ListBullet"/>
      </w:pPr>
      <w:r>
        <w:rPr>
          <w:rFonts w:ascii="Consolas" w:hAnsi="Consolas"/>
          <w:color w:val="333333"/>
          <w:sz w:val="19"/>
          <w:shd w:val="clear" w:color="auto" w:fill="EFEFEF"/>
        </w:rPr>
        <w:t>02_Technical_Comparison</w:t>
      </w:r>
      <w:r>
        <w:t>: Requirement-by-requirement compliance.</w:t>
      </w:r>
    </w:p>
    <w:p>
      <w:pPr>
        <w:pStyle w:val="ListBullet"/>
      </w:pPr>
      <w:r>
        <w:rPr>
          <w:rFonts w:ascii="Consolas" w:hAnsi="Consolas"/>
          <w:color w:val="333333"/>
          <w:sz w:val="19"/>
          <w:shd w:val="clear" w:color="auto" w:fill="EFEFEF"/>
        </w:rPr>
        <w:t>03_Commercial_Comparison</w:t>
      </w:r>
      <w:r>
        <w:t>: Itemized prices and normalized totals.</w:t>
      </w:r>
    </w:p>
    <w:p>
      <w:pPr>
        <w:pStyle w:val="ListBullet"/>
      </w:pPr>
      <w:r>
        <w:rPr>
          <w:rFonts w:ascii="Consolas" w:hAnsi="Consolas"/>
          <w:color w:val="333333"/>
          <w:sz w:val="19"/>
          <w:shd w:val="clear" w:color="auto" w:fill="EFEFEF"/>
        </w:rPr>
        <w:t>04_Deviation_Register</w:t>
      </w:r>
      <w:r>
        <w:t>: Technical and commercial deviations.</w:t>
      </w:r>
    </w:p>
    <w:p>
      <w:pPr>
        <w:pStyle w:val="ListBullet"/>
      </w:pPr>
      <w:r>
        <w:rPr>
          <w:rFonts w:ascii="Consolas" w:hAnsi="Consolas"/>
          <w:color w:val="333333"/>
          <w:sz w:val="19"/>
          <w:shd w:val="clear" w:color="auto" w:fill="EFEFEF"/>
        </w:rPr>
        <w:t>05_Clarification_Log</w:t>
      </w:r>
      <w:r>
        <w:t>: Questions, responses, dates, and decisions.</w:t>
      </w:r>
    </w:p>
    <w:p>
      <w:pPr>
        <w:pStyle w:val="ListBullet"/>
      </w:pPr>
      <w:r>
        <w:rPr>
          <w:rFonts w:ascii="Consolas" w:hAnsi="Consolas"/>
          <w:color w:val="333333"/>
          <w:sz w:val="19"/>
          <w:shd w:val="clear" w:color="auto" w:fill="EFEFEF"/>
        </w:rPr>
        <w:t>06_Approval_Record</w:t>
      </w:r>
      <w:r>
        <w:t>: Review and approval status.</w:t>
      </w:r>
    </w:p>
    <w:p>
      <w:r>
        <w:t>For a simple commercial comparison, suppose:</w:t>
      </w:r>
    </w:p>
    <w:p>
      <w:pPr>
        <w:pStyle w:val="ListBullet"/>
      </w:pPr>
      <w:r>
        <w:t>Column B contains Vendor A's quoted subtotal.</w:t>
      </w:r>
    </w:p>
    <w:p>
      <w:pPr>
        <w:pStyle w:val="ListBullet"/>
      </w:pPr>
      <w:r>
        <w:t>Column C contains Vendor B's quoted subtotal.</w:t>
      </w:r>
    </w:p>
    <w:p>
      <w:pPr>
        <w:pStyle w:val="ListBullet"/>
      </w:pPr>
      <w:r>
        <w:t>Column D contains Vendor C's quoted subtotal.</w:t>
      </w:r>
    </w:p>
    <w:p>
      <w:pPr>
        <w:pStyle w:val="ListBullet"/>
      </w:pPr>
      <w:r>
        <w:t>Column E contains the approved adjustment for Vendor A.</w:t>
      </w:r>
    </w:p>
    <w:p>
      <w:pPr>
        <w:pStyle w:val="ListBullet"/>
      </w:pPr>
      <w:r>
        <w:t>Column F contains the approved adjustment for Vendor B.</w:t>
      </w:r>
    </w:p>
    <w:p>
      <w:pPr>
        <w:pStyle w:val="ListBullet"/>
      </w:pPr>
      <w:r>
        <w:t>Column G contains the approved adjustment for Vendor C.</w:t>
      </w:r>
    </w:p>
    <w:p>
      <w:r>
        <w:t>The normalized cost formulas in the relevant vendor columns could be:</w:t>
      </w:r>
    </w:p>
    <w:p>
      <w:pPr>
        <w:shd w:val="clear" w:color="auto" w:fill="F4F4F4"/>
        <w:spacing w:before="0" w:after="0" w:line="240" w:lineRule="auto"/>
        <w:ind w:left="216" w:right="216"/>
        <w:jc w:val="left"/>
      </w:pPr>
      <w:r>
        <w:rPr>
          <w:rFonts w:ascii="Consolas" w:hAnsi="Consolas"/>
          <w:color w:val="202020"/>
          <w:sz w:val="18"/>
        </w:rPr>
        <w:t>=B2+E2</w:t>
      </w:r>
    </w:p>
    <w:p>
      <w:pPr>
        <w:shd w:val="clear" w:color="auto" w:fill="F4F4F4"/>
        <w:spacing w:before="0" w:after="0" w:line="240" w:lineRule="auto"/>
        <w:ind w:left="216" w:right="216"/>
        <w:jc w:val="left"/>
      </w:pPr>
      <w:r>
        <w:rPr>
          <w:rFonts w:ascii="Consolas" w:hAnsi="Consolas"/>
          <w:color w:val="202020"/>
          <w:sz w:val="18"/>
        </w:rPr>
        <w:t>=C2+F2</w:t>
      </w:r>
    </w:p>
    <w:p>
      <w:pPr>
        <w:shd w:val="clear" w:color="auto" w:fill="F4F4F4"/>
        <w:spacing w:before="0" w:after="0" w:line="240" w:lineRule="auto"/>
        <w:ind w:left="216" w:right="216"/>
        <w:jc w:val="left"/>
      </w:pPr>
      <w:r>
        <w:rPr>
          <w:rFonts w:ascii="Consolas" w:hAnsi="Consolas"/>
          <w:color w:val="202020"/>
          <w:sz w:val="18"/>
        </w:rPr>
        <w:t>=D2+G2</w:t>
      </w:r>
    </w:p>
    <w:p/>
    <w:p>
      <w:r>
        <w:t>These formulas assume the quoted subtotal and adjustment are both monetary amounts using the same currency and evaluation basis.</w:t>
      </w:r>
    </w:p>
    <w:p>
      <w:r>
        <w:t>To calculate the lowest normalized cost across the three vendors:</w:t>
      </w:r>
    </w:p>
    <w:p>
      <w:pPr>
        <w:shd w:val="clear" w:color="auto" w:fill="F4F4F4"/>
        <w:spacing w:before="0" w:after="0" w:line="240" w:lineRule="auto"/>
        <w:ind w:left="216" w:right="216"/>
        <w:jc w:val="left"/>
      </w:pPr>
      <w:r>
        <w:rPr>
          <w:rFonts w:ascii="Consolas" w:hAnsi="Consolas"/>
          <w:color w:val="202020"/>
          <w:sz w:val="18"/>
        </w:rPr>
        <w:t>=MIN(H2:J2)</w:t>
      </w:r>
    </w:p>
    <w:p/>
    <w:p>
      <w:r>
        <w:t>To rank normalized costs from lowest to highest:</w:t>
      </w:r>
    </w:p>
    <w:p>
      <w:pPr>
        <w:shd w:val="clear" w:color="auto" w:fill="F4F4F4"/>
        <w:spacing w:before="0" w:after="0" w:line="240" w:lineRule="auto"/>
        <w:ind w:left="216" w:right="216"/>
        <w:jc w:val="left"/>
      </w:pPr>
      <w:r>
        <w:rPr>
          <w:rFonts w:ascii="Consolas" w:hAnsi="Consolas"/>
          <w:color w:val="202020"/>
          <w:sz w:val="18"/>
        </w:rPr>
        <w:t>=RANK.EQ(H2,$H2:$J2,1)</w:t>
      </w:r>
    </w:p>
    <w:p/>
    <w:p>
      <w:r>
        <w:t xml:space="preserve">Here, </w:t>
      </w:r>
      <w:r>
        <w:rPr>
          <w:rFonts w:ascii="Consolas" w:hAnsi="Consolas"/>
          <w:color w:val="333333"/>
          <w:sz w:val="19"/>
          <w:shd w:val="clear" w:color="auto" w:fill="EFEFEF"/>
        </w:rPr>
        <w:t>H2:J2</w:t>
      </w:r>
      <w:r>
        <w:t xml:space="preserve"> is assumed to contain the three normalized costs. The first argument is the value being ranked, and the final argument </w:t>
      </w:r>
      <w:r>
        <w:rPr>
          <w:rFonts w:ascii="Consolas" w:hAnsi="Consolas"/>
          <w:color w:val="333333"/>
          <w:sz w:val="19"/>
          <w:shd w:val="clear" w:color="auto" w:fill="EFEFEF"/>
        </w:rPr>
        <w:t>1</w:t>
      </w:r>
      <w:r>
        <w:t xml:space="preserve"> specifies ascending order.</w:t>
      </w:r>
    </w:p>
    <w:p>
      <w:r>
        <w:t>Important: A spreadsheet should not automatically rank technically ineligible suppliers as award candidates. Maintain a separate eligibility field and apply the organization's approved rules before using price rankings in the recommendation.</w:t>
      </w:r>
    </w:p>
    <w:p>
      <w:pPr>
        <w:pStyle w:val="Heading2"/>
      </w:pPr>
      <w:r>
        <w:t>16. Bid comparison controls and auditability</w:t>
      </w:r>
    </w:p>
    <w:p>
      <w:r>
        <w:t>A controlled comparison statement should:</w:t>
      </w:r>
    </w:p>
    <w:p>
      <w:pPr>
        <w:pStyle w:val="ListBullet"/>
      </w:pPr>
      <w:r>
        <w:t>Reference the approved RFQ and specification revisions.</w:t>
      </w:r>
    </w:p>
    <w:p>
      <w:pPr>
        <w:pStyle w:val="ListBullet"/>
      </w:pPr>
      <w:r>
        <w:t>Preserve the original quotations.</w:t>
      </w:r>
    </w:p>
    <w:p>
      <w:pPr>
        <w:pStyle w:val="ListBullet"/>
      </w:pPr>
      <w:r>
        <w:t>Identify who prepared and reviewed the comparison.</w:t>
      </w:r>
    </w:p>
    <w:p>
      <w:pPr>
        <w:pStyle w:val="ListBullet"/>
      </w:pPr>
      <w:r>
        <w:t>Record all adjustments and their rationale.</w:t>
      </w:r>
    </w:p>
    <w:p>
      <w:pPr>
        <w:pStyle w:val="ListBullet"/>
      </w:pPr>
      <w:r>
        <w:t>Separate supplier-quoted values from buyer-calculated values.</w:t>
      </w:r>
    </w:p>
    <w:p>
      <w:pPr>
        <w:pStyle w:val="ListBullet"/>
      </w:pPr>
      <w:r>
        <w:t>Document assumptions and evaluation allowances.</w:t>
      </w:r>
    </w:p>
    <w:p>
      <w:pPr>
        <w:pStyle w:val="ListBullet"/>
      </w:pPr>
      <w:r>
        <w:t>Show technical eligibility clearly.</w:t>
      </w:r>
    </w:p>
    <w:p>
      <w:pPr>
        <w:pStyle w:val="ListBullet"/>
      </w:pPr>
      <w:r>
        <w:t>Retain clarification records.</w:t>
      </w:r>
    </w:p>
    <w:p>
      <w:pPr>
        <w:pStyle w:val="ListBullet"/>
      </w:pPr>
      <w:r>
        <w:t>Use approved scoring criteria.</w:t>
      </w:r>
    </w:p>
    <w:p>
      <w:pPr>
        <w:pStyle w:val="ListBullet"/>
      </w:pPr>
      <w:r>
        <w:t>Prevent unauthorized changes to formulas and evaluation data.</w:t>
      </w:r>
    </w:p>
    <w:p>
      <w:pPr>
        <w:pStyle w:val="ListBullet"/>
      </w:pPr>
      <w:r>
        <w:t>Record the recommendation and approval.</w:t>
      </w:r>
    </w:p>
    <w:p>
      <w:r>
        <w:t>If a quotation changes during negotiation, retain the original bid and record the revised offer separately. The comparison should make the sequence of changes traceable.</w:t>
      </w:r>
    </w:p>
    <w:p>
      <w:pPr>
        <w:pStyle w:val="Heading2"/>
      </w:pPr>
      <w:r>
        <w:t>17. Common bid comparison mistakes</w:t>
      </w:r>
    </w:p>
    <w:p>
      <w:pPr>
        <w:pStyle w:val="ListBullet"/>
      </w:pPr>
      <w:r>
        <w:t>Comparing original quotation totals without normalizing scope.</w:t>
      </w:r>
    </w:p>
    <w:p>
      <w:pPr>
        <w:pStyle w:val="ListBullet"/>
      </w:pPr>
      <w:r>
        <w:t>Adding costs that are already included in the supplier's price.</w:t>
      </w:r>
    </w:p>
    <w:p>
      <w:pPr>
        <w:pStyle w:val="ListBullet"/>
      </w:pPr>
      <w:r>
        <w:t>Omitting installation, commissioning, travel, or software licenses.</w:t>
      </w:r>
    </w:p>
    <w:p>
      <w:pPr>
        <w:pStyle w:val="ListBullet"/>
      </w:pPr>
      <w:r>
        <w:t>Treating a technical deviation as a simple price adjustment.</w:t>
      </w:r>
    </w:p>
    <w:p>
      <w:pPr>
        <w:pStyle w:val="ListBullet"/>
      </w:pPr>
      <w:r>
        <w:t>Comparing lead times without considering the complete project schedule.</w:t>
      </w:r>
    </w:p>
    <w:p>
      <w:pPr>
        <w:pStyle w:val="ListBullet"/>
      </w:pPr>
      <w:r>
        <w:t>Ignoring warranty commencement and exclusions.</w:t>
      </w:r>
    </w:p>
    <w:p>
      <w:pPr>
        <w:pStyle w:val="ListBullet"/>
      </w:pPr>
      <w:r>
        <w:t>Using inconsistent tax or currency treatment.</w:t>
      </w:r>
    </w:p>
    <w:p>
      <w:pPr>
        <w:pStyle w:val="ListBullet"/>
      </w:pPr>
      <w:r>
        <w:t>Applying different assumptions to different bidders.</w:t>
      </w:r>
    </w:p>
    <w:p>
      <w:pPr>
        <w:pStyle w:val="ListBullet"/>
      </w:pPr>
      <w:r>
        <w:t>Ranking technically ineligible bids as though they were eligible.</w:t>
      </w:r>
    </w:p>
    <w:p>
      <w:pPr>
        <w:pStyle w:val="ListBullet"/>
      </w:pPr>
      <w:r>
        <w:t>Changing weights or formulas after seeing the results.</w:t>
      </w:r>
    </w:p>
    <w:p>
      <w:pPr>
        <w:pStyle w:val="ListBullet"/>
      </w:pPr>
      <w:r>
        <w:t>Failing to document the reason for a cost adjustment.</w:t>
      </w:r>
    </w:p>
    <w:p>
      <w:pPr>
        <w:pStyle w:val="ListBullet"/>
      </w:pPr>
      <w:r>
        <w:t>Treating the lowest evaluated cost as an automatic award decision when the procurement method requires additional criteria.</w:t>
      </w:r>
    </w:p>
    <w:p>
      <w:pPr>
        <w:pStyle w:val="ListBullet"/>
      </w:pPr>
      <w:r>
        <w:t>Overwriting original quotations or evaluation records.</w:t>
      </w:r>
    </w:p>
    <w:p>
      <w:pPr>
        <w:pStyle w:val="ListBullet"/>
      </w:pPr>
      <w:r>
        <w:t>Failing to review the spreadsheet for formula errors.</w:t>
      </w:r>
    </w:p>
    <w:p>
      <w:pPr>
        <w:pStyle w:val="Heading2"/>
      </w:pPr>
      <w:r>
        <w:t>18. Practical bid comparison checklist</w:t>
      </w:r>
    </w:p>
    <w:p>
      <w:pPr>
        <w:pStyle w:val="Heading3"/>
      </w:pPr>
      <w:r>
        <w:t>Preparation</w:t>
      </w:r>
    </w:p>
    <w:p>
      <w:pPr>
        <w:pStyle w:val="ListBullet"/>
      </w:pPr>
      <w:r>
        <w:t>RFQ scope and revision are confirmed.</w:t>
      </w:r>
    </w:p>
    <w:p>
      <w:pPr>
        <w:pStyle w:val="ListBullet"/>
      </w:pPr>
      <w:r>
        <w:t>All relevant bids are recorded.</w:t>
      </w:r>
    </w:p>
    <w:p>
      <w:pPr>
        <w:pStyle w:val="ListBullet"/>
      </w:pPr>
      <w:r>
        <w:t>Technical eligibility has been established.</w:t>
      </w:r>
    </w:p>
    <w:p>
      <w:pPr>
        <w:pStyle w:val="ListBullet"/>
      </w:pPr>
      <w:r>
        <w:t>Comparison criteria and methods are approved.</w:t>
      </w:r>
    </w:p>
    <w:p>
      <w:pPr>
        <w:pStyle w:val="ListBullet"/>
      </w:pPr>
      <w:r>
        <w:t>Required quantities and units are consistent.</w:t>
      </w:r>
    </w:p>
    <w:p>
      <w:pPr>
        <w:pStyle w:val="Heading3"/>
      </w:pPr>
      <w:r>
        <w:t>Technical comparison</w:t>
      </w:r>
    </w:p>
    <w:p>
      <w:pPr>
        <w:pStyle w:val="ListBullet"/>
      </w:pPr>
      <w:r>
        <w:t>Equipment models and configurations are compared.</w:t>
      </w:r>
    </w:p>
    <w:p>
      <w:pPr>
        <w:pStyle w:val="ListBullet"/>
      </w:pPr>
      <w:r>
        <w:t>Interfaces and compatibility are checked.</w:t>
      </w:r>
    </w:p>
    <w:p>
      <w:pPr>
        <w:pStyle w:val="ListBullet"/>
      </w:pPr>
      <w:r>
        <w:t>Mandatory requirements are assessed.</w:t>
      </w:r>
    </w:p>
    <w:p>
      <w:pPr>
        <w:pStyle w:val="ListBullet"/>
      </w:pPr>
      <w:r>
        <w:t>Deviations and alternatives are documented.</w:t>
      </w:r>
    </w:p>
    <w:p>
      <w:pPr>
        <w:pStyle w:val="ListBullet"/>
      </w:pPr>
      <w:r>
        <w:t>Testing, documentation, and handover scope are compared.</w:t>
      </w:r>
    </w:p>
    <w:p>
      <w:pPr>
        <w:pStyle w:val="Heading3"/>
      </w:pPr>
      <w:r>
        <w:t>Commercial comparison</w:t>
      </w:r>
    </w:p>
    <w:p>
      <w:pPr>
        <w:pStyle w:val="ListBullet"/>
      </w:pPr>
      <w:r>
        <w:t>Itemized prices are captured accurately.</w:t>
      </w:r>
    </w:p>
    <w:p>
      <w:pPr>
        <w:pStyle w:val="ListBullet"/>
      </w:pPr>
      <w:r>
        <w:t>Missing scope is identified.</w:t>
      </w:r>
    </w:p>
    <w:p>
      <w:pPr>
        <w:pStyle w:val="ListBullet"/>
      </w:pPr>
      <w:r>
        <w:t>Freight, taxes, and duties are treated consistently.</w:t>
      </w:r>
    </w:p>
    <w:p>
      <w:pPr>
        <w:pStyle w:val="ListBullet"/>
      </w:pPr>
      <w:r>
        <w:t>Installation and commissioning are accounted for.</w:t>
      </w:r>
    </w:p>
    <w:p>
      <w:pPr>
        <w:pStyle w:val="ListBullet"/>
      </w:pPr>
      <w:r>
        <w:t>Currency conversion follows the approved method.</w:t>
      </w:r>
    </w:p>
    <w:p>
      <w:pPr>
        <w:pStyle w:val="ListBullet"/>
      </w:pPr>
      <w:r>
        <w:t>Warranty, payment, and delivery conditions are compared.</w:t>
      </w:r>
    </w:p>
    <w:p>
      <w:pPr>
        <w:pStyle w:val="ListBullet"/>
      </w:pPr>
      <w:r>
        <w:t>Approved adjustments are traceable.</w:t>
      </w:r>
    </w:p>
    <w:p>
      <w:pPr>
        <w:pStyle w:val="ListBullet"/>
      </w:pPr>
      <w:r>
        <w:t>Normalized totals are independently checked.</w:t>
      </w:r>
    </w:p>
    <w:p>
      <w:pPr>
        <w:pStyle w:val="Heading3"/>
      </w:pPr>
      <w:r>
        <w:t>Recommendation</w:t>
      </w:r>
    </w:p>
    <w:p>
      <w:pPr>
        <w:pStyle w:val="ListBullet"/>
      </w:pPr>
      <w:r>
        <w:t>Ranking follows the approved evaluation method.</w:t>
      </w:r>
    </w:p>
    <w:p>
      <w:pPr>
        <w:pStyle w:val="ListBullet"/>
      </w:pPr>
      <w:r>
        <w:t>Technical and commercial risks are visible.</w:t>
      </w:r>
    </w:p>
    <w:p>
      <w:pPr>
        <w:pStyle w:val="ListBullet"/>
      </w:pPr>
      <w:r>
        <w:t>Assumptions and unresolved conditions are documented.</w:t>
      </w:r>
    </w:p>
    <w:p>
      <w:pPr>
        <w:pStyle w:val="ListBullet"/>
      </w:pPr>
      <w:r>
        <w:t>The recommendation is supported by evidence.</w:t>
      </w:r>
    </w:p>
    <w:p>
      <w:pPr>
        <w:pStyle w:val="ListBullet"/>
      </w:pPr>
      <w:r>
        <w:t>Required approvals are recorded.</w:t>
      </w:r>
    </w:p>
    <w:p>
      <w:pPr>
        <w:pStyle w:val="ListBullet"/>
      </w:pPr>
      <w:r>
        <w:t>The final comparison and supporting records are retained.</w:t>
      </w:r>
    </w:p>
    <w:p>
      <w:pPr>
        <w:pStyle w:val="Heading2"/>
      </w:pPr>
      <w:r>
        <w:t>19. Interview questions and answers</w:t>
      </w:r>
    </w:p>
    <w:p>
      <w:r>
        <w:t>Q1. What is bid comparison?</w:t>
      </w:r>
    </w:p>
    <w:p>
      <w:r>
        <w:t>It is the structured comparison of supplier offers on a common technical, commercial, delivery, and contractual basis to support supplier selection.</w:t>
      </w:r>
    </w:p>
    <w:p>
      <w:r>
        <w:t>Q2. What is the difference between quoted price and evaluated price?</w:t>
      </w:r>
    </w:p>
    <w:p>
      <w:r>
        <w:t>Quoted price is the amount submitted by the supplier. Evaluated price is the amount determined using the approved evaluation basis, accounting for relevant scope differences and permitted adjustments.</w:t>
      </w:r>
    </w:p>
    <w:p>
      <w:r>
        <w:t>Q3. Why is price normalization required?</w:t>
      </w:r>
    </w:p>
    <w:p>
      <w:r>
        <w:t>It makes quotations comparable when suppliers include different items, services, delivery arrangements, or other costs.</w:t>
      </w:r>
    </w:p>
    <w:p>
      <w:r>
        <w:t>Q4. What is a comparative statement of quotations?</w:t>
      </w:r>
    </w:p>
    <w:p>
      <w:r>
        <w:t>It is a structured document summarizing supplier offers, technical status, commercial conditions, evaluated costs, and the recommendation.</w:t>
      </w:r>
    </w:p>
    <w:p>
      <w:r>
        <w:t>Q5. Is the lowest bidder always selected?</w:t>
      </w:r>
    </w:p>
    <w:p>
      <w:r>
        <w:t>Not necessarily. The procurement method may require technical qualification, compliance with mandatory conditions, or a broader best-value assessment.</w:t>
      </w:r>
    </w:p>
    <w:p>
      <w:r>
        <w:t>Q6. What is the difference between bid comparison and technical evaluation?</w:t>
      </w:r>
    </w:p>
    <w:p>
      <w:r>
        <w:t>Technical evaluation determines whether the proposed solution meets the requirements. Bid comparison summarizes and compares eligible offers using the evaluation results and other relevant criteria.</w:t>
      </w:r>
    </w:p>
    <w:p>
      <w:r>
        <w:t>Q7. How should taxes and freight be handled?</w:t>
      </w:r>
    </w:p>
    <w:p>
      <w:r>
        <w:t>They should be treated consistently according to the approved commercial evaluation rules, with the applicable assumptions and exclusions documented.</w:t>
      </w:r>
    </w:p>
    <w:p>
      <w:r>
        <w:t>Q8. Why should delivery and warranty be compared separately from price?</w:t>
      </w:r>
    </w:p>
    <w:p>
      <w:r>
        <w:t>They influence project completion, operational risk, maintenance cost, and the support available after commissioning.</w:t>
      </w:r>
    </w:p>
    <w:p>
      <w:r>
        <w:t>Q9. How can Excel improve bid comparison?</w:t>
      </w:r>
    </w:p>
    <w:p>
      <w:r>
        <w:t>It supports structured data entry, consistent calculations, filtering, formula-based normalization, ranking, and traceable comparison records.</w:t>
      </w:r>
    </w:p>
    <w:p>
      <w:r>
        <w:t>Q10. What makes a bid comparison auditable?</w:t>
      </w:r>
    </w:p>
    <w:p>
      <w:r>
        <w:t>Preserved original bids, approved criteria, traceable calculations, documented deviations, consistent treatment of suppliers, and recorded approvals.</w:t>
      </w:r>
    </w:p>
    <w:p>
      <w:pPr>
        <w:pStyle w:val="Heading2"/>
      </w:pPr>
      <w:r>
        <w:t>20. Key principles</w:t>
      </w:r>
    </w:p>
    <w:p>
      <w:r>
        <w:t>A reliable bid comparison depends on five essential practices:</w:t>
      </w:r>
    </w:p>
    <w:p>
      <w:pPr>
        <w:tabs>
          <w:tab w:pos="403" w:val="left"/>
        </w:tabs>
        <w:spacing w:after="40" w:line="276" w:lineRule="auto"/>
        <w:ind w:left="403" w:hanging="403"/>
        <w:jc w:val="left"/>
      </w:pPr>
      <w:r>
        <w:rPr>
          <w:color w:val="1A2E4A"/>
        </w:rPr>
        <w:t>1.</w:t>
        <w:tab/>
      </w:r>
      <w:r>
        <w:t>Compare equivalent scope: Make omissions and differences visible before ranking.</w:t>
      </w:r>
    </w:p>
    <w:p>
      <w:pPr>
        <w:tabs>
          <w:tab w:pos="403" w:val="left"/>
        </w:tabs>
        <w:spacing w:after="40" w:line="276" w:lineRule="auto"/>
        <w:ind w:left="403" w:hanging="403"/>
        <w:jc w:val="left"/>
      </w:pPr>
      <w:r>
        <w:rPr>
          <w:color w:val="1A2E4A"/>
        </w:rPr>
        <w:t>2.</w:t>
        <w:tab/>
      </w:r>
      <w:r>
        <w:t>Separate technical eligibility from commercial ranking: Price cannot repair a failed mandatory requirement.</w:t>
      </w:r>
    </w:p>
    <w:p>
      <w:pPr>
        <w:tabs>
          <w:tab w:pos="403" w:val="left"/>
        </w:tabs>
        <w:spacing w:after="40" w:line="276" w:lineRule="auto"/>
        <w:ind w:left="403" w:hanging="403"/>
        <w:jc w:val="left"/>
      </w:pPr>
      <w:r>
        <w:rPr>
          <w:color w:val="1A2E4A"/>
        </w:rPr>
        <w:t>3.</w:t>
        <w:tab/>
      </w:r>
      <w:r>
        <w:t>Normalize consistently: Apply the same approved methodology to every eligible offer.</w:t>
      </w:r>
    </w:p>
    <w:p>
      <w:pPr>
        <w:tabs>
          <w:tab w:pos="403" w:val="left"/>
        </w:tabs>
        <w:spacing w:after="40" w:line="276" w:lineRule="auto"/>
        <w:ind w:left="403" w:hanging="403"/>
        <w:jc w:val="left"/>
      </w:pPr>
      <w:r>
        <w:rPr>
          <w:color w:val="1A2E4A"/>
        </w:rPr>
        <w:t>4.</w:t>
        <w:tab/>
      </w:r>
      <w:r>
        <w:t>Consider the whole commitment: Delivery, warranty, support, lifecycle cost, and risk matter alongside price.</w:t>
      </w:r>
    </w:p>
    <w:p>
      <w:pPr>
        <w:tabs>
          <w:tab w:pos="403" w:val="left"/>
        </w:tabs>
        <w:spacing w:after="40" w:line="276" w:lineRule="auto"/>
        <w:ind w:left="403" w:hanging="403"/>
        <w:jc w:val="left"/>
      </w:pPr>
      <w:r>
        <w:rPr>
          <w:color w:val="1A2E4A"/>
        </w:rPr>
        <w:t>5.</w:t>
        <w:tab/>
      </w:r>
      <w:r>
        <w:t>Preserve the evidence: Every adjustment and recommendation should be explainable and traceable.</w:t>
      </w:r>
    </w:p>
    <w:p>
      <w:r>
        <w:t>For industrial automation, the most useful bid comparison is one that allows engineering, maintenance, procurement, finance, and management to understand exactly what each supplier is offering, what the solution will cost, and what risks remain before the purchase is approved.</w:t>
      </w:r>
    </w:p>
    <w:p>
      <w:pPr>
        <w:pStyle w:val="Heading2"/>
      </w:pPr>
      <w:r>
        <w:t>NEXT TOPIC</w:t>
      </w:r>
    </w:p>
    <w:p>
      <w:r>
        <w:rPr>
          <w:rFonts w:ascii="Consolas" w:hAnsi="Consolas"/>
          <w:color w:val="333333"/>
          <w:sz w:val="19"/>
          <w:shd w:val="clear" w:color="auto" w:fill="EFEFEF"/>
        </w:rPr>
        <w:t>02_PLAN_WISE_2026\02_INDUSTRY3_0\07_Lifecycle\03_Procurement\06_Technical_Clarification - Technical clarification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02_PLAN_WISE_2026\02_INDUSTRY3_0\07_Lifecycle\03_Procurement\05_Bid_Comparison - Bid comparison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