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02_PLAN_WISE_2026\02_INDUSTRY3_0\07_Lifecycle\03_Procurement\06_Technical_Clarification - Technical clarification</w:t>
      </w:r>
    </w:p>
    <w:p>
      <w:pPr>
        <w:pStyle w:val="Heading2"/>
      </w:pPr>
      <w:r>
        <w:t>1. What is technical clarification?</w:t>
      </w:r>
    </w:p>
    <w:p>
      <w:r>
        <w:t>Technical clarification is the formal process of resolving ambiguities, omissions, inconsistencies, and uncertainties in a supplier's offer so that the buyer can determine exactly what is being proposed and whether it meets the specified requirements.</w:t>
      </w:r>
    </w:p>
    <w:p>
      <w:r>
        <w:t>In industrial automation procurement, technical clarification may address PLC compatibility, I/O capacity, communication protocols, drive sizing, safety functions, software licensing, programming scope, FAT/SAT requirements, installation, commissioning, and documentation.</w:t>
      </w:r>
    </w:p>
    <w:p>
      <w:r>
        <w:t>The objective is to establish a clear, technically accurate, and contractually usable understanding of the supplier's proposal before vendor selection or purchase order finalization.</w:t>
      </w:r>
    </w:p>
    <w:p>
      <w:r>
        <w:t>Technical clarification is not permission to change requirements informally, overlook noncompliance, or negotiate hidden advantages for one supplier.</w:t>
      </w:r>
    </w:p>
    <w:p>
      <w:pPr>
        <w:pStyle w:val="Heading2"/>
      </w:pPr>
      <w:r>
        <w:t>2. Why technical clarification is necessary</w:t>
      </w:r>
    </w:p>
    <w:p>
      <w:r>
        <w:t>Supplier quotations frequently contain incomplete or ambiguous statements such as:</w:t>
      </w:r>
    </w:p>
    <w:p>
      <w:pPr>
        <w:pStyle w:val="ListBullet"/>
      </w:pPr>
      <w:r>
        <w:t>"PLC programming included" without defining whether existing logic migration is included.</w:t>
      </w:r>
    </w:p>
    <w:p>
      <w:pPr>
        <w:pStyle w:val="ListBullet"/>
      </w:pPr>
      <w:r>
        <w:t>"Compatible with existing system" without specifying the hardware, firmware, or communication interface.</w:t>
      </w:r>
    </w:p>
    <w:p>
      <w:pPr>
        <w:pStyle w:val="ListBullet"/>
      </w:pPr>
      <w:r>
        <w:t>"Commissioning included" without defining the number of site visits or shutdown days.</w:t>
      </w:r>
    </w:p>
    <w:p>
      <w:pPr>
        <w:pStyle w:val="ListBullet"/>
      </w:pPr>
      <w:r>
        <w:t>"Safety integration supported" without specifying the safety architecture or validation responsibilities.</w:t>
      </w:r>
    </w:p>
    <w:p>
      <w:pPr>
        <w:pStyle w:val="ListBullet"/>
      </w:pPr>
      <w:r>
        <w:t>"All necessary accessories included" without an itemized bill of materials.</w:t>
      </w:r>
    </w:p>
    <w:p>
      <w:pPr>
        <w:pStyle w:val="ListBullet"/>
      </w:pPr>
      <w:r>
        <w:t>"Standard warranty" without defining its duration, commencement, or exclusions.</w:t>
      </w:r>
    </w:p>
    <w:p>
      <w:pPr>
        <w:pStyle w:val="ListBullet"/>
      </w:pPr>
      <w:r>
        <w:t>"Equivalent model offered" without a documented comparison against the requested specification.</w:t>
      </w:r>
    </w:p>
    <w:p>
      <w:r>
        <w:t>These statements may sound acceptable during quotation review, but they can become expensive disputes during installation.</w:t>
      </w:r>
    </w:p>
    <w:p>
      <w:r>
        <w:t>Technical clarification converts uncertain statements into specific, verifiable commitments.</w:t>
      </w:r>
    </w:p>
    <w:p>
      <w:pPr>
        <w:pStyle w:val="Heading2"/>
      </w:pPr>
      <w:r>
        <w:t>3. Where technical clarification fits in procurement</w:t>
      </w:r>
    </w:p>
    <w:p>
      <w:pPr>
        <w:shd w:val="clear" w:color="auto" w:fill="F4F4F4"/>
        <w:spacing w:before="0" w:after="0" w:line="240" w:lineRule="auto"/>
        <w:ind w:left="216" w:right="216"/>
        <w:jc w:val="left"/>
      </w:pPr>
      <w:r>
        <w:rPr>
          <w:rFonts w:ascii="Consolas" w:hAnsi="Consolas"/>
          <w:color w:val="202020"/>
          <w:sz w:val="18"/>
        </w:rPr>
        <w:t>RFQ and Approved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Submits Technical and Commercial Bid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Bid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Ambiguities, Deviations, and Missing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Formal Clarification Questions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Questions Through the Approved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Provides Written Responses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Reviews Responses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 Reject / Request Further Clarification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Compliance and Deviation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Finalize 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Bid Comparison and Vendor Selection</w:t>
      </w:r>
    </w:p>
    <w:p/>
    <w:p>
      <w:r>
        <w:t>The exact sequence depends on the procurement procedure. Clarifications may occur before or during technical evaluation, and some processes permit limited clarifications after preliminary evaluation.</w:t>
      </w:r>
    </w:p>
    <w:p>
      <w:r>
        <w:t>Any clarification that could materially change the offer must be handled under the organization's procurement rules.</w:t>
      </w:r>
    </w:p>
    <w:p>
      <w:pPr>
        <w:pStyle w:val="Heading2"/>
      </w:pPr>
      <w:r>
        <w:t>4. Technical clarification versus related procurement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Technical evaluation</w:t>
            </w:r>
          </w:p>
        </w:tc>
        <w:tc>
          <w:tcPr>
            <w:tcW w:type="dxa" w:w="3600"/>
          </w:tcPr>
          <w:p>
            <w:pPr>
              <w:spacing w:after="0" w:before="0" w:line="240" w:lineRule="auto"/>
              <w:jc w:val="left"/>
            </w:pPr>
            <w:r>
              <w:t>Determine compliance with requirements</w:t>
            </w:r>
          </w:p>
        </w:tc>
        <w:tc>
          <w:tcPr>
            <w:tcW w:type="dxa" w:w="3600"/>
          </w:tcPr>
          <w:p>
            <w:pPr>
              <w:spacing w:after="0" w:before="0" w:line="240" w:lineRule="auto"/>
              <w:jc w:val="left"/>
            </w:pPr>
            <w:r>
              <w:t>Technical evaluation report</w:t>
            </w:r>
          </w:p>
        </w:tc>
      </w:tr>
      <w:tr>
        <w:tc>
          <w:tcPr>
            <w:tcW w:type="dxa" w:w="3600"/>
          </w:tcPr>
          <w:p>
            <w:pPr>
              <w:spacing w:after="0" w:before="0" w:line="240" w:lineRule="auto"/>
              <w:jc w:val="left"/>
            </w:pPr>
            <w:r>
              <w:t>Technical clarification</w:t>
            </w:r>
          </w:p>
        </w:tc>
        <w:tc>
          <w:tcPr>
            <w:tcW w:type="dxa" w:w="3600"/>
          </w:tcPr>
          <w:p>
            <w:pPr>
              <w:spacing w:after="0" w:before="0" w:line="240" w:lineRule="auto"/>
              <w:jc w:val="left"/>
            </w:pPr>
            <w:r>
              <w:t>Resolve ambiguity or obtain missing technical information</w:t>
            </w:r>
          </w:p>
        </w:tc>
        <w:tc>
          <w:tcPr>
            <w:tcW w:type="dxa" w:w="3600"/>
          </w:tcPr>
          <w:p>
            <w:pPr>
              <w:spacing w:after="0" w:before="0" w:line="240" w:lineRule="auto"/>
              <w:jc w:val="left"/>
            </w:pPr>
            <w:r>
              <w:t>Clarification log and written responses</w:t>
            </w:r>
          </w:p>
        </w:tc>
      </w:tr>
      <w:tr>
        <w:tc>
          <w:tcPr>
            <w:tcW w:type="dxa" w:w="3600"/>
          </w:tcPr>
          <w:p>
            <w:pPr>
              <w:spacing w:after="0" w:before="0" w:line="240" w:lineRule="auto"/>
              <w:jc w:val="left"/>
            </w:pPr>
            <w:r>
              <w:t>Commercial clarification</w:t>
            </w:r>
          </w:p>
        </w:tc>
        <w:tc>
          <w:tcPr>
            <w:tcW w:type="dxa" w:w="3600"/>
          </w:tcPr>
          <w:p>
            <w:pPr>
              <w:spacing w:after="0" w:before="0" w:line="240" w:lineRule="auto"/>
              <w:jc w:val="left"/>
            </w:pPr>
            <w:r>
              <w:t>Resolve price, taxes, payment, or contractual uncertainties</w:t>
            </w:r>
          </w:p>
        </w:tc>
        <w:tc>
          <w:tcPr>
            <w:tcW w:type="dxa" w:w="3600"/>
          </w:tcPr>
          <w:p>
            <w:pPr>
              <w:spacing w:after="0" w:before="0" w:line="240" w:lineRule="auto"/>
              <w:jc w:val="left"/>
            </w:pPr>
            <w:r>
              <w:t>Commercial clarification record</w:t>
            </w:r>
          </w:p>
        </w:tc>
      </w:tr>
      <w:tr>
        <w:tc>
          <w:tcPr>
            <w:tcW w:type="dxa" w:w="3600"/>
          </w:tcPr>
          <w:p>
            <w:pPr>
              <w:spacing w:after="0" w:before="0" w:line="240" w:lineRule="auto"/>
              <w:jc w:val="left"/>
            </w:pPr>
            <w:r>
              <w:t>Negotiation</w:t>
            </w:r>
          </w:p>
        </w:tc>
        <w:tc>
          <w:tcPr>
            <w:tcW w:type="dxa" w:w="3600"/>
          </w:tcPr>
          <w:p>
            <w:pPr>
              <w:spacing w:after="0" w:before="0" w:line="240" w:lineRule="auto"/>
              <w:jc w:val="left"/>
            </w:pPr>
            <w:r>
              <w:t>Seek an agreed change in price or contract terms where permitted</w:t>
            </w:r>
          </w:p>
        </w:tc>
        <w:tc>
          <w:tcPr>
            <w:tcW w:type="dxa" w:w="3600"/>
          </w:tcPr>
          <w:p>
            <w:pPr>
              <w:spacing w:after="0" w:before="0" w:line="240" w:lineRule="auto"/>
              <w:jc w:val="left"/>
            </w:pPr>
            <w:r>
              <w:t>Negotiation record and revised offer</w:t>
            </w:r>
          </w:p>
        </w:tc>
      </w:tr>
      <w:tr>
        <w:tc>
          <w:tcPr>
            <w:tcW w:type="dxa" w:w="3600"/>
          </w:tcPr>
          <w:p>
            <w:pPr>
              <w:spacing w:after="0" w:before="0" w:line="240" w:lineRule="auto"/>
              <w:jc w:val="left"/>
            </w:pPr>
            <w:r>
              <w:t>Technical deviation review</w:t>
            </w:r>
          </w:p>
        </w:tc>
        <w:tc>
          <w:tcPr>
            <w:tcW w:type="dxa" w:w="3600"/>
          </w:tcPr>
          <w:p>
            <w:pPr>
              <w:spacing w:after="0" w:before="0" w:line="240" w:lineRule="auto"/>
              <w:jc w:val="left"/>
            </w:pPr>
            <w:r>
              <w:t>Assess departures from specified requirements</w:t>
            </w:r>
          </w:p>
        </w:tc>
        <w:tc>
          <w:tcPr>
            <w:tcW w:type="dxa" w:w="3600"/>
          </w:tcPr>
          <w:p>
            <w:pPr>
              <w:spacing w:after="0" w:before="0" w:line="240" w:lineRule="auto"/>
              <w:jc w:val="left"/>
            </w:pPr>
            <w:r>
              <w:t>Deviation register and acceptance decision</w:t>
            </w:r>
          </w:p>
        </w:tc>
      </w:tr>
      <w:tr>
        <w:tc>
          <w:tcPr>
            <w:tcW w:type="dxa" w:w="3600"/>
          </w:tcPr>
          <w:p>
            <w:pPr>
              <w:spacing w:after="0" w:before="0" w:line="240" w:lineRule="auto"/>
              <w:jc w:val="left"/>
            </w:pPr>
            <w:r>
              <w:t>Vendor selection</w:t>
            </w:r>
          </w:p>
        </w:tc>
        <w:tc>
          <w:tcPr>
            <w:tcW w:type="dxa" w:w="3600"/>
          </w:tcPr>
          <w:p>
            <w:pPr>
              <w:spacing w:after="0" w:before="0" w:line="240" w:lineRule="auto"/>
              <w:jc w:val="left"/>
            </w:pPr>
            <w:r>
              <w:t>Choose a supplier using the approved evaluation method</w:t>
            </w:r>
          </w:p>
        </w:tc>
        <w:tc>
          <w:tcPr>
            <w:tcW w:type="dxa" w:w="3600"/>
          </w:tcPr>
          <w:p>
            <w:pPr>
              <w:spacing w:after="0" w:before="0" w:line="240" w:lineRule="auto"/>
              <w:jc w:val="left"/>
            </w:pPr>
            <w:r>
              <w:t>Award recommendation and approval</w:t>
            </w:r>
          </w:p>
        </w:tc>
      </w:tr>
    </w:tbl>
    <w:p/>
    <w:p>
      <w:r>
        <w:t>A clarification request should not be used to disguise negotiation or to permit an unapproved redesign of the procurement requirement.</w:t>
      </w:r>
    </w:p>
    <w:p>
      <w:pPr>
        <w:pStyle w:val="Heading2"/>
      </w:pPr>
      <w:r>
        <w:t>5. Main categories of technical clarification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clarification</w:t>
            </w:r>
          </w:p>
        </w:tc>
      </w:tr>
      <w:tr>
        <w:tc>
          <w:tcPr>
            <w:tcW w:type="dxa" w:w="5400"/>
          </w:tcPr>
          <w:p>
            <w:pPr>
              <w:spacing w:after="0" w:before="0" w:line="240" w:lineRule="auto"/>
              <w:jc w:val="left"/>
            </w:pPr>
            <w:r>
              <w:t>Scope of supply</w:t>
            </w:r>
          </w:p>
        </w:tc>
        <w:tc>
          <w:tcPr>
            <w:tcW w:type="dxa" w:w="5400"/>
          </w:tcPr>
          <w:p>
            <w:pPr>
              <w:spacing w:after="0" w:before="0" w:line="240" w:lineRule="auto"/>
              <w:jc w:val="left"/>
            </w:pPr>
            <w:r>
              <w:t>Which hardware, software, services, and accessories are included?</w:t>
            </w:r>
          </w:p>
        </w:tc>
      </w:tr>
      <w:tr>
        <w:tc>
          <w:tcPr>
            <w:tcW w:type="dxa" w:w="5400"/>
          </w:tcPr>
          <w:p>
            <w:pPr>
              <w:spacing w:after="0" w:before="0" w:line="240" w:lineRule="auto"/>
              <w:jc w:val="left"/>
            </w:pPr>
            <w:r>
              <w:t>Hardware</w:t>
            </w:r>
          </w:p>
        </w:tc>
        <w:tc>
          <w:tcPr>
            <w:tcW w:type="dxa" w:w="5400"/>
          </w:tcPr>
          <w:p>
            <w:pPr>
              <w:spacing w:after="0" w:before="0" w:line="240" w:lineRule="auto"/>
              <w:jc w:val="left"/>
            </w:pPr>
            <w:r>
              <w:t>Exact manufacturer, model, rating, capacity, and quantity</w:t>
            </w:r>
          </w:p>
        </w:tc>
      </w:tr>
      <w:tr>
        <w:tc>
          <w:tcPr>
            <w:tcW w:type="dxa" w:w="5400"/>
          </w:tcPr>
          <w:p>
            <w:pPr>
              <w:spacing w:after="0" w:before="0" w:line="240" w:lineRule="auto"/>
              <w:jc w:val="left"/>
            </w:pPr>
            <w:r>
              <w:t>PLC and I/O</w:t>
            </w:r>
          </w:p>
        </w:tc>
        <w:tc>
          <w:tcPr>
            <w:tcW w:type="dxa" w:w="5400"/>
          </w:tcPr>
          <w:p>
            <w:pPr>
              <w:spacing w:after="0" w:before="0" w:line="240" w:lineRule="auto"/>
              <w:jc w:val="left"/>
            </w:pPr>
            <w:r>
              <w:t>CPU type, I/O count, spare capacity, and signal compatibility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topology, interfaces, addressing, and data exchange</w:t>
            </w:r>
          </w:p>
        </w:tc>
      </w:tr>
      <w:tr>
        <w:tc>
          <w:tcPr>
            <w:tcW w:type="dxa" w:w="5400"/>
          </w:tcPr>
          <w:p>
            <w:pPr>
              <w:spacing w:after="0" w:before="0" w:line="240" w:lineRule="auto"/>
              <w:jc w:val="left"/>
            </w:pPr>
            <w:r>
              <w:t>Software</w:t>
            </w:r>
          </w:p>
        </w:tc>
        <w:tc>
          <w:tcPr>
            <w:tcW w:type="dxa" w:w="5400"/>
          </w:tcPr>
          <w:p>
            <w:pPr>
              <w:spacing w:after="0" w:before="0" w:line="240" w:lineRule="auto"/>
              <w:jc w:val="left"/>
            </w:pPr>
            <w:r>
              <w:t>License type, development environment, version, and runtime restrictions</w:t>
            </w:r>
          </w:p>
        </w:tc>
      </w:tr>
      <w:tr>
        <w:tc>
          <w:tcPr>
            <w:tcW w:type="dxa" w:w="5400"/>
          </w:tcPr>
          <w:p>
            <w:pPr>
              <w:spacing w:after="0" w:before="0" w:line="240" w:lineRule="auto"/>
              <w:jc w:val="left"/>
            </w:pPr>
            <w:r>
              <w:t>Existing-system compatibility</w:t>
            </w:r>
          </w:p>
        </w:tc>
        <w:tc>
          <w:tcPr>
            <w:tcW w:type="dxa" w:w="5400"/>
          </w:tcPr>
          <w:p>
            <w:pPr>
              <w:spacing w:after="0" w:before="0" w:line="240" w:lineRule="auto"/>
              <w:jc w:val="left"/>
            </w:pPr>
            <w:r>
              <w:t>Interface compatibility, migration requirements, and firmware constraints</w:t>
            </w:r>
          </w:p>
        </w:tc>
      </w:tr>
      <w:tr>
        <w:tc>
          <w:tcPr>
            <w:tcW w:type="dxa" w:w="5400"/>
          </w:tcPr>
          <w:p>
            <w:pPr>
              <w:spacing w:after="0" w:before="0" w:line="240" w:lineRule="auto"/>
              <w:jc w:val="left"/>
            </w:pPr>
            <w:r>
              <w:t>Control functionality</w:t>
            </w:r>
          </w:p>
        </w:tc>
        <w:tc>
          <w:tcPr>
            <w:tcW w:type="dxa" w:w="5400"/>
          </w:tcPr>
          <w:p>
            <w:pPr>
              <w:spacing w:after="0" w:before="0" w:line="240" w:lineRule="auto"/>
              <w:jc w:val="left"/>
            </w:pPr>
            <w:r>
              <w:t>Sequence behavior, interlocks, modes, alarms, and recovery</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functions, architecture, interfaces, and validation evidence</w:t>
            </w:r>
          </w:p>
        </w:tc>
      </w:tr>
      <w:tr>
        <w:tc>
          <w:tcPr>
            <w:tcW w:type="dxa" w:w="5400"/>
          </w:tcPr>
          <w:p>
            <w:pPr>
              <w:spacing w:after="0" w:before="0" w:line="240" w:lineRule="auto"/>
              <w:jc w:val="left"/>
            </w:pPr>
            <w:r>
              <w:t>Electrical design</w:t>
            </w:r>
          </w:p>
        </w:tc>
        <w:tc>
          <w:tcPr>
            <w:tcW w:type="dxa" w:w="5400"/>
          </w:tcPr>
          <w:p>
            <w:pPr>
              <w:spacing w:after="0" w:before="0" w:line="240" w:lineRule="auto"/>
              <w:jc w:val="left"/>
            </w:pPr>
            <w:r>
              <w:t>Power supply, protection, wiring, grounding, and panel requirements</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Dimensions, mounting, connectors, and installation constraints</w:t>
            </w:r>
          </w:p>
        </w:tc>
      </w:tr>
      <w:tr>
        <w:tc>
          <w:tcPr>
            <w:tcW w:type="dxa" w:w="5400"/>
          </w:tcPr>
          <w:p>
            <w:pPr>
              <w:spacing w:after="0" w:before="0" w:line="240" w:lineRule="auto"/>
              <w:jc w:val="left"/>
            </w:pPr>
            <w:r>
              <w:t>Testing</w:t>
            </w:r>
          </w:p>
        </w:tc>
        <w:tc>
          <w:tcPr>
            <w:tcW w:type="dxa" w:w="5400"/>
          </w:tcPr>
          <w:p>
            <w:pPr>
              <w:spacing w:after="0" w:before="0" w:line="240" w:lineRule="auto"/>
              <w:jc w:val="left"/>
            </w:pPr>
            <w:r>
              <w:t>FAT, SAT, test cases, acceptance criteria, and responsibilities</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Site activities, shutdown duration, staffing, and production handover</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Schematics, BOM, source code, backups, manuals, and as-built drawings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Spare parts, diagnostics, repairability, and service support</w:t>
            </w:r>
          </w:p>
        </w:tc>
      </w:tr>
      <w:tr>
        <w:tc>
          <w:tcPr>
            <w:tcW w:type="dxa" w:w="5400"/>
          </w:tcPr>
          <w:p>
            <w:pPr>
              <w:spacing w:after="0" w:before="0" w:line="240" w:lineRule="auto"/>
              <w:jc w:val="left"/>
            </w:pPr>
            <w:r>
              <w:t>Delivery</w:t>
            </w:r>
          </w:p>
        </w:tc>
        <w:tc>
          <w:tcPr>
            <w:tcW w:type="dxa" w:w="5400"/>
          </w:tcPr>
          <w:p>
            <w:pPr>
              <w:spacing w:after="0" w:before="0" w:line="240" w:lineRule="auto"/>
              <w:jc w:val="left"/>
            </w:pPr>
            <w:r>
              <w:t>Technical submittals, design approvals, and implementation dependencies</w:t>
            </w:r>
          </w:p>
        </w:tc>
      </w:tr>
    </w:tbl>
    <w:p/>
    <w:p>
      <w:pPr>
        <w:pStyle w:val="Heading2"/>
      </w:pPr>
      <w:r>
        <w:t>6. How to identify clarification requirements</w:t>
      </w:r>
    </w:p>
    <w:p>
      <w:r>
        <w:t>Review the supplier's offer systematically against the RFQ, user requirements specification, functional requirements, control philosophy, electrical drawings, network architecture, and other applicable documents.</w:t>
      </w:r>
    </w:p>
    <w:p>
      <w:r>
        <w:t>Look for the following types of uncertainty.</w:t>
      </w:r>
    </w:p>
    <w:p>
      <w:pPr>
        <w:pStyle w:val="Heading3"/>
      </w:pPr>
      <w:r>
        <w:t>6.1 Ambiguity</w:t>
      </w:r>
    </w:p>
    <w:p>
      <w:r>
        <w:t>A statement can have multiple interpretations.</w:t>
      </w:r>
    </w:p>
    <w:p>
      <w:r>
        <w:t>Example: "The system supports remote diagnostics."</w:t>
      </w:r>
    </w:p>
    <w:p>
      <w:r>
        <w:t>Clarification required:</w:t>
      </w:r>
    </w:p>
    <w:p>
      <w:pPr>
        <w:pStyle w:val="ListBullet"/>
      </w:pPr>
      <w:r>
        <w:t>Does remote diagnostics mean local engineering access, plant-network access, or vendor remote access?</w:t>
      </w:r>
    </w:p>
    <w:p>
      <w:pPr>
        <w:pStyle w:val="ListBullet"/>
      </w:pPr>
      <w:r>
        <w:t>Which protocols and software are required?</w:t>
      </w:r>
    </w:p>
    <w:p>
      <w:pPr>
        <w:pStyle w:val="ListBullet"/>
      </w:pPr>
      <w:r>
        <w:t>Is remote access hardware included?</w:t>
      </w:r>
    </w:p>
    <w:p>
      <w:pPr>
        <w:pStyle w:val="ListBullet"/>
      </w:pPr>
      <w:r>
        <w:t>Who authorizes and controls access?</w:t>
      </w:r>
    </w:p>
    <w:p>
      <w:pPr>
        <w:pStyle w:val="ListBullet"/>
      </w:pPr>
      <w:r>
        <w:t>Is the function available without a recurring subscription?</w:t>
      </w:r>
    </w:p>
    <w:p>
      <w:pPr>
        <w:pStyle w:val="Heading3"/>
      </w:pPr>
      <w:r>
        <w:t>6.2 Omission</w:t>
      </w:r>
    </w:p>
    <w:p>
      <w:r>
        <w:t>A required detail is not provided.</w:t>
      </w:r>
    </w:p>
    <w:p>
      <w:r>
        <w:t>Example: The supplier lists a PLC CPU but does not specify the required communication module.</w:t>
      </w:r>
    </w:p>
    <w:p>
      <w:r>
        <w:t>Clarification required:</w:t>
      </w:r>
    </w:p>
    <w:p>
      <w:pPr>
        <w:pStyle w:val="ListBullet"/>
      </w:pPr>
      <w:r>
        <w:t>Identify the exact module and quantity.</w:t>
      </w:r>
    </w:p>
    <w:p>
      <w:pPr>
        <w:pStyle w:val="ListBullet"/>
      </w:pPr>
      <w:r>
        <w:t>Confirm compatibility with the proposed CPU and firmware.</w:t>
      </w:r>
    </w:p>
    <w:p>
      <w:pPr>
        <w:pStyle w:val="ListBullet"/>
      </w:pPr>
      <w:r>
        <w:t>Confirm that the required network connection is included in the scope.</w:t>
      </w:r>
    </w:p>
    <w:p>
      <w:pPr>
        <w:pStyle w:val="Heading3"/>
      </w:pPr>
      <w:r>
        <w:t>6.3 Contradiction</w:t>
      </w:r>
    </w:p>
    <w:p>
      <w:r>
        <w:t>Two parts of the bid provide conflicting information.</w:t>
      </w:r>
    </w:p>
    <w:p>
      <w:r>
        <w:t>Example: The technical proposal promises commissioning, but the commercial exclusions state that site commissioning is chargeable.</w:t>
      </w:r>
    </w:p>
    <w:p>
      <w:r>
        <w:t>Clarification required:</w:t>
      </w:r>
    </w:p>
    <w:p>
      <w:pPr>
        <w:pStyle w:val="ListBullet"/>
      </w:pPr>
      <w:r>
        <w:t>Ask the supplier to identify the applicable scope.</w:t>
      </w:r>
    </w:p>
    <w:p>
      <w:pPr>
        <w:pStyle w:val="ListBullet"/>
      </w:pPr>
      <w:r>
        <w:t>Request an unambiguous written confirmation.</w:t>
      </w:r>
    </w:p>
    <w:p>
      <w:pPr>
        <w:pStyle w:val="ListBullet"/>
      </w:pPr>
      <w:r>
        <w:t>Record any associated commercial impact through the authorized procurement process.</w:t>
      </w:r>
    </w:p>
    <w:p>
      <w:pPr>
        <w:pStyle w:val="Heading3"/>
      </w:pPr>
      <w:r>
        <w:t>6.4 Unverified equivalence</w:t>
      </w:r>
    </w:p>
    <w:p>
      <w:r>
        <w:t>A supplier proposes an alternative component without sufficient evidence.</w:t>
      </w:r>
    </w:p>
    <w:p>
      <w:r>
        <w:t>Example: A different PLC platform is offered as a drop-in replacement.</w:t>
      </w:r>
    </w:p>
    <w:p>
      <w:r>
        <w:t>Clarification required:</w:t>
      </w:r>
    </w:p>
    <w:p>
      <w:pPr>
        <w:pStyle w:val="ListBullet"/>
      </w:pPr>
      <w:r>
        <w:t>Compare I/O compatibility.</w:t>
      </w:r>
    </w:p>
    <w:p>
      <w:pPr>
        <w:pStyle w:val="ListBullet"/>
      </w:pPr>
      <w:r>
        <w:t>Check program migration requirements.</w:t>
      </w:r>
    </w:p>
    <w:p>
      <w:pPr>
        <w:pStyle w:val="ListBullet"/>
      </w:pPr>
      <w:r>
        <w:t>Assess communication and HMI compatibility.</w:t>
      </w:r>
    </w:p>
    <w:p>
      <w:pPr>
        <w:pStyle w:val="ListBullet"/>
      </w:pPr>
      <w:r>
        <w:t>Review safety implications.</w:t>
      </w:r>
    </w:p>
    <w:p>
      <w:pPr>
        <w:pStyle w:val="ListBullet"/>
      </w:pPr>
      <w:r>
        <w:t>Determine whether panel modifications are necessary.</w:t>
      </w:r>
    </w:p>
    <w:p>
      <w:pPr>
        <w:pStyle w:val="ListBullet"/>
      </w:pPr>
      <w:r>
        <w:t>Evaluate engineering, testing, and commissioning impact.</w:t>
      </w:r>
    </w:p>
    <w:p>
      <w:r>
        <w:t>The term equivalent is a claim, not proof.</w:t>
      </w:r>
    </w:p>
    <w:p>
      <w:pPr>
        <w:pStyle w:val="Heading3"/>
      </w:pPr>
      <w:r>
        <w:t>6.5 Unclear acceptance criteria</w:t>
      </w:r>
    </w:p>
    <w:p>
      <w:r>
        <w:t>A supplier promises that the system will "operate satisfactorily" without measurable criteria.</w:t>
      </w:r>
    </w:p>
    <w:p>
      <w:r>
        <w:t>Clarification required:</w:t>
      </w:r>
    </w:p>
    <w:p>
      <w:pPr>
        <w:pStyle w:val="ListBullet"/>
      </w:pPr>
      <w:r>
        <w:t>Define the required operating sequence.</w:t>
      </w:r>
    </w:p>
    <w:p>
      <w:pPr>
        <w:pStyle w:val="ListBullet"/>
      </w:pPr>
      <w:r>
        <w:t>Specify applicable cycle-time or performance limits.</w:t>
      </w:r>
    </w:p>
    <w:p>
      <w:pPr>
        <w:pStyle w:val="ListBullet"/>
      </w:pPr>
      <w:r>
        <w:t>Identify alarm, interlock, and recovery behavior.</w:t>
      </w:r>
    </w:p>
    <w:p>
      <w:pPr>
        <w:pStyle w:val="ListBullet"/>
      </w:pPr>
      <w:r>
        <w:t>Establish FAT and SAT test cases.</w:t>
      </w:r>
    </w:p>
    <w:p>
      <w:pPr>
        <w:pStyle w:val="ListBullet"/>
      </w:pPr>
      <w:r>
        <w:t>Define the acceptance evidence and responsible parties.</w:t>
      </w:r>
    </w:p>
    <w:p>
      <w:pPr>
        <w:pStyle w:val="Heading2"/>
      </w:pPr>
      <w:r>
        <w:t>7. The technical clarification register</w:t>
      </w:r>
    </w:p>
    <w:p>
      <w:r>
        <w:t>A technical clarification register is the controlled record of questions, supplier responses, technical assessments, and final decisions.</w:t>
      </w:r>
    </w:p>
    <w:p>
      <w:r>
        <w:t>A useful register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Clarification ID</w:t>
            </w:r>
          </w:p>
        </w:tc>
        <w:tc>
          <w:tcPr>
            <w:tcW w:type="dxa" w:w="5400"/>
          </w:tcPr>
          <w:p>
            <w:pPr>
              <w:spacing w:after="0" w:before="0" w:line="240" w:lineRule="auto"/>
              <w:jc w:val="left"/>
            </w:pPr>
            <w:r>
              <w:t>Unique reference number</w:t>
            </w:r>
          </w:p>
        </w:tc>
      </w:tr>
      <w:tr>
        <w:tc>
          <w:tcPr>
            <w:tcW w:type="dxa" w:w="5400"/>
          </w:tcPr>
          <w:p>
            <w:pPr>
              <w:spacing w:after="0" w:before="0" w:line="240" w:lineRule="auto"/>
              <w:jc w:val="left"/>
            </w:pPr>
            <w:r>
              <w:t>RFQ or project reference</w:t>
            </w:r>
          </w:p>
        </w:tc>
        <w:tc>
          <w:tcPr>
            <w:tcW w:type="dxa" w:w="5400"/>
          </w:tcPr>
          <w:p>
            <w:pPr>
              <w:spacing w:after="0" w:before="0" w:line="240" w:lineRule="auto"/>
              <w:jc w:val="left"/>
            </w:pPr>
            <w:r>
              <w:t>Identifies the procurement</w:t>
            </w:r>
          </w:p>
        </w:tc>
      </w:tr>
      <w:tr>
        <w:tc>
          <w:tcPr>
            <w:tcW w:type="dxa" w:w="5400"/>
          </w:tcPr>
          <w:p>
            <w:pPr>
              <w:spacing w:after="0" w:before="0" w:line="240" w:lineRule="auto"/>
              <w:jc w:val="left"/>
            </w:pPr>
            <w:r>
              <w:t>Supplier</w:t>
            </w:r>
          </w:p>
        </w:tc>
        <w:tc>
          <w:tcPr>
            <w:tcW w:type="dxa" w:w="5400"/>
          </w:tcPr>
          <w:p>
            <w:pPr>
              <w:spacing w:after="0" w:before="0" w:line="240" w:lineRule="auto"/>
              <w:jc w:val="left"/>
            </w:pPr>
            <w:r>
              <w:t>Identifies the bidder</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Links the question to a specification or drawing</w:t>
            </w:r>
          </w:p>
        </w:tc>
      </w:tr>
      <w:tr>
        <w:tc>
          <w:tcPr>
            <w:tcW w:type="dxa" w:w="5400"/>
          </w:tcPr>
          <w:p>
            <w:pPr>
              <w:spacing w:after="0" w:before="0" w:line="240" w:lineRule="auto"/>
              <w:jc w:val="left"/>
            </w:pPr>
            <w:r>
              <w:t>Original bid statement</w:t>
            </w:r>
          </w:p>
        </w:tc>
        <w:tc>
          <w:tcPr>
            <w:tcW w:type="dxa" w:w="5400"/>
          </w:tcPr>
          <w:p>
            <w:pPr>
              <w:spacing w:after="0" w:before="0" w:line="240" w:lineRule="auto"/>
              <w:jc w:val="left"/>
            </w:pPr>
            <w:r>
              <w:t>Records what the supplier actually offered</w:t>
            </w:r>
          </w:p>
        </w:tc>
      </w:tr>
      <w:tr>
        <w:tc>
          <w:tcPr>
            <w:tcW w:type="dxa" w:w="5400"/>
          </w:tcPr>
          <w:p>
            <w:pPr>
              <w:spacing w:after="0" w:before="0" w:line="240" w:lineRule="auto"/>
              <w:jc w:val="left"/>
            </w:pPr>
            <w:r>
              <w:t>Clarification question</w:t>
            </w:r>
          </w:p>
        </w:tc>
        <w:tc>
          <w:tcPr>
            <w:tcW w:type="dxa" w:w="5400"/>
          </w:tcPr>
          <w:p>
            <w:pPr>
              <w:spacing w:after="0" w:before="0" w:line="240" w:lineRule="auto"/>
              <w:jc w:val="left"/>
            </w:pPr>
            <w:r>
              <w:t>States the unresolved issue</w:t>
            </w:r>
          </w:p>
        </w:tc>
      </w:tr>
      <w:tr>
        <w:tc>
          <w:tcPr>
            <w:tcW w:type="dxa" w:w="5400"/>
          </w:tcPr>
          <w:p>
            <w:pPr>
              <w:spacing w:after="0" w:before="0" w:line="240" w:lineRule="auto"/>
              <w:jc w:val="left"/>
            </w:pPr>
            <w:r>
              <w:t>Date sent</w:t>
            </w:r>
          </w:p>
        </w:tc>
        <w:tc>
          <w:tcPr>
            <w:tcW w:type="dxa" w:w="5400"/>
          </w:tcPr>
          <w:p>
            <w:pPr>
              <w:spacing w:after="0" w:before="0" w:line="240" w:lineRule="auto"/>
              <w:jc w:val="left"/>
            </w:pPr>
            <w:r>
              <w:t>Establishes the request date</w:t>
            </w:r>
          </w:p>
        </w:tc>
      </w:tr>
      <w:tr>
        <w:tc>
          <w:tcPr>
            <w:tcW w:type="dxa" w:w="5400"/>
          </w:tcPr>
          <w:p>
            <w:pPr>
              <w:spacing w:after="0" w:before="0" w:line="240" w:lineRule="auto"/>
              <w:jc w:val="left"/>
            </w:pPr>
            <w:r>
              <w:t>Supplier response</w:t>
            </w:r>
          </w:p>
        </w:tc>
        <w:tc>
          <w:tcPr>
            <w:tcW w:type="dxa" w:w="5400"/>
          </w:tcPr>
          <w:p>
            <w:pPr>
              <w:spacing w:after="0" w:before="0" w:line="240" w:lineRule="auto"/>
              <w:jc w:val="left"/>
            </w:pPr>
            <w:r>
              <w:t>Preserves the written answer</w:t>
            </w:r>
          </w:p>
        </w:tc>
      </w:tr>
      <w:tr>
        <w:tc>
          <w:tcPr>
            <w:tcW w:type="dxa" w:w="5400"/>
          </w:tcPr>
          <w:p>
            <w:pPr>
              <w:spacing w:after="0" w:before="0" w:line="240" w:lineRule="auto"/>
              <w:jc w:val="left"/>
            </w:pPr>
            <w:r>
              <w:t>Engineering assessment</w:t>
            </w:r>
          </w:p>
        </w:tc>
        <w:tc>
          <w:tcPr>
            <w:tcW w:type="dxa" w:w="5400"/>
          </w:tcPr>
          <w:p>
            <w:pPr>
              <w:spacing w:after="0" w:before="0" w:line="240" w:lineRule="auto"/>
              <w:jc w:val="left"/>
            </w:pPr>
            <w:r>
              <w:t>Records the technical review</w:t>
            </w:r>
          </w:p>
        </w:tc>
      </w:tr>
      <w:tr>
        <w:tc>
          <w:tcPr>
            <w:tcW w:type="dxa" w:w="5400"/>
          </w:tcPr>
          <w:p>
            <w:pPr>
              <w:spacing w:after="0" w:before="0" w:line="240" w:lineRule="auto"/>
              <w:jc w:val="left"/>
            </w:pPr>
            <w:r>
              <w:t>Compliance impact</w:t>
            </w:r>
          </w:p>
        </w:tc>
        <w:tc>
          <w:tcPr>
            <w:tcW w:type="dxa" w:w="5400"/>
          </w:tcPr>
          <w:p>
            <w:pPr>
              <w:spacing w:after="0" w:before="0" w:line="240" w:lineRule="auto"/>
              <w:jc w:val="left"/>
            </w:pPr>
            <w:r>
              <w:t>Identifies whether status changes</w:t>
            </w:r>
          </w:p>
        </w:tc>
      </w:tr>
      <w:tr>
        <w:tc>
          <w:tcPr>
            <w:tcW w:type="dxa" w:w="5400"/>
          </w:tcPr>
          <w:p>
            <w:pPr>
              <w:spacing w:after="0" w:before="0" w:line="240" w:lineRule="auto"/>
              <w:jc w:val="left"/>
            </w:pPr>
            <w:r>
              <w:t>Commercial impact</w:t>
            </w:r>
          </w:p>
        </w:tc>
        <w:tc>
          <w:tcPr>
            <w:tcW w:type="dxa" w:w="5400"/>
          </w:tcPr>
          <w:p>
            <w:pPr>
              <w:spacing w:after="0" w:before="0" w:line="240" w:lineRule="auto"/>
              <w:jc w:val="left"/>
            </w:pPr>
            <w:r>
              <w:t>Records any potential price or scope consequence</w:t>
            </w:r>
          </w:p>
        </w:tc>
      </w:tr>
      <w:tr>
        <w:tc>
          <w:tcPr>
            <w:tcW w:type="dxa" w:w="5400"/>
          </w:tcPr>
          <w:p>
            <w:pPr>
              <w:spacing w:after="0" w:before="0" w:line="240" w:lineRule="auto"/>
              <w:jc w:val="left"/>
            </w:pPr>
            <w:r>
              <w:t>Final disposition</w:t>
            </w:r>
          </w:p>
        </w:tc>
        <w:tc>
          <w:tcPr>
            <w:tcW w:type="dxa" w:w="5400"/>
          </w:tcPr>
          <w:p>
            <w:pPr>
              <w:spacing w:after="0" w:before="0" w:line="240" w:lineRule="auto"/>
              <w:jc w:val="left"/>
            </w:pPr>
            <w:r>
              <w:t>Accepted, rejected, pending, or further clarification required</w:t>
            </w:r>
          </w:p>
        </w:tc>
      </w:tr>
      <w:tr>
        <w:tc>
          <w:tcPr>
            <w:tcW w:type="dxa" w:w="5400"/>
          </w:tcPr>
          <w:p>
            <w:pPr>
              <w:spacing w:after="0" w:before="0" w:line="240" w:lineRule="auto"/>
              <w:jc w:val="left"/>
            </w:pPr>
            <w:r>
              <w:t>Reviewer and approval</w:t>
            </w:r>
          </w:p>
        </w:tc>
        <w:tc>
          <w:tcPr>
            <w:tcW w:type="dxa" w:w="5400"/>
          </w:tcPr>
          <w:p>
            <w:pPr>
              <w:spacing w:after="0" w:before="0" w:line="240" w:lineRule="auto"/>
              <w:jc w:val="left"/>
            </w:pPr>
            <w:r>
              <w:t>Establishes accountability</w:t>
            </w:r>
          </w:p>
        </w:tc>
      </w:tr>
      <w:tr>
        <w:tc>
          <w:tcPr>
            <w:tcW w:type="dxa" w:w="5400"/>
          </w:tcPr>
          <w:p>
            <w:pPr>
              <w:spacing w:after="0" w:before="0" w:line="240" w:lineRule="auto"/>
              <w:jc w:val="left"/>
            </w:pPr>
            <w:r>
              <w:t>Revision or attachment</w:t>
            </w:r>
          </w:p>
        </w:tc>
        <w:tc>
          <w:tcPr>
            <w:tcW w:type="dxa" w:w="5400"/>
          </w:tcPr>
          <w:p>
            <w:pPr>
              <w:spacing w:after="0" w:before="0" w:line="240" w:lineRule="auto"/>
              <w:jc w:val="left"/>
            </w:pPr>
            <w:r>
              <w:t>Links supporting evidence</w:t>
            </w:r>
          </w:p>
        </w:tc>
      </w:tr>
    </w:tbl>
    <w:p/>
    <w:p>
      <w:r>
        <w:t xml:space="preserve">Use unique IDs such as </w:t>
      </w:r>
      <w:r>
        <w:rPr>
          <w:rFonts w:ascii="Consolas" w:hAnsi="Consolas"/>
          <w:color w:val="333333"/>
          <w:sz w:val="19"/>
          <w:shd w:val="clear" w:color="auto" w:fill="EFEFEF"/>
        </w:rPr>
        <w:t>TC-001</w:t>
      </w:r>
      <w:r>
        <w:t xml:space="preserve">, </w:t>
      </w:r>
      <w:r>
        <w:rPr>
          <w:rFonts w:ascii="Consolas" w:hAnsi="Consolas"/>
          <w:color w:val="333333"/>
          <w:sz w:val="19"/>
          <w:shd w:val="clear" w:color="auto" w:fill="EFEFEF"/>
        </w:rPr>
        <w:t>TC-002</w:t>
      </w:r>
      <w:r>
        <w:t xml:space="preserve">, and </w:t>
      </w:r>
      <w:r>
        <w:rPr>
          <w:rFonts w:ascii="Consolas" w:hAnsi="Consolas"/>
          <w:color w:val="333333"/>
          <w:sz w:val="19"/>
          <w:shd w:val="clear" w:color="auto" w:fill="EFEFEF"/>
        </w:rPr>
        <w:t>TC-003</w:t>
      </w:r>
      <w:r>
        <w:t>.</w:t>
      </w:r>
    </w:p>
    <w:p>
      <w:r>
        <w:t>Do not overwrite the original supplier statement when a response arrives. Preserve both the original statement and the clarified commitment.</w:t>
      </w:r>
    </w:p>
    <w:p>
      <w:pPr>
        <w:pStyle w:val="Heading2"/>
      </w:pPr>
      <w:r>
        <w:t>8. Writing a good technical clarification question</w:t>
      </w:r>
    </w:p>
    <w:p>
      <w:r>
        <w:t>A good question identifies the requirement, the uncertainty, and the exact information needed.</w:t>
      </w:r>
    </w:p>
    <w:p>
      <w:r>
        <w:t>A practical structure is:</w:t>
      </w:r>
    </w:p>
    <w:p>
      <w:pPr>
        <w:tabs>
          <w:tab w:pos="403" w:val="left"/>
        </w:tabs>
        <w:spacing w:after="40" w:line="276" w:lineRule="auto"/>
        <w:ind w:left="403" w:hanging="403"/>
        <w:jc w:val="left"/>
      </w:pPr>
      <w:r>
        <w:rPr>
          <w:color w:val="1A2E4A"/>
        </w:rPr>
        <w:t>1.</w:t>
        <w:tab/>
      </w:r>
      <w:r>
        <w:t>Reference: Identify the RFQ clause, drawing, or requirement.</w:t>
      </w:r>
    </w:p>
    <w:p>
      <w:pPr>
        <w:tabs>
          <w:tab w:pos="403" w:val="left"/>
        </w:tabs>
        <w:spacing w:after="40" w:line="276" w:lineRule="auto"/>
        <w:ind w:left="403" w:hanging="403"/>
        <w:jc w:val="left"/>
      </w:pPr>
      <w:r>
        <w:rPr>
          <w:color w:val="1A2E4A"/>
        </w:rPr>
        <w:t>2.</w:t>
        <w:tab/>
      </w:r>
      <w:r>
        <w:t>Observation: Quote or summarize the relevant supplier statement.</w:t>
      </w:r>
    </w:p>
    <w:p>
      <w:pPr>
        <w:tabs>
          <w:tab w:pos="403" w:val="left"/>
        </w:tabs>
        <w:spacing w:after="40" w:line="276" w:lineRule="auto"/>
        <w:ind w:left="403" w:hanging="403"/>
        <w:jc w:val="left"/>
      </w:pPr>
      <w:r>
        <w:rPr>
          <w:color w:val="1A2E4A"/>
        </w:rPr>
        <w:t>3.</w:t>
        <w:tab/>
      </w:r>
      <w:r>
        <w:t>Question: Ask for specific technical information.</w:t>
      </w:r>
    </w:p>
    <w:p>
      <w:pPr>
        <w:tabs>
          <w:tab w:pos="403" w:val="left"/>
        </w:tabs>
        <w:spacing w:after="40" w:line="276" w:lineRule="auto"/>
        <w:ind w:left="403" w:hanging="403"/>
        <w:jc w:val="left"/>
      </w:pPr>
      <w:r>
        <w:rPr>
          <w:color w:val="1A2E4A"/>
        </w:rPr>
        <w:t>4.</w:t>
        <w:tab/>
      </w:r>
      <w:r>
        <w:t>Required evidence: Request a model number, drawing, calculation, datasheet, or written confirmation.</w:t>
      </w:r>
    </w:p>
    <w:p>
      <w:pPr>
        <w:tabs>
          <w:tab w:pos="403" w:val="left"/>
        </w:tabs>
        <w:spacing w:after="40" w:line="276" w:lineRule="auto"/>
        <w:ind w:left="403" w:hanging="403"/>
        <w:jc w:val="left"/>
      </w:pPr>
      <w:r>
        <w:rPr>
          <w:color w:val="1A2E4A"/>
        </w:rPr>
        <w:t>5.</w:t>
        <w:tab/>
      </w:r>
      <w:r>
        <w:t>Impact: Identify any known effect on scope, compliance, or implementation.</w:t>
      </w:r>
    </w:p>
    <w:p>
      <w:pPr>
        <w:tabs>
          <w:tab w:pos="403" w:val="left"/>
        </w:tabs>
        <w:spacing w:after="40" w:line="276" w:lineRule="auto"/>
        <w:ind w:left="403" w:hanging="403"/>
        <w:jc w:val="left"/>
      </w:pPr>
      <w:r>
        <w:rPr>
          <w:color w:val="1A2E4A"/>
        </w:rPr>
        <w:t>6.</w:t>
        <w:tab/>
      </w:r>
      <w:r>
        <w:t>Response deadline: Follow the procurement schedule.</w:t>
      </w:r>
    </w:p>
    <w:p>
      <w:pPr>
        <w:pStyle w:val="Heading3"/>
      </w:pPr>
      <w:r>
        <w:t>Weak versus strong clarification</w:t>
      </w:r>
    </w:p>
    <w:p>
      <w:r>
        <w:t>Weak question:</w:t>
      </w:r>
    </w:p>
    <w:p>
      <w:r>
        <w:t>"Please clarify PLC compatibility."</w:t>
      </w:r>
    </w:p>
    <w:p>
      <w:r>
        <w:t>This gives the supplier considerable freedom to respond with another vague sentence.</w:t>
      </w:r>
    </w:p>
    <w:p>
      <w:r>
        <w:t>Strong question:</w:t>
      </w:r>
    </w:p>
    <w:p>
      <w:r>
        <w:t>"With reference to RFQ clause 4.2, confirm whether the proposed PLC CPU supports the existing remote I/O adapters, HMI communication, and plant Ethernet architecture. Provide the exact CPU and communication-module part numbers, supported firmware versions, protocol details, and any additional hardware or engineering required for compatibility."</w:t>
      </w:r>
    </w:p>
    <w:p>
      <w:r>
        <w:t>The stronger question is specific enough to support engineering verification.</w:t>
      </w:r>
    </w:p>
    <w:p>
      <w:pPr>
        <w:pStyle w:val="Heading2"/>
      </w:pPr>
      <w:r>
        <w:t>9. Example clarification for a PLC retrofit</w:t>
      </w:r>
    </w:p>
    <w:p>
      <w:r>
        <w:t>Assume an existing machine uses a PLC, remote I/O, an HMI, a variable-frequency drive, and an industrial Ethernet network. A supplier proposes a replacement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Clarification ID</w:t>
            </w:r>
          </w:p>
        </w:tc>
        <w:tc>
          <w:tcPr>
            <w:tcW w:type="dxa" w:w="2700"/>
            <w:shd w:val="clear" w:color="auto" w:fill="EEF2F7"/>
          </w:tcPr>
          <w:p>
            <w:pPr>
              <w:spacing w:after="0" w:before="0" w:line="240" w:lineRule="auto"/>
              <w:jc w:val="left"/>
            </w:pPr>
            <w:r>
              <w:rPr>
                <w:b/>
                <w:color w:val="1A2E4A"/>
              </w:rPr>
              <w:t>Issue</w:t>
            </w:r>
          </w:p>
        </w:tc>
        <w:tc>
          <w:tcPr>
            <w:tcW w:type="dxa" w:w="2700"/>
            <w:shd w:val="clear" w:color="auto" w:fill="EEF2F7"/>
          </w:tcPr>
          <w:p>
            <w:pPr>
              <w:spacing w:after="0" w:before="0" w:line="240" w:lineRule="auto"/>
              <w:jc w:val="left"/>
            </w:pPr>
            <w:r>
              <w:rPr>
                <w:b/>
                <w:color w:val="1A2E4A"/>
              </w:rPr>
              <w:t>Question or required confirmation</w:t>
            </w:r>
          </w:p>
        </w:tc>
        <w:tc>
          <w:tcPr>
            <w:tcW w:type="dxa" w:w="2700"/>
            <w:shd w:val="clear" w:color="auto" w:fill="EEF2F7"/>
          </w:tcPr>
          <w:p>
            <w:pPr>
              <w:spacing w:after="0" w:before="0" w:line="240" w:lineRule="auto"/>
              <w:jc w:val="left"/>
            </w:pPr>
            <w:r>
              <w:rPr>
                <w:b/>
                <w:color w:val="1A2E4A"/>
              </w:rPr>
              <w:t>Expected evidence</w:t>
            </w:r>
          </w:p>
        </w:tc>
      </w:tr>
      <w:tr>
        <w:tc>
          <w:tcPr>
            <w:tcW w:type="dxa" w:w="2700"/>
          </w:tcPr>
          <w:p>
            <w:pPr>
              <w:spacing w:after="0" w:before="0" w:line="240" w:lineRule="auto"/>
              <w:jc w:val="left"/>
            </w:pPr>
            <w:r>
              <w:t>TC-001</w:t>
            </w:r>
          </w:p>
        </w:tc>
        <w:tc>
          <w:tcPr>
            <w:tcW w:type="dxa" w:w="2700"/>
          </w:tcPr>
          <w:p>
            <w:pPr>
              <w:spacing w:after="0" w:before="0" w:line="240" w:lineRule="auto"/>
              <w:jc w:val="left"/>
            </w:pPr>
            <w:r>
              <w:t>CPU selection</w:t>
            </w:r>
          </w:p>
        </w:tc>
        <w:tc>
          <w:tcPr>
            <w:tcW w:type="dxa" w:w="2700"/>
          </w:tcPr>
          <w:p>
            <w:pPr>
              <w:spacing w:after="0" w:before="0" w:line="240" w:lineRule="auto"/>
              <w:jc w:val="left"/>
            </w:pPr>
            <w:r>
              <w:t>Confirm the exact CPU model and firmware version</w:t>
            </w:r>
          </w:p>
        </w:tc>
        <w:tc>
          <w:tcPr>
            <w:tcW w:type="dxa" w:w="2700"/>
          </w:tcPr>
          <w:p>
            <w:pPr>
              <w:spacing w:after="0" w:before="0" w:line="240" w:lineRule="auto"/>
              <w:jc w:val="left"/>
            </w:pPr>
            <w:r>
              <w:t>Manufacturer datasheet</w:t>
            </w:r>
          </w:p>
        </w:tc>
      </w:tr>
      <w:tr>
        <w:tc>
          <w:tcPr>
            <w:tcW w:type="dxa" w:w="2700"/>
          </w:tcPr>
          <w:p>
            <w:pPr>
              <w:spacing w:after="0" w:before="0" w:line="240" w:lineRule="auto"/>
              <w:jc w:val="left"/>
            </w:pPr>
            <w:r>
              <w:t>TC-002</w:t>
            </w:r>
          </w:p>
        </w:tc>
        <w:tc>
          <w:tcPr>
            <w:tcW w:type="dxa" w:w="2700"/>
          </w:tcPr>
          <w:p>
            <w:pPr>
              <w:spacing w:after="0" w:before="0" w:line="240" w:lineRule="auto"/>
              <w:jc w:val="left"/>
            </w:pPr>
            <w:r>
              <w:t>Remote I/O</w:t>
            </w:r>
          </w:p>
        </w:tc>
        <w:tc>
          <w:tcPr>
            <w:tcW w:type="dxa" w:w="2700"/>
          </w:tcPr>
          <w:p>
            <w:pPr>
              <w:spacing w:after="0" w:before="0" w:line="240" w:lineRule="auto"/>
              <w:jc w:val="left"/>
            </w:pPr>
            <w:r>
              <w:t>Confirm compatibility with existing I/O adapters</w:t>
            </w:r>
          </w:p>
        </w:tc>
        <w:tc>
          <w:tcPr>
            <w:tcW w:type="dxa" w:w="2700"/>
          </w:tcPr>
          <w:p>
            <w:pPr>
              <w:spacing w:after="0" w:before="0" w:line="240" w:lineRule="auto"/>
              <w:jc w:val="left"/>
            </w:pPr>
            <w:r>
              <w:t>Compatibility statement and configuration</w:t>
            </w:r>
          </w:p>
        </w:tc>
      </w:tr>
      <w:tr>
        <w:tc>
          <w:tcPr>
            <w:tcW w:type="dxa" w:w="2700"/>
          </w:tcPr>
          <w:p>
            <w:pPr>
              <w:spacing w:after="0" w:before="0" w:line="240" w:lineRule="auto"/>
              <w:jc w:val="left"/>
            </w:pPr>
            <w:r>
              <w:t>TC-003</w:t>
            </w:r>
          </w:p>
        </w:tc>
        <w:tc>
          <w:tcPr>
            <w:tcW w:type="dxa" w:w="2700"/>
          </w:tcPr>
          <w:p>
            <w:pPr>
              <w:spacing w:after="0" w:before="0" w:line="240" w:lineRule="auto"/>
              <w:jc w:val="left"/>
            </w:pPr>
            <w:r>
              <w:t>HMI integration</w:t>
            </w:r>
          </w:p>
        </w:tc>
        <w:tc>
          <w:tcPr>
            <w:tcW w:type="dxa" w:w="2700"/>
          </w:tcPr>
          <w:p>
            <w:pPr>
              <w:spacing w:after="0" w:before="0" w:line="240" w:lineRule="auto"/>
              <w:jc w:val="left"/>
            </w:pPr>
            <w:r>
              <w:t>Confirm communication compatibility and required changes</w:t>
            </w:r>
          </w:p>
        </w:tc>
        <w:tc>
          <w:tcPr>
            <w:tcW w:type="dxa" w:w="2700"/>
          </w:tcPr>
          <w:p>
            <w:pPr>
              <w:spacing w:after="0" w:before="0" w:line="240" w:lineRule="auto"/>
              <w:jc w:val="left"/>
            </w:pPr>
            <w:r>
              <w:t>Interface details and revised scope</w:t>
            </w:r>
          </w:p>
        </w:tc>
      </w:tr>
      <w:tr>
        <w:tc>
          <w:tcPr>
            <w:tcW w:type="dxa" w:w="2700"/>
          </w:tcPr>
          <w:p>
            <w:pPr>
              <w:spacing w:after="0" w:before="0" w:line="240" w:lineRule="auto"/>
              <w:jc w:val="left"/>
            </w:pPr>
            <w:r>
              <w:t>TC-004</w:t>
            </w:r>
          </w:p>
        </w:tc>
        <w:tc>
          <w:tcPr>
            <w:tcW w:type="dxa" w:w="2700"/>
          </w:tcPr>
          <w:p>
            <w:pPr>
              <w:spacing w:after="0" w:before="0" w:line="240" w:lineRule="auto"/>
              <w:jc w:val="left"/>
            </w:pPr>
            <w:r>
              <w:t>Drive integration</w:t>
            </w:r>
          </w:p>
        </w:tc>
        <w:tc>
          <w:tcPr>
            <w:tcW w:type="dxa" w:w="2700"/>
          </w:tcPr>
          <w:p>
            <w:pPr>
              <w:spacing w:after="0" w:before="0" w:line="240" w:lineRule="auto"/>
              <w:jc w:val="left"/>
            </w:pPr>
            <w:r>
              <w:t>Confirm control and status data exchange</w:t>
            </w:r>
          </w:p>
        </w:tc>
        <w:tc>
          <w:tcPr>
            <w:tcW w:type="dxa" w:w="2700"/>
          </w:tcPr>
          <w:p>
            <w:pPr>
              <w:spacing w:after="0" w:before="0" w:line="240" w:lineRule="auto"/>
              <w:jc w:val="left"/>
            </w:pPr>
            <w:r>
              <w:t>Protocol and signal mapping</w:t>
            </w:r>
          </w:p>
        </w:tc>
      </w:tr>
      <w:tr>
        <w:tc>
          <w:tcPr>
            <w:tcW w:type="dxa" w:w="2700"/>
          </w:tcPr>
          <w:p>
            <w:pPr>
              <w:spacing w:after="0" w:before="0" w:line="240" w:lineRule="auto"/>
              <w:jc w:val="left"/>
            </w:pPr>
            <w:r>
              <w:t>TC-005</w:t>
            </w:r>
          </w:p>
        </w:tc>
        <w:tc>
          <w:tcPr>
            <w:tcW w:type="dxa" w:w="2700"/>
          </w:tcPr>
          <w:p>
            <w:pPr>
              <w:spacing w:after="0" w:before="0" w:line="240" w:lineRule="auto"/>
              <w:jc w:val="left"/>
            </w:pPr>
            <w:r>
              <w:t>Program migration</w:t>
            </w:r>
          </w:p>
        </w:tc>
        <w:tc>
          <w:tcPr>
            <w:tcW w:type="dxa" w:w="2700"/>
          </w:tcPr>
          <w:p>
            <w:pPr>
              <w:spacing w:after="0" w:before="0" w:line="240" w:lineRule="auto"/>
              <w:jc w:val="left"/>
            </w:pPr>
            <w:r>
              <w:t>State whether existing logic migration is included</w:t>
            </w:r>
          </w:p>
        </w:tc>
        <w:tc>
          <w:tcPr>
            <w:tcW w:type="dxa" w:w="2700"/>
          </w:tcPr>
          <w:p>
            <w:pPr>
              <w:spacing w:after="0" w:before="0" w:line="240" w:lineRule="auto"/>
              <w:jc w:val="left"/>
            </w:pPr>
            <w:r>
              <w:t>Scope statement and migration plan</w:t>
            </w:r>
          </w:p>
        </w:tc>
      </w:tr>
      <w:tr>
        <w:tc>
          <w:tcPr>
            <w:tcW w:type="dxa" w:w="2700"/>
          </w:tcPr>
          <w:p>
            <w:pPr>
              <w:spacing w:after="0" w:before="0" w:line="240" w:lineRule="auto"/>
              <w:jc w:val="left"/>
            </w:pPr>
            <w:r>
              <w:t>TC-006</w:t>
            </w:r>
          </w:p>
        </w:tc>
        <w:tc>
          <w:tcPr>
            <w:tcW w:type="dxa" w:w="2700"/>
          </w:tcPr>
          <w:p>
            <w:pPr>
              <w:spacing w:after="0" w:before="0" w:line="240" w:lineRule="auto"/>
              <w:jc w:val="left"/>
            </w:pPr>
            <w:r>
              <w:t>Safety</w:t>
            </w:r>
          </w:p>
        </w:tc>
        <w:tc>
          <w:tcPr>
            <w:tcW w:type="dxa" w:w="2700"/>
          </w:tcPr>
          <w:p>
            <w:pPr>
              <w:spacing w:after="0" w:before="0" w:line="240" w:lineRule="auto"/>
              <w:jc w:val="left"/>
            </w:pPr>
            <w:r>
              <w:t>Identify changes affecting the existing safety system</w:t>
            </w:r>
          </w:p>
        </w:tc>
        <w:tc>
          <w:tcPr>
            <w:tcW w:type="dxa" w:w="2700"/>
          </w:tcPr>
          <w:p>
            <w:pPr>
              <w:spacing w:after="0" w:before="0" w:line="240" w:lineRule="auto"/>
              <w:jc w:val="left"/>
            </w:pPr>
            <w:r>
              <w:t>Safety architecture and validation plan</w:t>
            </w:r>
          </w:p>
        </w:tc>
      </w:tr>
      <w:tr>
        <w:tc>
          <w:tcPr>
            <w:tcW w:type="dxa" w:w="2700"/>
          </w:tcPr>
          <w:p>
            <w:pPr>
              <w:spacing w:after="0" w:before="0" w:line="240" w:lineRule="auto"/>
              <w:jc w:val="left"/>
            </w:pPr>
            <w:r>
              <w:t>TC-007</w:t>
            </w:r>
          </w:p>
        </w:tc>
        <w:tc>
          <w:tcPr>
            <w:tcW w:type="dxa" w:w="2700"/>
          </w:tcPr>
          <w:p>
            <w:pPr>
              <w:spacing w:after="0" w:before="0" w:line="240" w:lineRule="auto"/>
              <w:jc w:val="left"/>
            </w:pPr>
            <w:r>
              <w:t>Testing</w:t>
            </w:r>
          </w:p>
        </w:tc>
        <w:tc>
          <w:tcPr>
            <w:tcW w:type="dxa" w:w="2700"/>
          </w:tcPr>
          <w:p>
            <w:pPr>
              <w:spacing w:after="0" w:before="0" w:line="240" w:lineRule="auto"/>
              <w:jc w:val="left"/>
            </w:pPr>
            <w:r>
              <w:t>Define FAT and SAT coverage</w:t>
            </w:r>
          </w:p>
        </w:tc>
        <w:tc>
          <w:tcPr>
            <w:tcW w:type="dxa" w:w="2700"/>
          </w:tcPr>
          <w:p>
            <w:pPr>
              <w:spacing w:after="0" w:before="0" w:line="240" w:lineRule="auto"/>
              <w:jc w:val="left"/>
            </w:pPr>
            <w:r>
              <w:t>Test procedure and acceptance criteria</w:t>
            </w:r>
          </w:p>
        </w:tc>
      </w:tr>
      <w:tr>
        <w:tc>
          <w:tcPr>
            <w:tcW w:type="dxa" w:w="2700"/>
          </w:tcPr>
          <w:p>
            <w:pPr>
              <w:spacing w:after="0" w:before="0" w:line="240" w:lineRule="auto"/>
              <w:jc w:val="left"/>
            </w:pPr>
            <w:r>
              <w:t>TC-008</w:t>
            </w:r>
          </w:p>
        </w:tc>
        <w:tc>
          <w:tcPr>
            <w:tcW w:type="dxa" w:w="2700"/>
          </w:tcPr>
          <w:p>
            <w:pPr>
              <w:spacing w:after="0" w:before="0" w:line="240" w:lineRule="auto"/>
              <w:jc w:val="left"/>
            </w:pPr>
            <w:r>
              <w:t>Handover</w:t>
            </w:r>
          </w:p>
        </w:tc>
        <w:tc>
          <w:tcPr>
            <w:tcW w:type="dxa" w:w="2700"/>
          </w:tcPr>
          <w:p>
            <w:pPr>
              <w:spacing w:after="0" w:before="0" w:line="240" w:lineRule="auto"/>
              <w:jc w:val="left"/>
            </w:pPr>
            <w:r>
              <w:t>Confirm delivery of editable source files and backups</w:t>
            </w:r>
          </w:p>
        </w:tc>
        <w:tc>
          <w:tcPr>
            <w:tcW w:type="dxa" w:w="2700"/>
          </w:tcPr>
          <w:p>
            <w:pPr>
              <w:spacing w:after="0" w:before="0" w:line="240" w:lineRule="auto"/>
              <w:jc w:val="left"/>
            </w:pPr>
            <w:r>
              <w:t>Deliverables list</w:t>
            </w:r>
          </w:p>
        </w:tc>
      </w:tr>
      <w:tr>
        <w:tc>
          <w:tcPr>
            <w:tcW w:type="dxa" w:w="2700"/>
          </w:tcPr>
          <w:p>
            <w:pPr>
              <w:spacing w:after="0" w:before="0" w:line="240" w:lineRule="auto"/>
              <w:jc w:val="left"/>
            </w:pPr>
            <w:r>
              <w:t>TC-009</w:t>
            </w:r>
          </w:p>
        </w:tc>
        <w:tc>
          <w:tcPr>
            <w:tcW w:type="dxa" w:w="2700"/>
          </w:tcPr>
          <w:p>
            <w:pPr>
              <w:spacing w:after="0" w:before="0" w:line="240" w:lineRule="auto"/>
              <w:jc w:val="left"/>
            </w:pPr>
            <w:r>
              <w:t>Commissioning</w:t>
            </w:r>
          </w:p>
        </w:tc>
        <w:tc>
          <w:tcPr>
            <w:tcW w:type="dxa" w:w="2700"/>
          </w:tcPr>
          <w:p>
            <w:pPr>
              <w:spacing w:after="0" w:before="0" w:line="240" w:lineRule="auto"/>
              <w:jc w:val="left"/>
            </w:pPr>
            <w:r>
              <w:t>Confirm site days, staffing, and shutdown requirements</w:t>
            </w:r>
          </w:p>
        </w:tc>
        <w:tc>
          <w:tcPr>
            <w:tcW w:type="dxa" w:w="2700"/>
          </w:tcPr>
          <w:p>
            <w:pPr>
              <w:spacing w:after="0" w:before="0" w:line="240" w:lineRule="auto"/>
              <w:jc w:val="left"/>
            </w:pPr>
            <w:r>
              <w:t>Implementation schedule</w:t>
            </w:r>
          </w:p>
        </w:tc>
      </w:tr>
      <w:tr>
        <w:tc>
          <w:tcPr>
            <w:tcW w:type="dxa" w:w="2700"/>
          </w:tcPr>
          <w:p>
            <w:pPr>
              <w:spacing w:after="0" w:before="0" w:line="240" w:lineRule="auto"/>
              <w:jc w:val="left"/>
            </w:pPr>
            <w:r>
              <w:t>TC-010</w:t>
            </w:r>
          </w:p>
        </w:tc>
        <w:tc>
          <w:tcPr>
            <w:tcW w:type="dxa" w:w="2700"/>
          </w:tcPr>
          <w:p>
            <w:pPr>
              <w:spacing w:after="0" w:before="0" w:line="240" w:lineRule="auto"/>
              <w:jc w:val="left"/>
            </w:pPr>
            <w:r>
              <w:t>Spares</w:t>
            </w:r>
          </w:p>
        </w:tc>
        <w:tc>
          <w:tcPr>
            <w:tcW w:type="dxa" w:w="2700"/>
          </w:tcPr>
          <w:p>
            <w:pPr>
              <w:spacing w:after="0" w:before="0" w:line="240" w:lineRule="auto"/>
              <w:jc w:val="left"/>
            </w:pPr>
            <w:r>
              <w:t>Identify recommended commissioning and operational spares</w:t>
            </w:r>
          </w:p>
        </w:tc>
        <w:tc>
          <w:tcPr>
            <w:tcW w:type="dxa" w:w="2700"/>
          </w:tcPr>
          <w:p>
            <w:pPr>
              <w:spacing w:after="0" w:before="0" w:line="240" w:lineRule="auto"/>
              <w:jc w:val="left"/>
            </w:pPr>
            <w:r>
              <w:t>Itemized spare-parts list</w:t>
            </w:r>
          </w:p>
        </w:tc>
      </w:tr>
    </w:tbl>
    <w:p/>
    <w:p>
      <w:r>
        <w:t>The clarification register must reflect the actual equipment and requirements of the project. This table is a practical example, not a universal checklist for every retrofit.</w:t>
      </w:r>
    </w:p>
    <w:p>
      <w:pPr>
        <w:pStyle w:val="Heading2"/>
      </w:pPr>
      <w:r>
        <w:t>10. Reviewing supplier responses</w:t>
      </w:r>
    </w:p>
    <w:p>
      <w:r>
        <w:t>A supplier response is not automatically acceptable merely because it is written and complete.</w:t>
      </w:r>
    </w:p>
    <w:p>
      <w:r>
        <w:t>Each response should be assessed against the original requirement and the intended machine function.</w:t>
      </w:r>
    </w:p>
    <w:p>
      <w:r>
        <w:t>Use the following decision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Disposition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Next action</w:t>
            </w:r>
          </w:p>
        </w:tc>
      </w:tr>
      <w:tr>
        <w:tc>
          <w:tcPr>
            <w:tcW w:type="dxa" w:w="3600"/>
          </w:tcPr>
          <w:p>
            <w:pPr>
              <w:spacing w:after="0" w:before="0" w:line="240" w:lineRule="auto"/>
              <w:jc w:val="left"/>
            </w:pPr>
            <w:r>
              <w:t>Accepted</w:t>
            </w:r>
          </w:p>
        </w:tc>
        <w:tc>
          <w:tcPr>
            <w:tcW w:type="dxa" w:w="3600"/>
          </w:tcPr>
          <w:p>
            <w:pPr>
              <w:spacing w:after="0" w:before="0" w:line="240" w:lineRule="auto"/>
              <w:jc w:val="left"/>
            </w:pPr>
            <w:r>
              <w:t>Response resolves the issue and meets requirements</w:t>
            </w:r>
          </w:p>
        </w:tc>
        <w:tc>
          <w:tcPr>
            <w:tcW w:type="dxa" w:w="3600"/>
          </w:tcPr>
          <w:p>
            <w:pPr>
              <w:spacing w:after="0" w:before="0" w:line="240" w:lineRule="auto"/>
              <w:jc w:val="left"/>
            </w:pPr>
            <w:r>
              <w:t>Update the evaluation record</w:t>
            </w:r>
          </w:p>
        </w:tc>
      </w:tr>
      <w:tr>
        <w:tc>
          <w:tcPr>
            <w:tcW w:type="dxa" w:w="3600"/>
          </w:tcPr>
          <w:p>
            <w:pPr>
              <w:spacing w:after="0" w:before="0" w:line="240" w:lineRule="auto"/>
              <w:jc w:val="left"/>
            </w:pPr>
            <w:r>
              <w:t>Accepted with conditions</w:t>
            </w:r>
          </w:p>
        </w:tc>
        <w:tc>
          <w:tcPr>
            <w:tcW w:type="dxa" w:w="3600"/>
          </w:tcPr>
          <w:p>
            <w:pPr>
              <w:spacing w:after="0" w:before="0" w:line="240" w:lineRule="auto"/>
              <w:jc w:val="left"/>
            </w:pPr>
            <w:r>
              <w:t>Acceptable subject to explicit approved conditions</w:t>
            </w:r>
          </w:p>
        </w:tc>
        <w:tc>
          <w:tcPr>
            <w:tcW w:type="dxa" w:w="3600"/>
          </w:tcPr>
          <w:p>
            <w:pPr>
              <w:spacing w:after="0" w:before="0" w:line="240" w:lineRule="auto"/>
              <w:jc w:val="left"/>
            </w:pPr>
            <w:r>
              <w:t>Record conditions and responsibility</w:t>
            </w:r>
          </w:p>
        </w:tc>
      </w:tr>
      <w:tr>
        <w:tc>
          <w:tcPr>
            <w:tcW w:type="dxa" w:w="3600"/>
          </w:tcPr>
          <w:p>
            <w:pPr>
              <w:spacing w:after="0" w:before="0" w:line="240" w:lineRule="auto"/>
              <w:jc w:val="left"/>
            </w:pPr>
            <w:r>
              <w:t>Rejected</w:t>
            </w:r>
          </w:p>
        </w:tc>
        <w:tc>
          <w:tcPr>
            <w:tcW w:type="dxa" w:w="3600"/>
          </w:tcPr>
          <w:p>
            <w:pPr>
              <w:spacing w:after="0" w:before="0" w:line="240" w:lineRule="auto"/>
              <w:jc w:val="left"/>
            </w:pPr>
            <w:r>
              <w:t>Response confirms noncompliance or fails to resolve the issue</w:t>
            </w:r>
          </w:p>
        </w:tc>
        <w:tc>
          <w:tcPr>
            <w:tcW w:type="dxa" w:w="3600"/>
          </w:tcPr>
          <w:p>
            <w:pPr>
              <w:spacing w:after="0" w:before="0" w:line="240" w:lineRule="auto"/>
              <w:jc w:val="left"/>
            </w:pPr>
            <w:r>
              <w:t>Apply the approved evaluation rules</w:t>
            </w:r>
          </w:p>
        </w:tc>
      </w:tr>
      <w:tr>
        <w:tc>
          <w:tcPr>
            <w:tcW w:type="dxa" w:w="3600"/>
          </w:tcPr>
          <w:p>
            <w:pPr>
              <w:spacing w:after="0" w:before="0" w:line="240" w:lineRule="auto"/>
              <w:jc w:val="left"/>
            </w:pPr>
            <w:r>
              <w:t>Further clarification required</w:t>
            </w:r>
          </w:p>
        </w:tc>
        <w:tc>
          <w:tcPr>
            <w:tcW w:type="dxa" w:w="3600"/>
          </w:tcPr>
          <w:p>
            <w:pPr>
              <w:spacing w:after="0" w:before="0" w:line="240" w:lineRule="auto"/>
              <w:jc w:val="left"/>
            </w:pPr>
            <w:r>
              <w:t>Response remains ambiguous or incomplete</w:t>
            </w:r>
          </w:p>
        </w:tc>
        <w:tc>
          <w:tcPr>
            <w:tcW w:type="dxa" w:w="3600"/>
          </w:tcPr>
          <w:p>
            <w:pPr>
              <w:spacing w:after="0" w:before="0" w:line="240" w:lineRule="auto"/>
              <w:jc w:val="left"/>
            </w:pPr>
            <w:r>
              <w:t>Send a focused follow-up question</w:t>
            </w:r>
          </w:p>
        </w:tc>
      </w:tr>
      <w:tr>
        <w:tc>
          <w:tcPr>
            <w:tcW w:type="dxa" w:w="3600"/>
          </w:tcPr>
          <w:p>
            <w:pPr>
              <w:spacing w:after="0" w:before="0" w:line="240" w:lineRule="auto"/>
              <w:jc w:val="left"/>
            </w:pPr>
            <w:r>
              <w:t>Pending</w:t>
            </w:r>
          </w:p>
        </w:tc>
        <w:tc>
          <w:tcPr>
            <w:tcW w:type="dxa" w:w="3600"/>
          </w:tcPr>
          <w:p>
            <w:pPr>
              <w:spacing w:after="0" w:before="0" w:line="240" w:lineRule="auto"/>
              <w:jc w:val="left"/>
            </w:pPr>
            <w:r>
              <w:t>No final decision has been made</w:t>
            </w:r>
          </w:p>
        </w:tc>
        <w:tc>
          <w:tcPr>
            <w:tcW w:type="dxa" w:w="3600"/>
          </w:tcPr>
          <w:p>
            <w:pPr>
              <w:spacing w:after="0" w:before="0" w:line="240" w:lineRule="auto"/>
              <w:jc w:val="left"/>
            </w:pPr>
            <w:r>
              <w:t>Track owner and due date</w:t>
            </w:r>
          </w:p>
        </w:tc>
      </w:tr>
    </w:tbl>
    <w:p/>
    <w:p>
      <w:r>
        <w:t>An engineering reviewer should record the rationale for the decision, not simply mark a response as acceptable.</w:t>
      </w:r>
    </w:p>
    <w:p>
      <w:pPr>
        <w:pStyle w:val="Heading3"/>
      </w:pPr>
      <w:r>
        <w:t>Example</w:t>
      </w:r>
    </w:p>
    <w:p>
      <w:r>
        <w:t>Requirement: The existing HMI must communicate with the replacement PLC without loss of specified functionality.</w:t>
      </w:r>
    </w:p>
    <w:p>
      <w:r>
        <w:t>Supplier response: "The PLC supports Ethernet communication."</w:t>
      </w:r>
    </w:p>
    <w:p>
      <w:r>
        <w:t>Assessment: Further clarification required.</w:t>
      </w:r>
    </w:p>
    <w:p>
      <w:r>
        <w:t>Reason: Ethernet availability alone does not establish protocol compatibility, tag accessibility, supported connections, firmware compatibility, or the amount of HMI modification required.</w:t>
      </w:r>
    </w:p>
    <w:p>
      <w:r>
        <w:t>A sufficient response should identify the protocol, hardware and software versions, required changes, and any additional cost or engineering scope.</w:t>
      </w:r>
    </w:p>
    <w:p>
      <w:pPr>
        <w:pStyle w:val="Heading2"/>
      </w:pPr>
      <w:r>
        <w:t>11. Clarification versus deviation</w:t>
      </w:r>
    </w:p>
    <w:p>
      <w:r>
        <w:t>This distinction is particularly important in technical procurement.</w:t>
      </w:r>
    </w:p>
    <w:p>
      <w:r>
        <w:t>Clarification: Obtains an explanation or missing information about an offer.</w:t>
      </w:r>
    </w:p>
    <w:p>
      <w:r>
        <w:t>Deviation: Identifies a difference between the offer and the requirement.</w:t>
      </w:r>
    </w:p>
    <w:p>
      <w:r>
        <w:t>For example:</w:t>
      </w:r>
    </w:p>
    <w:p>
      <w:pPr>
        <w:pStyle w:val="ListBullet"/>
      </w:pPr>
      <w:r>
        <w:t>Requirement: 24 V DC digital inputs.</w:t>
      </w:r>
    </w:p>
    <w:p>
      <w:pPr>
        <w:pStyle w:val="ListBullet"/>
      </w:pPr>
      <w:r>
        <w:t>Supplier offer: 24 V DC digital inputs.</w:t>
      </w:r>
    </w:p>
    <w:p>
      <w:pPr>
        <w:pStyle w:val="ListBullet"/>
      </w:pPr>
      <w:r>
        <w:t>Missing information: Input-module part number is not stated.</w:t>
      </w:r>
    </w:p>
    <w:p>
      <w:r>
        <w:t>This may be resolved by clarification.</w:t>
      </w:r>
    </w:p>
    <w:p>
      <w:r>
        <w:t>But if the supplier explicitly offers 110 V AC inputs, that is a technical deviation. It cannot be made compliant merely by requesting a clearer description.</w:t>
      </w:r>
    </w:p>
    <w:p>
      <w:r>
        <w:t>A deviation may be accepted only if the procurement rules permit it, the relevant technical authority approves it, and all required safety, performance, and contractual implications are addressed.</w:t>
      </w:r>
    </w:p>
    <w:p>
      <w:pPr>
        <w:pStyle w:val="Heading2"/>
      </w:pPr>
      <w:r>
        <w:t>12. Clarification and procurement fairness</w:t>
      </w:r>
    </w:p>
    <w:p>
      <w:r>
        <w:t>When multiple suppliers are competing, clarification must follow the organization's procurement rules and maintain equal treatment.</w:t>
      </w:r>
    </w:p>
    <w:p>
      <w:r>
        <w:t>Key principles include:</w:t>
      </w:r>
    </w:p>
    <w:p>
      <w:pPr>
        <w:pStyle w:val="ListBullet"/>
      </w:pPr>
      <w:r>
        <w:t>Use the authorized communication channel.</w:t>
      </w:r>
    </w:p>
    <w:p>
      <w:pPr>
        <w:pStyle w:val="ListBullet"/>
      </w:pPr>
      <w:r>
        <w:t>Apply consistent rules to comparable bidders.</w:t>
      </w:r>
    </w:p>
    <w:p>
      <w:pPr>
        <w:pStyle w:val="ListBullet"/>
      </w:pPr>
      <w:r>
        <w:t>Do not disclose competitors' confidential technical or commercial information.</w:t>
      </w:r>
    </w:p>
    <w:p>
      <w:pPr>
        <w:pStyle w:val="ListBullet"/>
      </w:pPr>
      <w:r>
        <w:t>Preserve the original bid and all subsequent communications.</w:t>
      </w:r>
    </w:p>
    <w:p>
      <w:pPr>
        <w:pStyle w:val="ListBullet"/>
      </w:pPr>
      <w:r>
        <w:t>Avoid giving one bidder an unauthorized opportunity to improve its offer.</w:t>
      </w:r>
    </w:p>
    <w:p>
      <w:pPr>
        <w:pStyle w:val="ListBullet"/>
      </w:pPr>
      <w:r>
        <w:t>Record changes to scope, compliance, or price.</w:t>
      </w:r>
    </w:p>
    <w:p>
      <w:pPr>
        <w:pStyle w:val="ListBullet"/>
      </w:pPr>
      <w:r>
        <w:t>Obtain approvals for material changes.</w:t>
      </w:r>
    </w:p>
    <w:p>
      <w:pPr>
        <w:pStyle w:val="ListBullet"/>
      </w:pPr>
      <w:r>
        <w:t>Follow the prescribed rules for late, incomplete, or revised responses.</w:t>
      </w:r>
    </w:p>
    <w:p>
      <w:r>
        <w:t>A clarification process should not create a hidden second chance for one bidder while others remain bound by their original offers.</w:t>
      </w:r>
    </w:p>
    <w:p>
      <w:r>
        <w:t>Whether a response may correct an omission, explain an existing commitment, or introduce a revised offer depends on the procurement method and applicable rules.</w:t>
      </w:r>
    </w:p>
    <w:p>
      <w:pPr>
        <w:pStyle w:val="Heading2"/>
      </w:pPr>
      <w:r>
        <w:t>13. Technical clarification in safety-related systems</w:t>
      </w:r>
    </w:p>
    <w:p>
      <w:r>
        <w:t>Safety-related clarifications require particular care because a seemingly small technical change can affect risk reduction and machine behavior.</w:t>
      </w:r>
    </w:p>
    <w:p>
      <w:r>
        <w:t>For automation projects, confirm relevant details such as:</w:t>
      </w:r>
    </w:p>
    <w:p>
      <w:pPr>
        <w:pStyle w:val="ListBullet"/>
      </w:pPr>
      <w:r>
        <w:t>Safety function and required risk reduction.</w:t>
      </w:r>
    </w:p>
    <w:p>
      <w:pPr>
        <w:pStyle w:val="ListBullet"/>
      </w:pPr>
      <w:r>
        <w:t>Safety PLC or relay architecture.</w:t>
      </w:r>
    </w:p>
    <w:p>
      <w:pPr>
        <w:pStyle w:val="ListBullet"/>
      </w:pPr>
      <w:r>
        <w:t>Safety I/O and communication arrangements.</w:t>
      </w:r>
    </w:p>
    <w:p>
      <w:pPr>
        <w:pStyle w:val="ListBullet"/>
      </w:pPr>
      <w:r>
        <w:t>Emergency-stop and guard-monitoring interfaces.</w:t>
      </w:r>
    </w:p>
    <w:p>
      <w:pPr>
        <w:pStyle w:val="ListBullet"/>
      </w:pPr>
      <w:r>
        <w:t>Safe torque off and other applicable drive safety functions.</w:t>
      </w:r>
    </w:p>
    <w:p>
      <w:pPr>
        <w:pStyle w:val="ListBullet"/>
      </w:pPr>
      <w:r>
        <w:t>Zone interlocks and robot safety interfaces.</w:t>
      </w:r>
    </w:p>
    <w:p>
      <w:pPr>
        <w:pStyle w:val="ListBullet"/>
      </w:pPr>
      <w:r>
        <w:t>Reset and restart behavior.</w:t>
      </w:r>
    </w:p>
    <w:p>
      <w:pPr>
        <w:pStyle w:val="ListBullet"/>
      </w:pPr>
      <w:r>
        <w:t>Validation and verification responsibilities.</w:t>
      </w:r>
    </w:p>
    <w:p>
      <w:pPr>
        <w:pStyle w:val="ListBullet"/>
      </w:pPr>
      <w:r>
        <w:t>Required safety documentation.</w:t>
      </w:r>
    </w:p>
    <w:p>
      <w:r>
        <w:t>A supplier statement such as "safety compliant" is not sufficient by itself. Request the applicable evidence and determine whether the proposed design meets the machine's actual safety requirements.</w:t>
      </w:r>
    </w:p>
    <w:p>
      <w:r>
        <w:t>Safety modifications must be assessed and validated by competent personnel under the applicable standards and site procedures. Procurement clarification alone does not establish that a safety system is safe.</w:t>
      </w:r>
    </w:p>
    <w:p>
      <w:pPr>
        <w:pStyle w:val="Heading2"/>
      </w:pPr>
      <w:r>
        <w:t>14. Technical clarification for software and cybersecurity</w:t>
      </w:r>
    </w:p>
    <w:p>
      <w:r>
        <w:t>Modern automation projects also require clarification of software ownership, access, and cybersecurity.</w:t>
      </w:r>
    </w:p>
    <w:p>
      <w:r>
        <w:t>Check:</w:t>
      </w:r>
    </w:p>
    <w:p>
      <w:pPr>
        <w:pStyle w:val="ListBullet"/>
      </w:pPr>
      <w:r>
        <w:t>PLC, HMI, CNC, robot, and drive software versions.</w:t>
      </w:r>
    </w:p>
    <w:p>
      <w:pPr>
        <w:pStyle w:val="ListBullet"/>
      </w:pPr>
      <w:r>
        <w:t>Engineering software licenses.</w:t>
      </w:r>
    </w:p>
    <w:p>
      <w:pPr>
        <w:pStyle w:val="ListBullet"/>
      </w:pPr>
      <w:r>
        <w:t>Runtime licensing and subscription requirements.</w:t>
      </w:r>
    </w:p>
    <w:p>
      <w:pPr>
        <w:pStyle w:val="ListBullet"/>
      </w:pPr>
      <w:r>
        <w:t>Editable source code and project backups.</w:t>
      </w:r>
    </w:p>
    <w:p>
      <w:pPr>
        <w:pStyle w:val="ListBullet"/>
      </w:pPr>
      <w:r>
        <w:t>Password and account handover arrangements.</w:t>
      </w:r>
    </w:p>
    <w:p>
      <w:pPr>
        <w:pStyle w:val="ListBullet"/>
      </w:pPr>
      <w:r>
        <w:t>Network ports and communication protocols.</w:t>
      </w:r>
    </w:p>
    <w:p>
      <w:pPr>
        <w:pStyle w:val="ListBullet"/>
      </w:pPr>
      <w:r>
        <w:t>Remote-access method and authorization.</w:t>
      </w:r>
    </w:p>
    <w:p>
      <w:pPr>
        <w:pStyle w:val="ListBullet"/>
      </w:pPr>
      <w:r>
        <w:t>User roles and access permissions.</w:t>
      </w:r>
    </w:p>
    <w:p>
      <w:pPr>
        <w:pStyle w:val="ListBullet"/>
      </w:pPr>
      <w:r>
        <w:t>Backup, restore, and disaster-recovery procedures.</w:t>
      </w:r>
    </w:p>
    <w:p>
      <w:pPr>
        <w:pStyle w:val="ListBullet"/>
      </w:pPr>
      <w:r>
        <w:t>Vendor support dependencies.</w:t>
      </w:r>
    </w:p>
    <w:p>
      <w:pPr>
        <w:pStyle w:val="ListBullet"/>
      </w:pPr>
      <w:r>
        <w:t>Compatibility with plant cybersecurity requirements.</w:t>
      </w:r>
    </w:p>
    <w:p>
      <w:r>
        <w:t>For example, "source code provided" should be clarified to establish whether the deliverable includes editable engineering projects, required libraries, device configurations, licenses, and sufficient documentation to restore and maintain the system.</w:t>
      </w:r>
    </w:p>
    <w:p>
      <w:r>
        <w:t>Credentials should be transferred through the approved secure process, not placed in an uncontrolled procurement spreadsheet.</w:t>
      </w:r>
    </w:p>
    <w:p>
      <w:pPr>
        <w:pStyle w:val="Heading2"/>
      </w:pPr>
      <w:r>
        <w:t>15. Technical clarification and FAT/SAT</w:t>
      </w:r>
    </w:p>
    <w:p>
      <w:r>
        <w:t>Clarifications must translate into verifiable testing obligations wherever applicable.</w:t>
      </w:r>
    </w:p>
    <w:p>
      <w:r>
        <w:t>FAT, or Factory Acceptance Testing, is performed before shipment or site installation to verify the agreed functions under defined test conditions.</w:t>
      </w:r>
    </w:p>
    <w:p>
      <w:r>
        <w:t>SAT, or Site Acceptance Testing, verifies the installed system at the actual site and confirms relevant interfaces and operating requirements.</w:t>
      </w:r>
    </w:p>
    <w:p>
      <w:r>
        <w:t>Clarify:</w:t>
      </w:r>
    </w:p>
    <w:p>
      <w:pPr>
        <w:pStyle w:val="ListBullet"/>
      </w:pPr>
      <w:r>
        <w:t>Test scope and procedures.</w:t>
      </w:r>
    </w:p>
    <w:p>
      <w:pPr>
        <w:pStyle w:val="ListBullet"/>
      </w:pPr>
      <w:r>
        <w:t>Test environment and required equipment.</w:t>
      </w:r>
    </w:p>
    <w:p>
      <w:pPr>
        <w:pStyle w:val="ListBullet"/>
      </w:pPr>
      <w:r>
        <w:t>Simulation versus actual-device testing.</w:t>
      </w:r>
    </w:p>
    <w:p>
      <w:pPr>
        <w:pStyle w:val="ListBullet"/>
      </w:pPr>
      <w:r>
        <w:t>Required operating modes.</w:t>
      </w:r>
    </w:p>
    <w:p>
      <w:pPr>
        <w:pStyle w:val="ListBullet"/>
      </w:pPr>
      <w:r>
        <w:t>Alarm and interlock coverage.</w:t>
      </w:r>
    </w:p>
    <w:p>
      <w:pPr>
        <w:pStyle w:val="ListBullet"/>
      </w:pPr>
      <w:r>
        <w:t>Communication-loss behavior.</w:t>
      </w:r>
    </w:p>
    <w:p>
      <w:pPr>
        <w:pStyle w:val="ListBullet"/>
      </w:pPr>
      <w:r>
        <w:t>Fault recovery and restart conditions.</w:t>
      </w:r>
    </w:p>
    <w:p>
      <w:pPr>
        <w:pStyle w:val="ListBullet"/>
      </w:pPr>
      <w:r>
        <w:t>Performance acceptance criteria.</w:t>
      </w:r>
    </w:p>
    <w:p>
      <w:pPr>
        <w:pStyle w:val="ListBullet"/>
      </w:pPr>
      <w:r>
        <w:t>Defect classification and correction process.</w:t>
      </w:r>
    </w:p>
    <w:p>
      <w:pPr>
        <w:pStyle w:val="ListBullet"/>
      </w:pPr>
      <w:r>
        <w:t>Retesting requirements.</w:t>
      </w:r>
    </w:p>
    <w:p>
      <w:pPr>
        <w:pStyle w:val="ListBullet"/>
      </w:pPr>
      <w:r>
        <w:t>Required test records and sign-offs.</w:t>
      </w:r>
    </w:p>
    <w:p>
      <w:r>
        <w:t>For an inter-machine handshake, for example, test not only the normal request/acknowledge sequence but also timeout, invalid status, communication loss, reset, and safe recovery behavior.</w:t>
      </w:r>
    </w:p>
    <w:p>
      <w:r>
        <w:t>A test that proves only the normal operating path leaves the most expensive questions unanswered.</w:t>
      </w:r>
    </w:p>
    <w:p>
      <w:pPr>
        <w:pStyle w:val="Heading2"/>
      </w:pPr>
      <w:r>
        <w:t>16. Commercial impact of technical clarifications</w:t>
      </w:r>
    </w:p>
    <w:p>
      <w:r>
        <w:t>Technical clarifications can affect commercial evaluation when they reveal missing scope or additional requirements.</w:t>
      </w:r>
    </w:p>
    <w:p>
      <w:r>
        <w:t>Examples include:</w:t>
      </w:r>
    </w:p>
    <w:p>
      <w:pPr>
        <w:pStyle w:val="ListBullet"/>
      </w:pPr>
      <w:r>
        <w:t>Additional communication modules.</w:t>
      </w:r>
    </w:p>
    <w:p>
      <w:pPr>
        <w:pStyle w:val="ListBullet"/>
      </w:pPr>
      <w:r>
        <w:t>Required panel modifications.</w:t>
      </w:r>
    </w:p>
    <w:p>
      <w:pPr>
        <w:pStyle w:val="ListBullet"/>
      </w:pPr>
      <w:r>
        <w:t>Extra engineering hours.</w:t>
      </w:r>
    </w:p>
    <w:p>
      <w:pPr>
        <w:pStyle w:val="ListBullet"/>
      </w:pPr>
      <w:r>
        <w:t>Software license fees.</w:t>
      </w:r>
    </w:p>
    <w:p>
      <w:pPr>
        <w:pStyle w:val="ListBullet"/>
      </w:pPr>
      <w:r>
        <w:t>Additional site commissioning days.</w:t>
      </w:r>
    </w:p>
    <w:p>
      <w:pPr>
        <w:pStyle w:val="ListBullet"/>
      </w:pPr>
      <w:r>
        <w:t>Safety validation costs.</w:t>
      </w:r>
    </w:p>
    <w:p>
      <w:pPr>
        <w:pStyle w:val="ListBullet"/>
      </w:pPr>
      <w:r>
        <w:t>Required spare parts.</w:t>
      </w:r>
    </w:p>
    <w:p>
      <w:pPr>
        <w:pStyle w:val="ListBullet"/>
      </w:pPr>
      <w:r>
        <w:t>Longer delivery lead time.</w:t>
      </w:r>
    </w:p>
    <w:p>
      <w:pPr>
        <w:pStyle w:val="ListBullet"/>
      </w:pPr>
      <w:r>
        <w:t>Additional training.</w:t>
      </w:r>
    </w:p>
    <w:p>
      <w:r>
        <w:t>Record the technical issue and its commercial consequence separately.</w:t>
      </w:r>
    </w:p>
    <w:p>
      <w:r>
        <w:t>Do not assume that every missing item can automatically be added to the bidder's evaluated price. Apply the procurement rules to determine whether the issue can be clarified, normalized, negotiated, or must result in a finding of noncompliance.</w:t>
      </w:r>
    </w:p>
    <w:p>
      <w:r>
        <w:t>Where a response materially changes price or scope, preserve the original offer, record the change, and obtain the necessary commercial and procurement review.</w:t>
      </w:r>
    </w:p>
    <w:p>
      <w:pPr>
        <w:pStyle w:val="Heading2"/>
      </w:pPr>
      <w:r>
        <w:t>17. Common mistakes in technical clarification</w:t>
      </w:r>
    </w:p>
    <w:p>
      <w:pPr>
        <w:pStyle w:val="ListBullet"/>
      </w:pPr>
      <w:r>
        <w:t>Asking broad questions that permit vague responses.</w:t>
      </w:r>
    </w:p>
    <w:p>
      <w:pPr>
        <w:pStyle w:val="ListBullet"/>
      </w:pPr>
      <w:r>
        <w:t>Failing to reference the applicable requirement.</w:t>
      </w:r>
    </w:p>
    <w:p>
      <w:pPr>
        <w:pStyle w:val="ListBullet"/>
      </w:pPr>
      <w:r>
        <w:t>Accepting unsupported claims of compatibility.</w:t>
      </w:r>
    </w:p>
    <w:p>
      <w:pPr>
        <w:pStyle w:val="ListBullet"/>
      </w:pPr>
      <w:r>
        <w:t>Treating an actual deviation as a documentation omission.</w:t>
      </w:r>
    </w:p>
    <w:p>
      <w:pPr>
        <w:pStyle w:val="ListBullet"/>
      </w:pPr>
      <w:r>
        <w:t>Failing to review the commercial impact of missing scope.</w:t>
      </w:r>
    </w:p>
    <w:p>
      <w:pPr>
        <w:pStyle w:val="ListBullet"/>
      </w:pPr>
      <w:r>
        <w:t>Accepting revised technical commitments without recording them.</w:t>
      </w:r>
    </w:p>
    <w:p>
      <w:pPr>
        <w:pStyle w:val="ListBullet"/>
      </w:pPr>
      <w:r>
        <w:t>Allowing uncontrolled changes to the specification.</w:t>
      </w:r>
    </w:p>
    <w:p>
      <w:pPr>
        <w:pStyle w:val="ListBullet"/>
      </w:pPr>
      <w:r>
        <w:t>Failing to consider software licensing and source-code handover.</w:t>
      </w:r>
    </w:p>
    <w:p>
      <w:pPr>
        <w:pStyle w:val="ListBullet"/>
      </w:pPr>
      <w:r>
        <w:t>Ignoring commissioning, training, FAT, and SAT obligations.</w:t>
      </w:r>
    </w:p>
    <w:p>
      <w:pPr>
        <w:pStyle w:val="ListBullet"/>
      </w:pPr>
      <w:r>
        <w:t>Closing questions without engineering approval.</w:t>
      </w:r>
    </w:p>
    <w:p>
      <w:pPr>
        <w:pStyle w:val="ListBullet"/>
      </w:pPr>
      <w:r>
        <w:t>Losing track of response deadlines.</w:t>
      </w:r>
    </w:p>
    <w:p>
      <w:pPr>
        <w:pStyle w:val="ListBullet"/>
      </w:pPr>
      <w:r>
        <w:t>Failing to retain original quotations and written responses.</w:t>
      </w:r>
    </w:p>
    <w:p>
      <w:pPr>
        <w:pStyle w:val="ListBullet"/>
      </w:pPr>
      <w:r>
        <w:t>Using clarification to bypass the approved procurement process.</w:t>
      </w:r>
    </w:p>
    <w:p>
      <w:pPr>
        <w:pStyle w:val="ListBullet"/>
      </w:pPr>
      <w:r>
        <w:t>Accepting safety-related claims without appropriate evidence.</w:t>
      </w:r>
    </w:p>
    <w:p>
      <w:pPr>
        <w:pStyle w:val="Heading2"/>
      </w:pPr>
      <w:r>
        <w:t>18. Practical technical clarification workflow</w:t>
      </w:r>
    </w:p>
    <w:p>
      <w:r>
        <w:t>For an industrial maintenance or automation engineer, the following workflow is effective:</w:t>
      </w:r>
    </w:p>
    <w:p>
      <w:pPr>
        <w:tabs>
          <w:tab w:pos="403" w:val="left"/>
        </w:tabs>
        <w:spacing w:after="40" w:line="276" w:lineRule="auto"/>
        <w:ind w:left="403" w:hanging="403"/>
        <w:jc w:val="left"/>
      </w:pPr>
      <w:r>
        <w:rPr>
          <w:color w:val="1A2E4A"/>
        </w:rPr>
        <w:t>1.</w:t>
        <w:tab/>
      </w:r>
      <w:r>
        <w:t>Read the original requirement and identify the exact clause or drawing.</w:t>
      </w:r>
    </w:p>
    <w:p>
      <w:pPr>
        <w:tabs>
          <w:tab w:pos="403" w:val="left"/>
        </w:tabs>
        <w:spacing w:after="40" w:line="276" w:lineRule="auto"/>
        <w:ind w:left="403" w:hanging="403"/>
        <w:jc w:val="left"/>
      </w:pPr>
      <w:r>
        <w:rPr>
          <w:color w:val="1A2E4A"/>
        </w:rPr>
        <w:t>2.</w:t>
        <w:tab/>
      </w:r>
      <w:r>
        <w:t>Read the supplier's response and identify the unresolved issue.</w:t>
      </w:r>
    </w:p>
    <w:p>
      <w:pPr>
        <w:tabs>
          <w:tab w:pos="403" w:val="left"/>
        </w:tabs>
        <w:spacing w:after="40" w:line="276" w:lineRule="auto"/>
        <w:ind w:left="403" w:hanging="403"/>
        <w:jc w:val="left"/>
      </w:pPr>
      <w:r>
        <w:rPr>
          <w:color w:val="1A2E4A"/>
        </w:rPr>
        <w:t>3.</w:t>
        <w:tab/>
      </w:r>
      <w:r>
        <w:t>Classify the issue as ambiguity, omission, contradiction, deviation, or unverified claim.</w:t>
      </w:r>
    </w:p>
    <w:p>
      <w:pPr>
        <w:tabs>
          <w:tab w:pos="403" w:val="left"/>
        </w:tabs>
        <w:spacing w:after="40" w:line="276" w:lineRule="auto"/>
        <w:ind w:left="403" w:hanging="403"/>
        <w:jc w:val="left"/>
      </w:pPr>
      <w:r>
        <w:rPr>
          <w:color w:val="1A2E4A"/>
        </w:rPr>
        <w:t>4.</w:t>
        <w:tab/>
      </w:r>
      <w:r>
        <w:t>Determine whether the issue affects safety, functionality, compatibility, cost, schedule, or maintainability.</w:t>
      </w:r>
    </w:p>
    <w:p>
      <w:pPr>
        <w:tabs>
          <w:tab w:pos="403" w:val="left"/>
        </w:tabs>
        <w:spacing w:after="40" w:line="276" w:lineRule="auto"/>
        <w:ind w:left="403" w:hanging="403"/>
        <w:jc w:val="left"/>
      </w:pPr>
      <w:r>
        <w:rPr>
          <w:color w:val="1A2E4A"/>
        </w:rPr>
        <w:t>5.</w:t>
        <w:tab/>
      </w:r>
      <w:r>
        <w:t>Write a specific clarification question.</w:t>
      </w:r>
    </w:p>
    <w:p>
      <w:pPr>
        <w:tabs>
          <w:tab w:pos="403" w:val="left"/>
        </w:tabs>
        <w:spacing w:after="40" w:line="276" w:lineRule="auto"/>
        <w:ind w:left="403" w:hanging="403"/>
        <w:jc w:val="left"/>
      </w:pPr>
      <w:r>
        <w:rPr>
          <w:color w:val="1A2E4A"/>
        </w:rPr>
        <w:t>6.</w:t>
        <w:tab/>
      </w:r>
      <w:r>
        <w:t>Request the evidence needed to verify the response.</w:t>
      </w:r>
    </w:p>
    <w:p>
      <w:pPr>
        <w:tabs>
          <w:tab w:pos="403" w:val="left"/>
        </w:tabs>
        <w:spacing w:after="40" w:line="276" w:lineRule="auto"/>
        <w:ind w:left="403" w:hanging="403"/>
        <w:jc w:val="left"/>
      </w:pPr>
      <w:r>
        <w:rPr>
          <w:color w:val="1A2E4A"/>
        </w:rPr>
        <w:t>7.</w:t>
        <w:tab/>
      </w:r>
      <w:r>
        <w:t>Log the question and assign responsibility and a due date.</w:t>
      </w:r>
    </w:p>
    <w:p>
      <w:pPr>
        <w:tabs>
          <w:tab w:pos="403" w:val="left"/>
        </w:tabs>
        <w:spacing w:after="40" w:line="276" w:lineRule="auto"/>
        <w:ind w:left="403" w:hanging="403"/>
        <w:jc w:val="left"/>
      </w:pPr>
      <w:r>
        <w:rPr>
          <w:color w:val="1A2E4A"/>
        </w:rPr>
        <w:t>8.</w:t>
        <w:tab/>
      </w:r>
      <w:r>
        <w:t>Review the supplier's written response against the original requirement.</w:t>
      </w:r>
    </w:p>
    <w:p>
      <w:pPr>
        <w:tabs>
          <w:tab w:pos="403" w:val="left"/>
        </w:tabs>
        <w:spacing w:after="40" w:line="276" w:lineRule="auto"/>
        <w:ind w:left="403" w:hanging="403"/>
        <w:jc w:val="left"/>
      </w:pPr>
      <w:r>
        <w:rPr>
          <w:color w:val="1A2E4A"/>
        </w:rPr>
        <w:t>9.</w:t>
        <w:tab/>
      </w:r>
      <w:r>
        <w:t>Record the decision and any technical or commercial impact.</w:t>
      </w:r>
    </w:p>
    <w:p>
      <w:pPr>
        <w:tabs>
          <w:tab w:pos="403" w:val="left"/>
        </w:tabs>
        <w:spacing w:after="40" w:line="276" w:lineRule="auto"/>
        <w:ind w:left="403" w:hanging="403"/>
        <w:jc w:val="left"/>
      </w:pPr>
      <w:r>
        <w:rPr>
          <w:color w:val="1A2E4A"/>
        </w:rPr>
        <w:t>10.</w:t>
        <w:tab/>
      </w:r>
      <w:r>
        <w:t>Update the compliance and deviation registers.</w:t>
      </w:r>
    </w:p>
    <w:p>
      <w:pPr>
        <w:tabs>
          <w:tab w:pos="403" w:val="left"/>
        </w:tabs>
        <w:spacing w:after="40" w:line="276" w:lineRule="auto"/>
        <w:ind w:left="403" w:hanging="403"/>
        <w:jc w:val="left"/>
      </w:pPr>
      <w:r>
        <w:rPr>
          <w:color w:val="1A2E4A"/>
        </w:rPr>
        <w:t>11.</w:t>
        <w:tab/>
      </w:r>
      <w:r>
        <w:t>Escalate unresolved or material issues to the appropriate engineering and procurement authorities.</w:t>
      </w:r>
    </w:p>
    <w:p>
      <w:pPr>
        <w:tabs>
          <w:tab w:pos="403" w:val="left"/>
        </w:tabs>
        <w:spacing w:after="40" w:line="276" w:lineRule="auto"/>
        <w:ind w:left="403" w:hanging="403"/>
        <w:jc w:val="left"/>
      </w:pPr>
      <w:r>
        <w:rPr>
          <w:color w:val="1A2E4A"/>
        </w:rPr>
        <w:t>12.</w:t>
        <w:tab/>
      </w:r>
      <w:r>
        <w:t>Retain the complete record for bid comparison, vendor selection, and contract preparation.</w:t>
      </w:r>
    </w:p>
    <w:p>
      <w:pPr>
        <w:pStyle w:val="Heading2"/>
      </w:pPr>
      <w:r>
        <w:t>19. Interview questions and answers</w:t>
      </w:r>
    </w:p>
    <w:p>
      <w:r>
        <w:t>Q1. What is technical clarification?</w:t>
      </w:r>
    </w:p>
    <w:p>
      <w:r>
        <w:t>It is the formal process of resolving technical ambiguities, omissions, inconsistencies, or uncertainties in a supplier's offer.</w:t>
      </w:r>
    </w:p>
    <w:p>
      <w:r>
        <w:t>Q2. Why is technical clarification required before vendor selection?</w:t>
      </w:r>
    </w:p>
    <w:p>
      <w:r>
        <w:t>It establishes what the supplier is actually offering and helps determine compliance, scope completeness, compatibility, risk, and potential cost or schedule impacts.</w:t>
      </w:r>
    </w:p>
    <w:p>
      <w:r>
        <w:t>Q3. What is the difference between clarification and deviation?</w:t>
      </w:r>
    </w:p>
    <w:p>
      <w:r>
        <w:t>Clarification resolves uncertainty about an offer. A deviation is an identified difference between the offer and the specified requirement.</w:t>
      </w:r>
    </w:p>
    <w:p>
      <w:r>
        <w:t>Q4. Can a supplier change its offer during clarification?</w:t>
      </w:r>
    </w:p>
    <w:p>
      <w:r>
        <w:t>Only to the extent permitted by the procurement rules. A clarification must not become an unauthorized opportunity to revise a bid or gain an unfair advantage.</w:t>
      </w:r>
    </w:p>
    <w:p>
      <w:r>
        <w:t>Q5. What is a technical clarification register?</w:t>
      </w:r>
    </w:p>
    <w:p>
      <w:r>
        <w:t>It is the controlled record of clarification questions, supplier responses, engineering assessments, decisions, and supporting evidence.</w:t>
      </w:r>
    </w:p>
    <w:p>
      <w:r>
        <w:t>Q6. How would you clarify PLC compatibility during a retrofit?</w:t>
      </w:r>
    </w:p>
    <w:p>
      <w:r>
        <w:t>I would verify the CPU and firmware, I/O compatibility, communication protocols, HMI and drive interfaces, program migration, hardware additions, and required testing.</w:t>
      </w:r>
    </w:p>
    <w:p>
      <w:r>
        <w:t>Q7. How should a vague supplier response be handled?</w:t>
      </w:r>
    </w:p>
    <w:p>
      <w:r>
        <w:t>Record why the response is insufficient, identify the missing information, and issue a focused follow-up question with the required evidence.</w:t>
      </w:r>
    </w:p>
    <w:p>
      <w:r>
        <w:t>Q8. What is the relationship between technical clarification and bid comparison?</w:t>
      </w:r>
    </w:p>
    <w:p>
      <w:r>
        <w:t>Clarification resolves material uncertainties that affect the accuracy of the technical evaluation and the fairness of the subsequent bid comparison.</w:t>
      </w:r>
    </w:p>
    <w:p>
      <w:r>
        <w:t>Q9. Why are FAT and SAT requirements clarified during procurement?</w:t>
      </w:r>
    </w:p>
    <w:p>
      <w:r>
        <w:t>They establish what will be tested, the acceptance criteria, the supplier's obligations, and the evidence required before handover.</w:t>
      </w:r>
    </w:p>
    <w:p>
      <w:r>
        <w:t>Q10. What makes a technical clarification process auditable?</w:t>
      </w:r>
    </w:p>
    <w:p>
      <w:r>
        <w:t>Traceable requirement references, preserved original bids, formal written responses, documented technical decisions, controlled revisions, and appropriate approvals.</w:t>
      </w:r>
    </w:p>
    <w:p>
      <w:pPr>
        <w:pStyle w:val="Heading2"/>
      </w:pPr>
      <w:r>
        <w:t>20. Final checklist</w:t>
      </w:r>
    </w:p>
    <w:p>
      <w:pPr>
        <w:pStyle w:val="ListBullet"/>
      </w:pPr>
      <w:r>
        <w:t>Every question references a specific requirement or bid statement.</w:t>
      </w:r>
    </w:p>
    <w:p>
      <w:pPr>
        <w:pStyle w:val="ListBullet"/>
      </w:pPr>
      <w:r>
        <w:t>Questions request concrete, verifiable information.</w:t>
      </w:r>
    </w:p>
    <w:p>
      <w:pPr>
        <w:pStyle w:val="ListBullet"/>
      </w:pPr>
      <w:r>
        <w:t>Technical and commercial consequences are identified.</w:t>
      </w:r>
    </w:p>
    <w:p>
      <w:pPr>
        <w:pStyle w:val="ListBullet"/>
      </w:pPr>
      <w:r>
        <w:t>Actual deviations are not misclassified as clarifications.</w:t>
      </w:r>
    </w:p>
    <w:p>
      <w:pPr>
        <w:pStyle w:val="ListBullet"/>
      </w:pPr>
      <w:r>
        <w:t>Responses are reviewed by competent personnel.</w:t>
      </w:r>
    </w:p>
    <w:p>
      <w:pPr>
        <w:pStyle w:val="ListBullet"/>
      </w:pPr>
      <w:r>
        <w:t>Safety and cybersecurity implications are addressed where applicable.</w:t>
      </w:r>
    </w:p>
    <w:p>
      <w:pPr>
        <w:pStyle w:val="ListBullet"/>
      </w:pPr>
      <w:r>
        <w:t>FAT, SAT, commissioning, and handover commitments are unambiguous.</w:t>
      </w:r>
    </w:p>
    <w:p>
      <w:pPr>
        <w:pStyle w:val="ListBullet"/>
      </w:pPr>
      <w:r>
        <w:t>Procurement fairness and confidentiality are maintained.</w:t>
      </w:r>
    </w:p>
    <w:p>
      <w:pPr>
        <w:pStyle w:val="ListBullet"/>
      </w:pPr>
      <w:r>
        <w:t>Original bids and all responses are retained.</w:t>
      </w:r>
    </w:p>
    <w:p>
      <w:pPr>
        <w:pStyle w:val="ListBullet"/>
      </w:pPr>
      <w:r>
        <w:t>The clarification register is updated before the evaluation is finalized.</w:t>
      </w:r>
    </w:p>
    <w:p>
      <w:r>
        <w:t>The key outcome is a supplier offer whose scope, interfaces, compliance, testing obligations, and unresolved risks are clearly understood. This gives procurement and engineering a defensible basis for vendor selection and reduces the likelihood of discovering missing requirements after the purchase order has been issued.</w:t>
      </w:r>
    </w:p>
    <w:p>
      <w:pPr>
        <w:pStyle w:val="Heading2"/>
      </w:pPr>
      <w:r>
        <w:t>NEXT TOPIC</w:t>
      </w:r>
    </w:p>
    <w:p>
      <w:r>
        <w:rPr>
          <w:rFonts w:ascii="Consolas" w:hAnsi="Consolas"/>
          <w:color w:val="333333"/>
          <w:sz w:val="19"/>
          <w:shd w:val="clear" w:color="auto" w:fill="EFEFEF"/>
        </w:rPr>
        <w:t>02_PLAN_WISE_2026\02_INDUSTRY3_0\07_Lifecycle\03_Procurement\07_Vendor_Selection - Vendor selection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02_PLAN_WISE_2026\02_INDUSTRY3_0\07_Lifecycle\03_Procurement\06_Technical_Clarification - Technical clarification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