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02_PLAN_WISE_2026\02_INDUSTRY3_0\07_Lifecycle\03_Procurement\07_Vendor_Selection - Vendor selection</w:t>
      </w:r>
    </w:p>
    <w:p>
      <w:pPr>
        <w:pStyle w:val="Heading2"/>
      </w:pPr>
      <w:r>
        <w:t>1. What is vendor selection?</w:t>
      </w:r>
    </w:p>
    <w:p>
      <w:r>
        <w:t>Vendor selection is the formal process of choosing a supplier who can deliver the required equipment, engineering services, software, installation, commissioning, and support in accordance with the approved technical, commercial, quality, delivery, and contractual requirements.</w:t>
      </w:r>
    </w:p>
    <w:p>
      <w:r>
        <w:t>In industrial automation, vendor selection is not simply choosing the supplier with the lowest quotation. The selected vendor must be capable of delivering a solution that works with the existing machine, meets safety requirements, can be maintained by the plant, and remains supportable throughout its expected service life.</w:t>
      </w:r>
    </w:p>
    <w:p>
      <w:r>
        <w:t>Examples include selecting a supplier for:</w:t>
      </w:r>
    </w:p>
    <w:p>
      <w:pPr>
        <w:pStyle w:val="ListBullet"/>
      </w:pPr>
      <w:r>
        <w:t>PLC, HMI, CNC, robot, and drive systems.</w:t>
      </w:r>
    </w:p>
    <w:p>
      <w:pPr>
        <w:pStyle w:val="ListBullet"/>
      </w:pPr>
      <w:r>
        <w:t>Industrial control panels and electrical components.</w:t>
      </w:r>
    </w:p>
    <w:p>
      <w:pPr>
        <w:pStyle w:val="ListBullet"/>
      </w:pPr>
      <w:r>
        <w:t>Machine retrofits and automation upgrades.</w:t>
      </w:r>
    </w:p>
    <w:p>
      <w:pPr>
        <w:pStyle w:val="ListBullet"/>
      </w:pPr>
      <w:r>
        <w:t>Sensors, scanners, industrial networks, and safety equipment.</w:t>
      </w:r>
    </w:p>
    <w:p>
      <w:pPr>
        <w:pStyle w:val="ListBullet"/>
      </w:pPr>
      <w:r>
        <w:t>Engineering, programming, installation, and commissioning.</w:t>
      </w:r>
    </w:p>
    <w:p>
      <w:pPr>
        <w:pStyle w:val="ListBullet"/>
      </w:pPr>
      <w:r>
        <w:t>Electronic repair services and obsolete-equipment replacement.</w:t>
      </w:r>
    </w:p>
    <w:p>
      <w:r>
        <w:t>The objective is to make a defensible, technically sound, commercially justified, and formally approved supplier-selection decision.</w:t>
      </w:r>
    </w:p>
    <w:p>
      <w:pPr>
        <w:pStyle w:val="Heading2"/>
      </w:pPr>
      <w:r>
        <w:t>2. Vendor selection versus vendor identification and evaluation</w:t>
      </w:r>
    </w:p>
    <w:p>
      <w:r>
        <w:t>These activities are related but have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Vendor identification</w:t>
            </w:r>
          </w:p>
        </w:tc>
        <w:tc>
          <w:tcPr>
            <w:tcW w:type="dxa" w:w="3600"/>
          </w:tcPr>
          <w:p>
            <w:pPr>
              <w:spacing w:after="0" w:before="0" w:line="240" w:lineRule="auto"/>
              <w:jc w:val="left"/>
            </w:pPr>
            <w:r>
              <w:t>Find potential suppliers capable of meeting the requirement</w:t>
            </w:r>
          </w:p>
        </w:tc>
        <w:tc>
          <w:tcPr>
            <w:tcW w:type="dxa" w:w="3600"/>
          </w:tcPr>
          <w:p>
            <w:pPr>
              <w:spacing w:after="0" w:before="0" w:line="240" w:lineRule="auto"/>
              <w:jc w:val="left"/>
            </w:pPr>
            <w:r>
              <w:t>Potential vendor list</w:t>
            </w:r>
          </w:p>
        </w:tc>
      </w:tr>
      <w:tr>
        <w:tc>
          <w:tcPr>
            <w:tcW w:type="dxa" w:w="3600"/>
          </w:tcPr>
          <w:p>
            <w:pPr>
              <w:spacing w:after="0" w:before="0" w:line="240" w:lineRule="auto"/>
              <w:jc w:val="left"/>
            </w:pPr>
            <w:r>
              <w:t>Vendor qualification</w:t>
            </w:r>
          </w:p>
        </w:tc>
        <w:tc>
          <w:tcPr>
            <w:tcW w:type="dxa" w:w="3600"/>
          </w:tcPr>
          <w:p>
            <w:pPr>
              <w:spacing w:after="0" w:before="0" w:line="240" w:lineRule="auto"/>
              <w:jc w:val="left"/>
            </w:pPr>
            <w:r>
              <w:t>Verify basic capability and eligibility</w:t>
            </w:r>
          </w:p>
        </w:tc>
        <w:tc>
          <w:tcPr>
            <w:tcW w:type="dxa" w:w="3600"/>
          </w:tcPr>
          <w:p>
            <w:pPr>
              <w:spacing w:after="0" w:before="0" w:line="240" w:lineRule="auto"/>
              <w:jc w:val="left"/>
            </w:pPr>
            <w:r>
              <w:t>Qualified vendor list</w:t>
            </w:r>
          </w:p>
        </w:tc>
      </w:tr>
      <w:tr>
        <w:tc>
          <w:tcPr>
            <w:tcW w:type="dxa" w:w="3600"/>
          </w:tcPr>
          <w:p>
            <w:pPr>
              <w:spacing w:after="0" w:before="0" w:line="240" w:lineRule="auto"/>
              <w:jc w:val="left"/>
            </w:pPr>
            <w:r>
              <w:t>Technical evaluation</w:t>
            </w:r>
          </w:p>
        </w:tc>
        <w:tc>
          <w:tcPr>
            <w:tcW w:type="dxa" w:w="3600"/>
          </w:tcPr>
          <w:p>
            <w:pPr>
              <w:spacing w:after="0" w:before="0" w:line="240" w:lineRule="auto"/>
              <w:jc w:val="left"/>
            </w:pPr>
            <w:r>
              <w:t>Determine whether the proposed solution meets requirements</w:t>
            </w:r>
          </w:p>
        </w:tc>
        <w:tc>
          <w:tcPr>
            <w:tcW w:type="dxa" w:w="3600"/>
          </w:tcPr>
          <w:p>
            <w:pPr>
              <w:spacing w:after="0" w:before="0" w:line="240" w:lineRule="auto"/>
              <w:jc w:val="left"/>
            </w:pPr>
            <w:r>
              <w:t>Technical evaluation report</w:t>
            </w:r>
          </w:p>
        </w:tc>
      </w:tr>
      <w:tr>
        <w:tc>
          <w:tcPr>
            <w:tcW w:type="dxa" w:w="3600"/>
          </w:tcPr>
          <w:p>
            <w:pPr>
              <w:spacing w:after="0" w:before="0" w:line="240" w:lineRule="auto"/>
              <w:jc w:val="left"/>
            </w:pPr>
            <w:r>
              <w:t>Commercial evaluation</w:t>
            </w:r>
          </w:p>
        </w:tc>
        <w:tc>
          <w:tcPr>
            <w:tcW w:type="dxa" w:w="3600"/>
          </w:tcPr>
          <w:p>
            <w:pPr>
              <w:spacing w:after="0" w:before="0" w:line="240" w:lineRule="auto"/>
              <w:jc w:val="left"/>
            </w:pPr>
            <w:r>
              <w:t>Assess prices and commercial conditions</w:t>
            </w:r>
          </w:p>
        </w:tc>
        <w:tc>
          <w:tcPr>
            <w:tcW w:type="dxa" w:w="3600"/>
          </w:tcPr>
          <w:p>
            <w:pPr>
              <w:spacing w:after="0" w:before="0" w:line="240" w:lineRule="auto"/>
              <w:jc w:val="left"/>
            </w:pPr>
            <w:r>
              <w:t>Commercial evaluation report</w:t>
            </w:r>
          </w:p>
        </w:tc>
      </w:tr>
      <w:tr>
        <w:tc>
          <w:tcPr>
            <w:tcW w:type="dxa" w:w="3600"/>
          </w:tcPr>
          <w:p>
            <w:pPr>
              <w:spacing w:after="0" w:before="0" w:line="240" w:lineRule="auto"/>
              <w:jc w:val="left"/>
            </w:pPr>
            <w:r>
              <w:t>Bid comparison</w:t>
            </w:r>
          </w:p>
        </w:tc>
        <w:tc>
          <w:tcPr>
            <w:tcW w:type="dxa" w:w="3600"/>
          </w:tcPr>
          <w:p>
            <w:pPr>
              <w:spacing w:after="0" w:before="0" w:line="240" w:lineRule="auto"/>
              <w:jc w:val="left"/>
            </w:pPr>
            <w:r>
              <w:t>Compare eligible offers on a consistent basis</w:t>
            </w:r>
          </w:p>
        </w:tc>
        <w:tc>
          <w:tcPr>
            <w:tcW w:type="dxa" w:w="3600"/>
          </w:tcPr>
          <w:p>
            <w:pPr>
              <w:spacing w:after="0" w:before="0" w:line="240" w:lineRule="auto"/>
              <w:jc w:val="left"/>
            </w:pPr>
            <w:r>
              <w:t>Comparative statement</w:t>
            </w:r>
          </w:p>
        </w:tc>
      </w:tr>
      <w:tr>
        <w:tc>
          <w:tcPr>
            <w:tcW w:type="dxa" w:w="3600"/>
          </w:tcPr>
          <w:p>
            <w:pPr>
              <w:spacing w:after="0" w:before="0" w:line="240" w:lineRule="auto"/>
              <w:jc w:val="left"/>
            </w:pPr>
            <w:r>
              <w:t>Technical clarification</w:t>
            </w:r>
          </w:p>
        </w:tc>
        <w:tc>
          <w:tcPr>
            <w:tcW w:type="dxa" w:w="3600"/>
          </w:tcPr>
          <w:p>
            <w:pPr>
              <w:spacing w:after="0" w:before="0" w:line="240" w:lineRule="auto"/>
              <w:jc w:val="left"/>
            </w:pPr>
            <w:r>
              <w:t>Resolve ambiguities and missing information</w:t>
            </w:r>
          </w:p>
        </w:tc>
        <w:tc>
          <w:tcPr>
            <w:tcW w:type="dxa" w:w="3600"/>
          </w:tcPr>
          <w:p>
            <w:pPr>
              <w:spacing w:after="0" w:before="0" w:line="240" w:lineRule="auto"/>
              <w:jc w:val="left"/>
            </w:pPr>
            <w:r>
              <w:t>Clarification register</w:t>
            </w:r>
          </w:p>
        </w:tc>
      </w:tr>
      <w:tr>
        <w:tc>
          <w:tcPr>
            <w:tcW w:type="dxa" w:w="3600"/>
          </w:tcPr>
          <w:p>
            <w:pPr>
              <w:spacing w:after="0" w:before="0" w:line="240" w:lineRule="auto"/>
              <w:jc w:val="left"/>
            </w:pPr>
            <w:r>
              <w:t>Vendor selection</w:t>
            </w:r>
          </w:p>
        </w:tc>
        <w:tc>
          <w:tcPr>
            <w:tcW w:type="dxa" w:w="3600"/>
          </w:tcPr>
          <w:p>
            <w:pPr>
              <w:spacing w:after="0" w:before="0" w:line="240" w:lineRule="auto"/>
              <w:jc w:val="left"/>
            </w:pPr>
            <w:r>
              <w:t>Choose the preferred supplier using approved criteria</w:t>
            </w:r>
          </w:p>
        </w:tc>
        <w:tc>
          <w:tcPr>
            <w:tcW w:type="dxa" w:w="3600"/>
          </w:tcPr>
          <w:p>
            <w:pPr>
              <w:spacing w:after="0" w:before="0" w:line="240" w:lineRule="auto"/>
              <w:jc w:val="left"/>
            </w:pPr>
            <w:r>
              <w:t>Selection recommendation</w:t>
            </w:r>
          </w:p>
        </w:tc>
      </w:tr>
      <w:tr>
        <w:tc>
          <w:tcPr>
            <w:tcW w:type="dxa" w:w="3600"/>
          </w:tcPr>
          <w:p>
            <w:pPr>
              <w:spacing w:after="0" w:before="0" w:line="240" w:lineRule="auto"/>
              <w:jc w:val="left"/>
            </w:pPr>
            <w:r>
              <w:t>Purchase order</w:t>
            </w:r>
          </w:p>
        </w:tc>
        <w:tc>
          <w:tcPr>
            <w:tcW w:type="dxa" w:w="3600"/>
          </w:tcPr>
          <w:p>
            <w:pPr>
              <w:spacing w:after="0" w:before="0" w:line="240" w:lineRule="auto"/>
              <w:jc w:val="left"/>
            </w:pPr>
            <w:r>
              <w:t>Formally authorize the purchase under defined terms</w:t>
            </w:r>
          </w:p>
        </w:tc>
        <w:tc>
          <w:tcPr>
            <w:tcW w:type="dxa" w:w="3600"/>
          </w:tcPr>
          <w:p>
            <w:pPr>
              <w:spacing w:after="0" w:before="0" w:line="240" w:lineRule="auto"/>
              <w:jc w:val="left"/>
            </w:pPr>
            <w:r>
              <w:t>Approved PO</w:t>
            </w:r>
          </w:p>
        </w:tc>
      </w:tr>
    </w:tbl>
    <w:p/>
    <w:p>
      <w:r>
        <w:t>Vendor selection uses the preceding activities as evidence. It should not replace them or bypass unresolved mandatory requirements.</w:t>
      </w:r>
    </w:p>
    <w:p>
      <w:pPr>
        <w:pStyle w:val="Heading2"/>
      </w:pPr>
      <w:r>
        <w:t>3. Where vendor selection fits in the procurement lifecycle</w:t>
      </w:r>
    </w:p>
    <w:p>
      <w:pPr>
        <w:shd w:val="clear" w:color="auto" w:fill="F4F4F4"/>
        <w:spacing w:before="0" w:after="0" w:line="240" w:lineRule="auto"/>
        <w:ind w:left="216" w:right="216"/>
        <w:jc w:val="left"/>
      </w:pPr>
      <w:r>
        <w:rPr>
          <w:rFonts w:ascii="Consolas" w:hAnsi="Consolas"/>
          <w:color w:val="202020"/>
          <w:sz w:val="18"/>
        </w:rPr>
        <w:t>Customer / Plant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and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Approved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Identification and Bid Receipt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Clarification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Evaluation and Bid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Selection Recommendation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Execution and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Commissioning, and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Performance Review</w:t>
      </w:r>
    </w:p>
    <w:p/>
    <w:p>
      <w:r>
        <w:t>The exact order of technical and commercial activities depends on the organization's procurement procedure. Some processes use separate technical and commercial bid openings, while others use a combined evaluation.</w:t>
      </w:r>
    </w:p>
    <w:p>
      <w:pPr>
        <w:pStyle w:val="Heading2"/>
      </w:pPr>
      <w:r>
        <w:t>4. Inputs required for vendor selection</w:t>
      </w:r>
    </w:p>
    <w:p>
      <w:r>
        <w:t>A reliable decision requires more than a quotation and a comparison spreadsheet.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Approved URS or technical specification</w:t>
            </w:r>
          </w:p>
        </w:tc>
        <w:tc>
          <w:tcPr>
            <w:tcW w:type="dxa" w:w="5400"/>
          </w:tcPr>
          <w:p>
            <w:pPr>
              <w:spacing w:after="0" w:before="0" w:line="240" w:lineRule="auto"/>
              <w:jc w:val="left"/>
            </w:pPr>
            <w:r>
              <w:t>Defines the required solution</w:t>
            </w:r>
          </w:p>
        </w:tc>
      </w:tr>
      <w:tr>
        <w:tc>
          <w:tcPr>
            <w:tcW w:type="dxa" w:w="5400"/>
          </w:tcPr>
          <w:p>
            <w:pPr>
              <w:spacing w:after="0" w:before="0" w:line="240" w:lineRule="auto"/>
              <w:jc w:val="left"/>
            </w:pPr>
            <w:r>
              <w:t>RFQ and scope of supply</w:t>
            </w:r>
          </w:p>
        </w:tc>
        <w:tc>
          <w:tcPr>
            <w:tcW w:type="dxa" w:w="5400"/>
          </w:tcPr>
          <w:p>
            <w:pPr>
              <w:spacing w:after="0" w:before="0" w:line="240" w:lineRule="auto"/>
              <w:jc w:val="left"/>
            </w:pPr>
            <w:r>
              <w:t>Establishes the supplier's contractual scope</w:t>
            </w:r>
          </w:p>
        </w:tc>
      </w:tr>
      <w:tr>
        <w:tc>
          <w:tcPr>
            <w:tcW w:type="dxa" w:w="5400"/>
          </w:tcPr>
          <w:p>
            <w:pPr>
              <w:spacing w:after="0" w:before="0" w:line="240" w:lineRule="auto"/>
              <w:jc w:val="left"/>
            </w:pPr>
            <w:r>
              <w:t>Supplier quotation</w:t>
            </w:r>
          </w:p>
        </w:tc>
        <w:tc>
          <w:tcPr>
            <w:tcW w:type="dxa" w:w="5400"/>
          </w:tcPr>
          <w:p>
            <w:pPr>
              <w:spacing w:after="0" w:before="0" w:line="240" w:lineRule="auto"/>
              <w:jc w:val="left"/>
            </w:pPr>
            <w:r>
              <w:t>Records the proposed offer and price</w:t>
            </w:r>
          </w:p>
        </w:tc>
      </w:tr>
      <w:tr>
        <w:tc>
          <w:tcPr>
            <w:tcW w:type="dxa" w:w="5400"/>
          </w:tcPr>
          <w:p>
            <w:pPr>
              <w:spacing w:after="0" w:before="0" w:line="240" w:lineRule="auto"/>
              <w:jc w:val="left"/>
            </w:pPr>
            <w:r>
              <w:t>Technical compliance matrix</w:t>
            </w:r>
          </w:p>
        </w:tc>
        <w:tc>
          <w:tcPr>
            <w:tcW w:type="dxa" w:w="5400"/>
          </w:tcPr>
          <w:p>
            <w:pPr>
              <w:spacing w:after="0" w:before="0" w:line="240" w:lineRule="auto"/>
              <w:jc w:val="left"/>
            </w:pPr>
            <w:r>
              <w:t>Identifies compliance and deviations</w:t>
            </w:r>
          </w:p>
        </w:tc>
      </w:tr>
      <w:tr>
        <w:tc>
          <w:tcPr>
            <w:tcW w:type="dxa" w:w="5400"/>
          </w:tcPr>
          <w:p>
            <w:pPr>
              <w:spacing w:after="0" w:before="0" w:line="240" w:lineRule="auto"/>
              <w:jc w:val="left"/>
            </w:pPr>
            <w:r>
              <w:t>Clarification register</w:t>
            </w:r>
          </w:p>
        </w:tc>
        <w:tc>
          <w:tcPr>
            <w:tcW w:type="dxa" w:w="5400"/>
          </w:tcPr>
          <w:p>
            <w:pPr>
              <w:spacing w:after="0" w:before="0" w:line="240" w:lineRule="auto"/>
              <w:jc w:val="left"/>
            </w:pPr>
            <w:r>
              <w:t>Records resolved and unresolved issues</w:t>
            </w:r>
          </w:p>
        </w:tc>
      </w:tr>
      <w:tr>
        <w:tc>
          <w:tcPr>
            <w:tcW w:type="dxa" w:w="5400"/>
          </w:tcPr>
          <w:p>
            <w:pPr>
              <w:spacing w:after="0" w:before="0" w:line="240" w:lineRule="auto"/>
              <w:jc w:val="left"/>
            </w:pPr>
            <w:r>
              <w:t>Commercial comparison</w:t>
            </w:r>
          </w:p>
        </w:tc>
        <w:tc>
          <w:tcPr>
            <w:tcW w:type="dxa" w:w="5400"/>
          </w:tcPr>
          <w:p>
            <w:pPr>
              <w:spacing w:after="0" w:before="0" w:line="240" w:lineRule="auto"/>
              <w:jc w:val="left"/>
            </w:pPr>
            <w:r>
              <w:t>Establishes comparable evaluated costs</w:t>
            </w:r>
          </w:p>
        </w:tc>
      </w:tr>
      <w:tr>
        <w:tc>
          <w:tcPr>
            <w:tcW w:type="dxa" w:w="5400"/>
          </w:tcPr>
          <w:p>
            <w:pPr>
              <w:spacing w:after="0" w:before="0" w:line="240" w:lineRule="auto"/>
              <w:jc w:val="left"/>
            </w:pPr>
            <w:r>
              <w:t>Delivery schedule</w:t>
            </w:r>
          </w:p>
        </w:tc>
        <w:tc>
          <w:tcPr>
            <w:tcW w:type="dxa" w:w="5400"/>
          </w:tcPr>
          <w:p>
            <w:pPr>
              <w:spacing w:after="0" w:before="0" w:line="240" w:lineRule="auto"/>
              <w:jc w:val="left"/>
            </w:pPr>
            <w:r>
              <w:t>Identifies project and production dependencies</w:t>
            </w:r>
          </w:p>
        </w:tc>
      </w:tr>
      <w:tr>
        <w:tc>
          <w:tcPr>
            <w:tcW w:type="dxa" w:w="5400"/>
          </w:tcPr>
          <w:p>
            <w:pPr>
              <w:spacing w:after="0" w:before="0" w:line="240" w:lineRule="auto"/>
              <w:jc w:val="left"/>
            </w:pPr>
            <w:r>
              <w:t>Quality records</w:t>
            </w:r>
          </w:p>
        </w:tc>
        <w:tc>
          <w:tcPr>
            <w:tcW w:type="dxa" w:w="5400"/>
          </w:tcPr>
          <w:p>
            <w:pPr>
              <w:spacing w:after="0" w:before="0" w:line="240" w:lineRule="auto"/>
              <w:jc w:val="left"/>
            </w:pPr>
            <w:r>
              <w:t>Supports assessment of supplier quality capability</w:t>
            </w:r>
          </w:p>
        </w:tc>
      </w:tr>
      <w:tr>
        <w:tc>
          <w:tcPr>
            <w:tcW w:type="dxa" w:w="5400"/>
          </w:tcPr>
          <w:p>
            <w:pPr>
              <w:spacing w:after="0" w:before="0" w:line="240" w:lineRule="auto"/>
              <w:jc w:val="left"/>
            </w:pPr>
            <w:r>
              <w:t>Service and warranty details</w:t>
            </w:r>
          </w:p>
        </w:tc>
        <w:tc>
          <w:tcPr>
            <w:tcW w:type="dxa" w:w="5400"/>
          </w:tcPr>
          <w:p>
            <w:pPr>
              <w:spacing w:after="0" w:before="0" w:line="240" w:lineRule="auto"/>
              <w:jc w:val="left"/>
            </w:pPr>
            <w:r>
              <w:t>Indicates post-installation support</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Identifies technical and business exposure</w:t>
            </w:r>
          </w:p>
        </w:tc>
      </w:tr>
      <w:tr>
        <w:tc>
          <w:tcPr>
            <w:tcW w:type="dxa" w:w="5400"/>
          </w:tcPr>
          <w:p>
            <w:pPr>
              <w:spacing w:after="0" w:before="0" w:line="240" w:lineRule="auto"/>
              <w:jc w:val="left"/>
            </w:pPr>
            <w:r>
              <w:t>Budget and approval limits</w:t>
            </w:r>
          </w:p>
        </w:tc>
        <w:tc>
          <w:tcPr>
            <w:tcW w:type="dxa" w:w="5400"/>
          </w:tcPr>
          <w:p>
            <w:pPr>
              <w:spacing w:after="0" w:before="0" w:line="240" w:lineRule="auto"/>
              <w:jc w:val="left"/>
            </w:pPr>
            <w:r>
              <w:t>Establishes financial authorization requirements</w:t>
            </w:r>
          </w:p>
        </w:tc>
      </w:tr>
      <w:tr>
        <w:tc>
          <w:tcPr>
            <w:tcW w:type="dxa" w:w="5400"/>
          </w:tcPr>
          <w:p>
            <w:pPr>
              <w:spacing w:after="0" w:before="0" w:line="240" w:lineRule="auto"/>
              <w:jc w:val="left"/>
            </w:pPr>
            <w:r>
              <w:t>Procurement policy</w:t>
            </w:r>
          </w:p>
        </w:tc>
        <w:tc>
          <w:tcPr>
            <w:tcW w:type="dxa" w:w="5400"/>
          </w:tcPr>
          <w:p>
            <w:pPr>
              <w:spacing w:after="0" w:before="0" w:line="240" w:lineRule="auto"/>
              <w:jc w:val="left"/>
            </w:pPr>
            <w:r>
              <w:t>Defines the permitted selection method</w:t>
            </w:r>
          </w:p>
        </w:tc>
      </w:tr>
    </w:tbl>
    <w:p/>
    <w:p>
      <w:r>
        <w:t>Before making a recommendation, confirm that the evidence is complete enough to support the decision and that all mandatory requirements have been addressed.</w:t>
      </w:r>
    </w:p>
    <w:p>
      <w:pPr>
        <w:pStyle w:val="Heading2"/>
      </w:pPr>
      <w:r>
        <w:t>5. Vendor eligibility and qualification</w:t>
      </w:r>
    </w:p>
    <w:p>
      <w:r>
        <w:t>Vendor qualification determines whether a supplier is eligible and capable of participating in the procurement process.</w:t>
      </w:r>
    </w:p>
    <w:p>
      <w:r>
        <w:t>Typical checks include:</w:t>
      </w:r>
    </w:p>
    <w:p>
      <w:pPr>
        <w:pStyle w:val="ListBullet"/>
      </w:pPr>
      <w:r>
        <w:t>Legal identity and required registrations.</w:t>
      </w:r>
    </w:p>
    <w:p>
      <w:pPr>
        <w:pStyle w:val="ListBullet"/>
      </w:pPr>
      <w:r>
        <w:t>Applicable tax and statutory documentation.</w:t>
      </w:r>
    </w:p>
    <w:p>
      <w:pPr>
        <w:pStyle w:val="ListBullet"/>
      </w:pPr>
      <w:r>
        <w:t>Financial and business stability, where required.</w:t>
      </w:r>
    </w:p>
    <w:p>
      <w:pPr>
        <w:pStyle w:val="ListBullet"/>
      </w:pPr>
      <w:r>
        <w:t>Relevant technical experience.</w:t>
      </w:r>
    </w:p>
    <w:p>
      <w:pPr>
        <w:pStyle w:val="ListBullet"/>
      </w:pPr>
      <w:r>
        <w:t>Availability of qualified engineering personnel.</w:t>
      </w:r>
    </w:p>
    <w:p>
      <w:pPr>
        <w:pStyle w:val="ListBullet"/>
      </w:pPr>
      <w:r>
        <w:t>Manufacturing or service capability.</w:t>
      </w:r>
    </w:p>
    <w:p>
      <w:pPr>
        <w:pStyle w:val="ListBullet"/>
      </w:pPr>
      <w:r>
        <w:t>Quality-management processes.</w:t>
      </w:r>
    </w:p>
    <w:p>
      <w:pPr>
        <w:pStyle w:val="ListBullet"/>
      </w:pPr>
      <w:r>
        <w:t>Required certifications and authorizations.</w:t>
      </w:r>
    </w:p>
    <w:p>
      <w:pPr>
        <w:pStyle w:val="ListBullet"/>
      </w:pPr>
      <w:r>
        <w:t>Health, safety, and environmental capability.</w:t>
      </w:r>
    </w:p>
    <w:p>
      <w:pPr>
        <w:pStyle w:val="ListBullet"/>
      </w:pPr>
      <w:r>
        <w:t>Local service and spare-parts support.</w:t>
      </w:r>
    </w:p>
    <w:p>
      <w:pPr>
        <w:pStyle w:val="ListBullet"/>
      </w:pPr>
      <w:r>
        <w:t>Compliance with company policies and contractual requirements.</w:t>
      </w:r>
    </w:p>
    <w:p>
      <w:r>
        <w:t>Qualification requirements should be proportionate to the purchase and consistent with the approved procurement procedure.</w:t>
      </w:r>
    </w:p>
    <w:p>
      <w:r>
        <w:t>A supplier's previous successful work may support qualification, but it does not automatically prove that its current proposal meets the new specification.</w:t>
      </w:r>
    </w:p>
    <w:p>
      <w:pPr>
        <w:pStyle w:val="Heading2"/>
      </w:pPr>
      <w:r>
        <w:t>6. Mandatory requirements versus scored criteria</w:t>
      </w:r>
    </w:p>
    <w:p>
      <w:r>
        <w:t>One of the most important parts of vendor selection is distinguishing requirements that must be satisfied from criteria that can be scored.</w:t>
      </w:r>
    </w:p>
    <w:p>
      <w:pPr>
        <w:pStyle w:val="Heading3"/>
      </w:pPr>
      <w:r>
        <w:t>6.1 Mandatory requirements</w:t>
      </w:r>
    </w:p>
    <w:p>
      <w:r>
        <w:t>These are pass/fail conditions defined by the procurement documents or applicable rules.</w:t>
      </w:r>
    </w:p>
    <w:p>
      <w:r>
        <w:t>Examples include:</w:t>
      </w:r>
    </w:p>
    <w:p>
      <w:pPr>
        <w:pStyle w:val="ListBullet"/>
      </w:pPr>
      <w:r>
        <w:t>Required safety compliance.</w:t>
      </w:r>
    </w:p>
    <w:p>
      <w:pPr>
        <w:pStyle w:val="ListBullet"/>
      </w:pPr>
      <w:r>
        <w:t>Mandatory technical interfaces.</w:t>
      </w:r>
    </w:p>
    <w:p>
      <w:pPr>
        <w:pStyle w:val="ListBullet"/>
      </w:pPr>
      <w:r>
        <w:t>Minimum capacity or performance.</w:t>
      </w:r>
    </w:p>
    <w:p>
      <w:pPr>
        <w:pStyle w:val="ListBullet"/>
      </w:pPr>
      <w:r>
        <w:t>Required legal or contractual eligibility.</w:t>
      </w:r>
    </w:p>
    <w:p>
      <w:pPr>
        <w:pStyle w:val="ListBullet"/>
      </w:pPr>
      <w:r>
        <w:t>Mandatory documentation or certifications.</w:t>
      </w:r>
    </w:p>
    <w:p>
      <w:pPr>
        <w:pStyle w:val="ListBullet"/>
      </w:pPr>
      <w:r>
        <w:t>Minimum acceptance criteria.</w:t>
      </w:r>
    </w:p>
    <w:p>
      <w:pPr>
        <w:pStyle w:val="ListBullet"/>
      </w:pPr>
      <w:r>
        <w:t>Required compliance with site safety rules.</w:t>
      </w:r>
    </w:p>
    <w:p>
      <w:r>
        <w:t>A supplier that fails a mandatory requirement must be handled according to the approved procurement procedure. A high score elsewhere does not automatically compensate for that failure.</w:t>
      </w:r>
    </w:p>
    <w:p>
      <w:pPr>
        <w:pStyle w:val="Heading3"/>
      </w:pPr>
      <w:r>
        <w:t>6.2 Scored criteria</w:t>
      </w:r>
    </w:p>
    <w:p>
      <w:r>
        <w:t>These differentiate eligible suppliers.</w:t>
      </w:r>
    </w:p>
    <w:p>
      <w:r>
        <w:t>Examples include:</w:t>
      </w:r>
    </w:p>
    <w:p>
      <w:pPr>
        <w:pStyle w:val="ListBullet"/>
      </w:pPr>
      <w:r>
        <w:t>Evaluated cost.</w:t>
      </w:r>
    </w:p>
    <w:p>
      <w:pPr>
        <w:pStyle w:val="ListBullet"/>
      </w:pPr>
      <w:r>
        <w:t>Delivery performance.</w:t>
      </w:r>
    </w:p>
    <w:p>
      <w:pPr>
        <w:pStyle w:val="ListBullet"/>
      </w:pPr>
      <w:r>
        <w:t>Engineering capability.</w:t>
      </w:r>
    </w:p>
    <w:p>
      <w:pPr>
        <w:pStyle w:val="ListBullet"/>
      </w:pPr>
      <w:r>
        <w:t>Local support quality.</w:t>
      </w:r>
    </w:p>
    <w:p>
      <w:pPr>
        <w:pStyle w:val="ListBullet"/>
      </w:pPr>
      <w:r>
        <w:t>Warranty coverage.</w:t>
      </w:r>
    </w:p>
    <w:p>
      <w:pPr>
        <w:pStyle w:val="ListBullet"/>
      </w:pPr>
      <w:r>
        <w:t>Lifecycle cost.</w:t>
      </w:r>
    </w:p>
    <w:p>
      <w:pPr>
        <w:pStyle w:val="ListBullet"/>
      </w:pPr>
      <w:r>
        <w:t>Technical performance beyond the minimum requirement.</w:t>
      </w:r>
    </w:p>
    <w:p>
      <w:pPr>
        <w:pStyle w:val="ListBullet"/>
      </w:pPr>
      <w:r>
        <w:t>Maintainability and ease of integration.</w:t>
      </w:r>
    </w:p>
    <w:p>
      <w:r>
        <w:t>Scored criteria and their weightings should be defined and approved before the results are known. Changing them after bids have been evaluated can undermine the fairness and defensibility of the decision.</w:t>
      </w:r>
    </w:p>
    <w:p>
      <w:pPr>
        <w:pStyle w:val="Heading2"/>
      </w:pPr>
      <w:r>
        <w:t>7. Vendor selection criteria for industrial automation</w:t>
      </w:r>
    </w:p>
    <w:p>
      <w:r>
        <w:t>The appropriate criteria depend on the application, equipment criticality, and procurement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Criterion</w:t>
            </w:r>
          </w:p>
        </w:tc>
        <w:tc>
          <w:tcPr>
            <w:tcW w:type="dxa" w:w="3600"/>
            <w:shd w:val="clear" w:color="auto" w:fill="EEF2F7"/>
          </w:tcPr>
          <w:p>
            <w:pPr>
              <w:spacing w:after="0" w:before="0" w:line="240" w:lineRule="auto"/>
              <w:jc w:val="left"/>
            </w:pPr>
            <w:r>
              <w:rPr>
                <w:b/>
                <w:color w:val="1A2E4A"/>
              </w:rPr>
              <w:t>What to evaluate</w:t>
            </w:r>
          </w:p>
        </w:tc>
        <w:tc>
          <w:tcPr>
            <w:tcW w:type="dxa" w:w="3600"/>
            <w:shd w:val="clear" w:color="auto" w:fill="EEF2F7"/>
          </w:tcPr>
          <w:p>
            <w:pPr>
              <w:spacing w:after="0" w:before="0" w:line="240" w:lineRule="auto"/>
              <w:jc w:val="left"/>
            </w:pPr>
            <w:r>
              <w:rPr>
                <w:b/>
                <w:color w:val="1A2E4A"/>
              </w:rPr>
              <w:t>Practical evidence</w:t>
            </w:r>
          </w:p>
        </w:tc>
      </w:tr>
      <w:tr>
        <w:tc>
          <w:tcPr>
            <w:tcW w:type="dxa" w:w="3600"/>
          </w:tcPr>
          <w:p>
            <w:pPr>
              <w:spacing w:after="0" w:before="0" w:line="240" w:lineRule="auto"/>
              <w:jc w:val="left"/>
            </w:pPr>
            <w:r>
              <w:t>Technical compliance</w:t>
            </w:r>
          </w:p>
        </w:tc>
        <w:tc>
          <w:tcPr>
            <w:tcW w:type="dxa" w:w="3600"/>
          </w:tcPr>
          <w:p>
            <w:pPr>
              <w:spacing w:after="0" w:before="0" w:line="240" w:lineRule="auto"/>
              <w:jc w:val="left"/>
            </w:pPr>
            <w:r>
              <w:t>Conformance to mandatory requirements</w:t>
            </w:r>
          </w:p>
        </w:tc>
        <w:tc>
          <w:tcPr>
            <w:tcW w:type="dxa" w:w="3600"/>
          </w:tcPr>
          <w:p>
            <w:pPr>
              <w:spacing w:after="0" w:before="0" w:line="240" w:lineRule="auto"/>
              <w:jc w:val="left"/>
            </w:pPr>
            <w:r>
              <w:t>Compliance matrix</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Integration with existing PLCs, HMIs, drives, CNCs, and networks</w:t>
            </w:r>
          </w:p>
        </w:tc>
        <w:tc>
          <w:tcPr>
            <w:tcW w:type="dxa" w:w="3600"/>
          </w:tcPr>
          <w:p>
            <w:pPr>
              <w:spacing w:after="0" w:before="0" w:line="240" w:lineRule="auto"/>
              <w:jc w:val="left"/>
            </w:pPr>
            <w:r>
              <w:t>Interface documents and compatibility confirmation</w:t>
            </w:r>
          </w:p>
        </w:tc>
      </w:tr>
      <w:tr>
        <w:tc>
          <w:tcPr>
            <w:tcW w:type="dxa" w:w="3600"/>
          </w:tcPr>
          <w:p>
            <w:pPr>
              <w:spacing w:after="0" w:before="0" w:line="240" w:lineRule="auto"/>
              <w:jc w:val="left"/>
            </w:pPr>
            <w:r>
              <w:t>Engineering capability</w:t>
            </w:r>
          </w:p>
        </w:tc>
        <w:tc>
          <w:tcPr>
            <w:tcW w:type="dxa" w:w="3600"/>
          </w:tcPr>
          <w:p>
            <w:pPr>
              <w:spacing w:after="0" w:before="0" w:line="240" w:lineRule="auto"/>
              <w:jc w:val="left"/>
            </w:pPr>
            <w:r>
              <w:t>Ability to design, program, troubleshoot, and modify the solution</w:t>
            </w:r>
          </w:p>
        </w:tc>
        <w:tc>
          <w:tcPr>
            <w:tcW w:type="dxa" w:w="3600"/>
          </w:tcPr>
          <w:p>
            <w:pPr>
              <w:spacing w:after="0" w:before="0" w:line="240" w:lineRule="auto"/>
              <w:jc w:val="left"/>
            </w:pPr>
            <w:r>
              <w:t>Technical proposal and relevant project records</w:t>
            </w:r>
          </w:p>
        </w:tc>
      </w:tr>
      <w:tr>
        <w:tc>
          <w:tcPr>
            <w:tcW w:type="dxa" w:w="3600"/>
          </w:tcPr>
          <w:p>
            <w:pPr>
              <w:spacing w:after="0" w:before="0" w:line="240" w:lineRule="auto"/>
              <w:jc w:val="left"/>
            </w:pPr>
            <w:r>
              <w:t>Quality</w:t>
            </w:r>
          </w:p>
        </w:tc>
        <w:tc>
          <w:tcPr>
            <w:tcW w:type="dxa" w:w="3600"/>
          </w:tcPr>
          <w:p>
            <w:pPr>
              <w:spacing w:after="0" w:before="0" w:line="240" w:lineRule="auto"/>
              <w:jc w:val="left"/>
            </w:pPr>
            <w:r>
              <w:t>Controls over design, manufacturing, testing, and delivery</w:t>
            </w:r>
          </w:p>
        </w:tc>
        <w:tc>
          <w:tcPr>
            <w:tcW w:type="dxa" w:w="3600"/>
          </w:tcPr>
          <w:p>
            <w:pPr>
              <w:spacing w:after="0" w:before="0" w:line="240" w:lineRule="auto"/>
              <w:jc w:val="left"/>
            </w:pPr>
            <w:r>
              <w:t>Quality records and inspection plans</w:t>
            </w:r>
          </w:p>
        </w:tc>
      </w:tr>
      <w:tr>
        <w:tc>
          <w:tcPr>
            <w:tcW w:type="dxa" w:w="3600"/>
          </w:tcPr>
          <w:p>
            <w:pPr>
              <w:spacing w:after="0" w:before="0" w:line="240" w:lineRule="auto"/>
              <w:jc w:val="left"/>
            </w:pPr>
            <w:r>
              <w:t>Cost</w:t>
            </w:r>
          </w:p>
        </w:tc>
        <w:tc>
          <w:tcPr>
            <w:tcW w:type="dxa" w:w="3600"/>
          </w:tcPr>
          <w:p>
            <w:pPr>
              <w:spacing w:after="0" w:before="0" w:line="240" w:lineRule="auto"/>
              <w:jc w:val="left"/>
            </w:pPr>
            <w:r>
              <w:t>Evaluated purchase and lifecycle costs</w:t>
            </w:r>
          </w:p>
        </w:tc>
        <w:tc>
          <w:tcPr>
            <w:tcW w:type="dxa" w:w="3600"/>
          </w:tcPr>
          <w:p>
            <w:pPr>
              <w:spacing w:after="0" w:before="0" w:line="240" w:lineRule="auto"/>
              <w:jc w:val="left"/>
            </w:pPr>
            <w:r>
              <w:t>Commercial comparison</w:t>
            </w:r>
          </w:p>
        </w:tc>
      </w:tr>
      <w:tr>
        <w:tc>
          <w:tcPr>
            <w:tcW w:type="dxa" w:w="3600"/>
          </w:tcPr>
          <w:p>
            <w:pPr>
              <w:spacing w:after="0" w:before="0" w:line="240" w:lineRule="auto"/>
              <w:jc w:val="left"/>
            </w:pPr>
            <w:r>
              <w:t>Delivery</w:t>
            </w:r>
          </w:p>
        </w:tc>
        <w:tc>
          <w:tcPr>
            <w:tcW w:type="dxa" w:w="3600"/>
          </w:tcPr>
          <w:p>
            <w:pPr>
              <w:spacing w:after="0" w:before="0" w:line="240" w:lineRule="auto"/>
              <w:jc w:val="left"/>
            </w:pPr>
            <w:r>
              <w:t>Ability to meet required milestones</w:t>
            </w:r>
          </w:p>
        </w:tc>
        <w:tc>
          <w:tcPr>
            <w:tcW w:type="dxa" w:w="3600"/>
          </w:tcPr>
          <w:p>
            <w:pPr>
              <w:spacing w:after="0" w:before="0" w:line="240" w:lineRule="auto"/>
              <w:jc w:val="left"/>
            </w:pPr>
            <w:r>
              <w:t>Committed schedule and resource plan</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Ability to install and prove the system at the site</w:t>
            </w:r>
          </w:p>
        </w:tc>
        <w:tc>
          <w:tcPr>
            <w:tcW w:type="dxa" w:w="3600"/>
          </w:tcPr>
          <w:p>
            <w:pPr>
              <w:spacing w:after="0" w:before="0" w:line="240" w:lineRule="auto"/>
              <w:jc w:val="left"/>
            </w:pPr>
            <w:r>
              <w:t>Method statement and commissioning plan</w:t>
            </w:r>
          </w:p>
        </w:tc>
      </w:tr>
      <w:tr>
        <w:tc>
          <w:tcPr>
            <w:tcW w:type="dxa" w:w="3600"/>
          </w:tcPr>
          <w:p>
            <w:pPr>
              <w:spacing w:after="0" w:before="0" w:line="240" w:lineRule="auto"/>
              <w:jc w:val="left"/>
            </w:pPr>
            <w:r>
              <w:t>Warranty</w:t>
            </w:r>
          </w:p>
        </w:tc>
        <w:tc>
          <w:tcPr>
            <w:tcW w:type="dxa" w:w="3600"/>
          </w:tcPr>
          <w:p>
            <w:pPr>
              <w:spacing w:after="0" w:before="0" w:line="240" w:lineRule="auto"/>
              <w:jc w:val="left"/>
            </w:pPr>
            <w:r>
              <w:t>Coverage, duration, exclusions, and commencement</w:t>
            </w:r>
          </w:p>
        </w:tc>
        <w:tc>
          <w:tcPr>
            <w:tcW w:type="dxa" w:w="3600"/>
          </w:tcPr>
          <w:p>
            <w:pPr>
              <w:spacing w:after="0" w:before="0" w:line="240" w:lineRule="auto"/>
              <w:jc w:val="left"/>
            </w:pPr>
            <w:r>
              <w:t>Written warranty terms</w:t>
            </w:r>
          </w:p>
        </w:tc>
      </w:tr>
      <w:tr>
        <w:tc>
          <w:tcPr>
            <w:tcW w:type="dxa" w:w="3600"/>
          </w:tcPr>
          <w:p>
            <w:pPr>
              <w:spacing w:after="0" w:before="0" w:line="240" w:lineRule="auto"/>
              <w:jc w:val="left"/>
            </w:pPr>
            <w:r>
              <w:t>Service support</w:t>
            </w:r>
          </w:p>
        </w:tc>
        <w:tc>
          <w:tcPr>
            <w:tcW w:type="dxa" w:w="3600"/>
          </w:tcPr>
          <w:p>
            <w:pPr>
              <w:spacing w:after="0" w:before="0" w:line="240" w:lineRule="auto"/>
              <w:jc w:val="left"/>
            </w:pPr>
            <w:r>
              <w:t>Response, repair, and escalation capability</w:t>
            </w:r>
          </w:p>
        </w:tc>
        <w:tc>
          <w:tcPr>
            <w:tcW w:type="dxa" w:w="3600"/>
          </w:tcPr>
          <w:p>
            <w:pPr>
              <w:spacing w:after="0" w:before="0" w:line="240" w:lineRule="auto"/>
              <w:jc w:val="left"/>
            </w:pPr>
            <w:r>
              <w:t>Support commitments and service arrangements</w:t>
            </w:r>
          </w:p>
        </w:tc>
      </w:tr>
      <w:tr>
        <w:tc>
          <w:tcPr>
            <w:tcW w:type="dxa" w:w="3600"/>
          </w:tcPr>
          <w:p>
            <w:pPr>
              <w:spacing w:after="0" w:before="0" w:line="240" w:lineRule="auto"/>
              <w:jc w:val="left"/>
            </w:pPr>
            <w:r>
              <w:t>Spare parts</w:t>
            </w:r>
          </w:p>
        </w:tc>
        <w:tc>
          <w:tcPr>
            <w:tcW w:type="dxa" w:w="3600"/>
          </w:tcPr>
          <w:p>
            <w:pPr>
              <w:spacing w:after="0" w:before="0" w:line="240" w:lineRule="auto"/>
              <w:jc w:val="left"/>
            </w:pPr>
            <w:r>
              <w:t>Availability and replacement compatibility</w:t>
            </w:r>
          </w:p>
        </w:tc>
        <w:tc>
          <w:tcPr>
            <w:tcW w:type="dxa" w:w="3600"/>
          </w:tcPr>
          <w:p>
            <w:pPr>
              <w:spacing w:after="0" w:before="0" w:line="240" w:lineRule="auto"/>
              <w:jc w:val="left"/>
            </w:pPr>
            <w:r>
              <w:t>Recommended spare-parts list</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Diagnostics, documentation, repairability, and ease of servicing</w:t>
            </w:r>
          </w:p>
        </w:tc>
        <w:tc>
          <w:tcPr>
            <w:tcW w:type="dxa" w:w="3600"/>
          </w:tcPr>
          <w:p>
            <w:pPr>
              <w:spacing w:after="0" w:before="0" w:line="240" w:lineRule="auto"/>
              <w:jc w:val="left"/>
            </w:pPr>
            <w:r>
              <w:t>Manuals, source files, and maintenance plan</w:t>
            </w:r>
          </w:p>
        </w:tc>
      </w:tr>
      <w:tr>
        <w:tc>
          <w:tcPr>
            <w:tcW w:type="dxa" w:w="3600"/>
          </w:tcPr>
          <w:p>
            <w:pPr>
              <w:spacing w:after="0" w:before="0" w:line="240" w:lineRule="auto"/>
              <w:jc w:val="left"/>
            </w:pPr>
            <w:r>
              <w:t>Lifecycle support</w:t>
            </w:r>
          </w:p>
        </w:tc>
        <w:tc>
          <w:tcPr>
            <w:tcW w:type="dxa" w:w="3600"/>
          </w:tcPr>
          <w:p>
            <w:pPr>
              <w:spacing w:after="0" w:before="0" w:line="240" w:lineRule="auto"/>
              <w:jc w:val="left"/>
            </w:pPr>
            <w:r>
              <w:t>Product availability and obsolescence risk</w:t>
            </w:r>
          </w:p>
        </w:tc>
        <w:tc>
          <w:tcPr>
            <w:tcW w:type="dxa" w:w="3600"/>
          </w:tcPr>
          <w:p>
            <w:pPr>
              <w:spacing w:after="0" w:before="0" w:line="240" w:lineRule="auto"/>
              <w:jc w:val="left"/>
            </w:pPr>
            <w:r>
              <w:t>Manufacturer lifecycle statements</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Access control, remote access, and software support</w:t>
            </w:r>
          </w:p>
        </w:tc>
        <w:tc>
          <w:tcPr>
            <w:tcW w:type="dxa" w:w="3600"/>
          </w:tcPr>
          <w:p>
            <w:pPr>
              <w:spacing w:after="0" w:before="0" w:line="240" w:lineRule="auto"/>
              <w:jc w:val="left"/>
            </w:pPr>
            <w:r>
              <w:t>Security documentation</w:t>
            </w:r>
          </w:p>
        </w:tc>
      </w:tr>
      <w:tr>
        <w:tc>
          <w:tcPr>
            <w:tcW w:type="dxa" w:w="3600"/>
          </w:tcPr>
          <w:p>
            <w:pPr>
              <w:spacing w:after="0" w:before="0" w:line="240" w:lineRule="auto"/>
              <w:jc w:val="left"/>
            </w:pPr>
            <w:r>
              <w:t>Safety capability</w:t>
            </w:r>
          </w:p>
        </w:tc>
        <w:tc>
          <w:tcPr>
            <w:tcW w:type="dxa" w:w="3600"/>
          </w:tcPr>
          <w:p>
            <w:pPr>
              <w:spacing w:after="0" w:before="0" w:line="240" w:lineRule="auto"/>
              <w:jc w:val="left"/>
            </w:pPr>
            <w:r>
              <w:t>Ability to implement and validate required safety functions</w:t>
            </w:r>
          </w:p>
        </w:tc>
        <w:tc>
          <w:tcPr>
            <w:tcW w:type="dxa" w:w="3600"/>
          </w:tcPr>
          <w:p>
            <w:pPr>
              <w:spacing w:after="0" w:before="0" w:line="240" w:lineRule="auto"/>
              <w:jc w:val="left"/>
            </w:pPr>
            <w:r>
              <w:t>Design and validation evidence</w:t>
            </w:r>
          </w:p>
        </w:tc>
      </w:tr>
      <w:tr>
        <w:tc>
          <w:tcPr>
            <w:tcW w:type="dxa" w:w="3600"/>
          </w:tcPr>
          <w:p>
            <w:pPr>
              <w:spacing w:after="0" w:before="0" w:line="240" w:lineRule="auto"/>
              <w:jc w:val="left"/>
            </w:pPr>
            <w:r>
              <w:t>Business risk</w:t>
            </w:r>
          </w:p>
        </w:tc>
        <w:tc>
          <w:tcPr>
            <w:tcW w:type="dxa" w:w="3600"/>
          </w:tcPr>
          <w:p>
            <w:pPr>
              <w:spacing w:after="0" w:before="0" w:line="240" w:lineRule="auto"/>
              <w:jc w:val="left"/>
            </w:pPr>
            <w:r>
              <w:t>Financial, contractual, and supply continuity risks</w:t>
            </w:r>
          </w:p>
        </w:tc>
        <w:tc>
          <w:tcPr>
            <w:tcW w:type="dxa" w:w="3600"/>
          </w:tcPr>
          <w:p>
            <w:pPr>
              <w:spacing w:after="0" w:before="0" w:line="240" w:lineRule="auto"/>
              <w:jc w:val="left"/>
            </w:pPr>
            <w:r>
              <w:t>Approved supplier-risk assessment</w:t>
            </w:r>
          </w:p>
        </w:tc>
      </w:tr>
    </w:tbl>
    <w:p/>
    <w:p>
      <w:r>
        <w:t>Do not automatically assign equal importance to all criteria. A supplier providing a safety-critical control system may require more stringent technical and safety assessment than a supplier providing standard noncritical consumables.</w:t>
      </w:r>
    </w:p>
    <w:p>
      <w:pPr>
        <w:pStyle w:val="Heading2"/>
      </w:pPr>
      <w:r>
        <w:t>8. Technical suitability and integration capability</w:t>
      </w:r>
    </w:p>
    <w:p>
      <w:r>
        <w:t>For automation projects, vendor selection must consider the complete machine or system rather than evaluating components independently.</w:t>
      </w:r>
    </w:p>
    <w:p>
      <w:r>
        <w:t>For example, a replacement PLC may meet the required processing and I/O specifications but still introduce problems with:</w:t>
      </w:r>
    </w:p>
    <w:p>
      <w:pPr>
        <w:pStyle w:val="ListBullet"/>
      </w:pPr>
      <w:r>
        <w:t>Existing remote I/O adapters.</w:t>
      </w:r>
    </w:p>
    <w:p>
      <w:pPr>
        <w:pStyle w:val="ListBullet"/>
      </w:pPr>
      <w:r>
        <w:t>HMI communication.</w:t>
      </w:r>
    </w:p>
    <w:p>
      <w:pPr>
        <w:pStyle w:val="ListBullet"/>
      </w:pPr>
      <w:r>
        <w:t>CNC or robot interfaces.</w:t>
      </w:r>
    </w:p>
    <w:p>
      <w:pPr>
        <w:pStyle w:val="ListBullet"/>
      </w:pPr>
      <w:r>
        <w:t>Drive control and feedback.</w:t>
      </w:r>
    </w:p>
    <w:p>
      <w:pPr>
        <w:pStyle w:val="ListBullet"/>
      </w:pPr>
      <w:r>
        <w:t>Safety-controller interfaces.</w:t>
      </w:r>
    </w:p>
    <w:p>
      <w:pPr>
        <w:pStyle w:val="ListBullet"/>
      </w:pPr>
      <w:r>
        <w:t>Industrial Ethernet topology.</w:t>
      </w:r>
    </w:p>
    <w:p>
      <w:pPr>
        <w:pStyle w:val="ListBullet"/>
      </w:pPr>
      <w:r>
        <w:t>Time synchronization.</w:t>
      </w:r>
    </w:p>
    <w:p>
      <w:pPr>
        <w:pStyle w:val="ListBullet"/>
      </w:pPr>
      <w:r>
        <w:t>Diagnostic systems.</w:t>
      </w:r>
    </w:p>
    <w:p>
      <w:pPr>
        <w:pStyle w:val="ListBullet"/>
      </w:pPr>
      <w:r>
        <w:t>Existing program migration.</w:t>
      </w:r>
    </w:p>
    <w:p>
      <w:pPr>
        <w:pStyle w:val="ListBullet"/>
      </w:pPr>
      <w:r>
        <w:t>Production data collection.</w:t>
      </w:r>
    </w:p>
    <w:p>
      <w:pPr>
        <w:pStyle w:val="ListBullet"/>
      </w:pPr>
      <w:r>
        <w:t>Engineering software and firmware compatibility.</w:t>
      </w:r>
    </w:p>
    <w:p>
      <w:r>
        <w:t>A vendor claiming that a proposed component is compatible should provide evidence appropriate to the application.</w:t>
      </w:r>
    </w:p>
    <w:p>
      <w:pPr>
        <w:pStyle w:val="Heading3"/>
      </w:pPr>
      <w:r>
        <w:t>Example: PLC retrofit</w:t>
      </w:r>
    </w:p>
    <w:p>
      <w:r>
        <w:t>Suppose the plant needs to replace an obsolete PLC while retaining most of the existing machine equipment.</w:t>
      </w:r>
    </w:p>
    <w:p>
      <w:r>
        <w:t>Vendor A proposes a controller from the existing manufacturer with limited hardware modifications. Vendor B proposes a different platform at a lower quoted price. Vendor C proposes a complete modernization package with more extensive changes.</w:t>
      </w:r>
    </w:p>
    <w:p>
      <w:r>
        <w:t>The evaluation should examine:</w:t>
      </w:r>
    </w:p>
    <w:p>
      <w:pPr>
        <w:pStyle w:val="ListBullet"/>
      </w:pPr>
      <w:r>
        <w:t>Whether existing I/O can be retained.</w:t>
      </w:r>
    </w:p>
    <w:p>
      <w:pPr>
        <w:pStyle w:val="ListBullet"/>
      </w:pPr>
      <w:r>
        <w:t>Whether the control logic can be migrated.</w:t>
      </w:r>
    </w:p>
    <w:p>
      <w:pPr>
        <w:pStyle w:val="ListBullet"/>
      </w:pPr>
      <w:r>
        <w:t>Whether the HMI and drives remain compatible.</w:t>
      </w:r>
    </w:p>
    <w:p>
      <w:pPr>
        <w:pStyle w:val="ListBullet"/>
      </w:pPr>
      <w:r>
        <w:t>Whether safety functions are affected.</w:t>
      </w:r>
    </w:p>
    <w:p>
      <w:pPr>
        <w:pStyle w:val="ListBullet"/>
      </w:pPr>
      <w:r>
        <w:t>Whether panel wiring and protection require modification.</w:t>
      </w:r>
    </w:p>
    <w:p>
      <w:pPr>
        <w:pStyle w:val="ListBullet"/>
      </w:pPr>
      <w:r>
        <w:t>Whether source code and backups will be delivered.</w:t>
      </w:r>
    </w:p>
    <w:p>
      <w:pPr>
        <w:pStyle w:val="ListBullet"/>
      </w:pPr>
      <w:r>
        <w:t>Whether production downtime is acceptable.</w:t>
      </w:r>
    </w:p>
    <w:p>
      <w:pPr>
        <w:pStyle w:val="ListBullet"/>
      </w:pPr>
      <w:r>
        <w:t>Whether maintenance personnel can support the new platform.</w:t>
      </w:r>
    </w:p>
    <w:p>
      <w:pPr>
        <w:pStyle w:val="ListBullet"/>
      </w:pPr>
      <w:r>
        <w:t>Whether additional software licenses or specialist tools are required.</w:t>
      </w:r>
    </w:p>
    <w:p>
      <w:r>
        <w:t>The preferred vendor depends on the approved requirements and evaluation method, not on platform familiarity or the initial quotation alone.</w:t>
      </w:r>
    </w:p>
    <w:p>
      <w:pPr>
        <w:pStyle w:val="Heading2"/>
      </w:pPr>
      <w:r>
        <w:t>9. Commercial suitability and total cost of ownership</w:t>
      </w:r>
    </w:p>
    <w:p>
      <w:r>
        <w:t>Total cost of ownership (TCO) considers relevant costs over a defined operating period rather than only the initial purchase price.</w:t>
      </w:r>
    </w:p>
    <w:p>
      <w:r>
        <w:t>A general model is:</w:t>
      </w:r>
    </w:p>
    <w:p>
      <w:pPr>
        <w:spacing w:before="120" w:after="160"/>
        <w:jc w:val="center"/>
      </w:pPr>
      <m:oMathPara>
        <m:oMath>
          <m:sSub>
            <m:e>
              <m:r>
                <m:t>C</m:t>
              </m:r>
            </m:e>
            <m:sub>
              <m:r>
                <m:rPr>
                  <m:nor/>
                </m:rPr>
                <m:t>TCO</m:t>
              </m:r>
            </m:sub>
          </m:sSub>
          <m:r>
            <m:t>=</m:t>
          </m:r>
          <m:sSub>
            <m:e>
              <m:r>
                <m:t>C</m:t>
              </m:r>
            </m:e>
            <m:sub>
              <m:r>
                <m:t>P</m:t>
              </m:r>
            </m:sub>
          </m:sSub>
          <m:r>
            <m:t>+</m:t>
          </m:r>
          <m:sSub>
            <m:e>
              <m:r>
                <m:t>C</m:t>
              </m:r>
            </m:e>
            <m:sub>
              <m:r>
                <m:t>I</m:t>
              </m:r>
            </m:sub>
          </m:sSub>
          <m:r>
            <m:t>+</m:t>
          </m:r>
          <m:sSub>
            <m:e>
              <m:r>
                <m:t>C</m:t>
              </m:r>
            </m:e>
            <m:sub>
              <m:r>
                <m:t>E</m:t>
              </m:r>
            </m:sub>
          </m:sSub>
          <m:r>
            <m:t>+</m:t>
          </m:r>
          <m:sSub>
            <m:e>
              <m:r>
                <m:t>C</m:t>
              </m:r>
            </m:e>
            <m:sub>
              <m:r>
                <m:t>M</m:t>
              </m:r>
            </m:sub>
          </m:sSub>
          <m:r>
            <m:t>+</m:t>
          </m:r>
          <m:sSub>
            <m:e>
              <m:r>
                <m:t>C</m:t>
              </m:r>
            </m:e>
            <m:sub>
              <m:r>
                <m:t>S</m:t>
              </m:r>
            </m:sub>
          </m:sSub>
          <m:r>
            <m:t>+</m:t>
          </m:r>
          <m:sSub>
            <m:e>
              <m:r>
                <m:t>C</m:t>
              </m:r>
            </m:e>
            <m:sub>
              <m:r>
                <m:t>D</m:t>
              </m:r>
            </m:sub>
          </m:sSub>
        </m:oMath>
      </m:oMathPara>
    </w:p>
    <w:p>
      <w:r>
        <w:t>Where:</w:t>
      </w:r>
    </w:p>
    <w:p>
      <w:pPr>
        <w:pStyle w:val="ListBullet"/>
      </w:pPr>
      <m:oMath>
        <m:sSub>
          <m:e>
            <m:r>
              <m:t>C</m:t>
            </m:r>
          </m:e>
          <m:sub>
            <m:r>
              <m:t>P</m:t>
            </m:r>
          </m:sub>
        </m:sSub>
      </m:oMath>
      <w:r>
        <w:t xml:space="preserve"> is the purchase cost.</w:t>
      </w:r>
    </w:p>
    <w:p>
      <w:pPr>
        <w:pStyle w:val="ListBullet"/>
      </w:pPr>
      <m:oMath>
        <m:sSub>
          <m:e>
            <m:r>
              <m:t>C</m:t>
            </m:r>
          </m:e>
          <m:sub>
            <m:r>
              <m:t>I</m:t>
            </m:r>
          </m:sub>
        </m:sSub>
      </m:oMath>
      <w:r>
        <w:t xml:space="preserve"> is installation and commissioning cost.</w:t>
      </w:r>
    </w:p>
    <w:p>
      <w:pPr>
        <w:pStyle w:val="ListBullet"/>
      </w:pPr>
      <m:oMath>
        <m:sSub>
          <m:e>
            <m:r>
              <m:t>C</m:t>
            </m:r>
          </m:e>
          <m:sub>
            <m:r>
              <m:t>E</m:t>
            </m:r>
          </m:sub>
        </m:sSub>
      </m:oMath>
      <w:r>
        <w:t xml:space="preserve"> is engineering, licensing, and training cost.</w:t>
      </w:r>
    </w:p>
    <w:p>
      <w:pPr>
        <w:pStyle w:val="ListBullet"/>
      </w:pPr>
      <m:oMath>
        <m:sSub>
          <m:e>
            <m:r>
              <m:t>C</m:t>
            </m:r>
          </m:e>
          <m:sub>
            <m:r>
              <m:t>M</m:t>
            </m:r>
          </m:sub>
        </m:sSub>
      </m:oMath>
      <w:r>
        <w:t xml:space="preserve"> is maintenance and spare-parts cost.</w:t>
      </w:r>
    </w:p>
    <w:p>
      <w:pPr>
        <w:pStyle w:val="ListBullet"/>
      </w:pPr>
      <m:oMath>
        <m:sSub>
          <m:e>
            <m:r>
              <m:t>C</m:t>
            </m:r>
          </m:e>
          <m:sub>
            <m:r>
              <m:t>S</m:t>
            </m:r>
          </m:sub>
        </m:sSub>
      </m:oMath>
      <w:r>
        <w:t xml:space="preserve"> is service and support cost.</w:t>
      </w:r>
    </w:p>
    <w:p>
      <w:pPr>
        <w:pStyle w:val="ListBullet"/>
      </w:pPr>
      <m:oMath>
        <m:sSub>
          <m:e>
            <m:r>
              <m:t>C</m:t>
            </m:r>
          </m:e>
          <m:sub>
            <m:r>
              <m:t>D</m:t>
            </m:r>
          </m:sub>
        </m:sSub>
      </m:oMath>
      <w:r>
        <w:t xml:space="preserve"> is the evaluated cost of downtime and other relevant operational losses.</w:t>
      </w:r>
    </w:p>
    <w:p>
      <w:r>
        <w:t>This is a conceptual model. Include only relevant costs supported by an agreed evaluation method, and avoid double-counting items already included in other categories.</w:t>
      </w:r>
    </w:p>
    <w:p>
      <w:r>
        <w:t>For an automation retrofit, lifecycle costs may include proprietary programming tools, recurring licenses, special cables, obsolete modules, specialist service visits, and production downtime during future repairs.</w:t>
      </w:r>
    </w:p>
    <w:p>
      <w:r>
        <w:t>A higher initial purchase price may be justified if the documented lifecycle benefits are material and the procurement method permits that assessment.</w:t>
      </w:r>
    </w:p>
    <w:p>
      <w:pPr>
        <w:pStyle w:val="Heading2"/>
      </w:pPr>
      <w:r>
        <w:t>10. Weighted vendor selection matrix</w:t>
      </w:r>
    </w:p>
    <w:p>
      <w:r>
        <w:t>When the approved procedure permits multi-criteria scoring, a weighted matrix can help compare eligible suppliers.</w:t>
      </w:r>
    </w:p>
    <w:p>
      <w:r>
        <w:t>Each criterion receives a weight and a score according to a predefined scoring scale.</w:t>
      </w:r>
    </w:p>
    <w:p>
      <w:r>
        <w:t>The weighted score is:</w:t>
      </w:r>
    </w:p>
    <w:p>
      <w:pPr>
        <w:spacing w:before="120" w:after="160"/>
        <w:jc w:val="center"/>
      </w:pPr>
      <m:oMathPara>
        <m:oMath>
          <m:sSub>
            <m:e>
              <m:r>
                <m:t>S</m:t>
              </m:r>
            </m:e>
            <m:sub>
              <m:r>
                <m:t>i</m:t>
              </m:r>
            </m:sub>
          </m:sSub>
          <m:r>
            <m:t>=</m:t>
          </m:r>
          <m:nary>
            <m:naryPr>
              <m:chr m:val="∑"/>
              <m:limLoc m:val="subSup"/>
              <m:grow m:val="1"/>
              <m:subHide m:val="off"/>
              <m:supHide m:val="off"/>
            </m:naryPr>
            <m:sub>
              <m:r>
                <m:t>j=1</m:t>
              </m:r>
            </m:sub>
            <m:sup>
              <m:r>
                <m:t>n</m:t>
              </m:r>
            </m:sup>
            <m:e>
              <m:sSub>
                <m:e>
                  <m:r>
                    <m:t>w</m:t>
                  </m:r>
                </m:e>
                <m:sub>
                  <m:r>
                    <m:t>j</m:t>
                  </m:r>
                </m:sub>
              </m:sSub>
            </m:e>
          </m:nary>
          <m:sSub>
            <m:e>
              <m:r>
                <m:t>s</m:t>
              </m:r>
            </m:e>
            <m:sub>
              <m:r>
                <m:t>ij</m:t>
              </m:r>
            </m:sub>
          </m:sSub>
        </m:oMath>
      </m:oMathPara>
    </w:p>
    <w:p>
      <w:r>
        <w:t>Where:</w:t>
      </w:r>
    </w:p>
    <w:p>
      <w:pPr>
        <w:pStyle w:val="ListBullet"/>
      </w:pPr>
      <m:oMath>
        <m:sSub>
          <m:e>
            <m:r>
              <m:t>S</m:t>
            </m:r>
          </m:e>
          <m:sub>
            <m:r>
              <m:t>i</m:t>
            </m:r>
          </m:sub>
        </m:sSub>
      </m:oMath>
      <w:r>
        <w:t xml:space="preserve"> is the total score for vendor </w:t>
      </w:r>
      <m:oMath>
        <m:r>
          <m:t>i</m:t>
        </m:r>
      </m:oMath>
      <w:r>
        <w:t>.</w:t>
      </w:r>
    </w:p>
    <w:p>
      <w:pPr>
        <w:pStyle w:val="ListBullet"/>
      </w:pPr>
      <m:oMath>
        <m:sSub>
          <m:e>
            <m:r>
              <m:t>w</m:t>
            </m:r>
          </m:e>
          <m:sub>
            <m:r>
              <m:t>j</m:t>
            </m:r>
          </m:sub>
        </m:sSub>
      </m:oMath>
      <w:r>
        <w:t xml:space="preserve"> is the normalized weight of criterion </w:t>
      </w:r>
      <m:oMath>
        <m:r>
          <m:t>j</m:t>
        </m:r>
      </m:oMath>
      <w:r>
        <w:t>.</w:t>
      </w:r>
    </w:p>
    <w:p>
      <w:pPr>
        <w:pStyle w:val="ListBullet"/>
      </w:pPr>
      <m:oMath>
        <m:sSub>
          <m:e>
            <m:r>
              <m:t>s</m:t>
            </m:r>
          </m:e>
          <m:sub>
            <m:r>
              <m:t>ij</m:t>
            </m:r>
          </m:sub>
        </m:sSub>
      </m:oMath>
      <w:r>
        <w:t xml:space="preserve"> is vendor </w:t>
      </w:r>
      <m:oMath>
        <m:r>
          <m:t>i</m:t>
        </m:r>
      </m:oMath>
      <w:r>
        <w:t xml:space="preserve">'s score for criterion </w:t>
      </w:r>
      <m:oMath>
        <m:r>
          <m:t>j</m:t>
        </m:r>
      </m:oMath>
      <w:r>
        <w:t>.</w:t>
      </w:r>
    </w:p>
    <w:p>
      <w:pPr>
        <w:pStyle w:val="ListBullet"/>
      </w:pPr>
      <m:oMath>
        <m:r>
          <m:t>n</m:t>
        </m:r>
      </m:oMath>
      <w:r>
        <w:t xml:space="preserve"> is the number of scored criteria.</w:t>
      </w:r>
    </w:p>
    <w:p>
      <w:pPr>
        <w:pStyle w:val="ListBullet"/>
      </w:pPr>
      <w:r>
        <w:t xml:space="preserve">The weights sum to </w:t>
      </w:r>
      <m:oMath>
        <m:r>
          <m:t>1</m:t>
        </m:r>
      </m:oMath>
      <w:r>
        <w:t>.</w:t>
      </w:r>
    </w:p>
    <w:p>
      <w:pPr>
        <w:pStyle w:val="Heading3"/>
      </w:pPr>
      <w:r>
        <w:t>Illustrative scoring example</w:t>
      </w:r>
    </w:p>
    <w:p>
      <w:r>
        <w:t>Assume all three vendors have passed the mandatory requirements, and the approved procedure uses the following weights.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Criterion</w:t>
            </w:r>
          </w:p>
        </w:tc>
        <w:tc>
          <w:tcPr>
            <w:tcW w:type="dxa" w:w="2160"/>
            <w:shd w:val="clear" w:color="auto" w:fill="EEF2F7"/>
          </w:tcPr>
          <w:p>
            <w:pPr>
              <w:spacing w:after="0" w:before="0" w:line="240" w:lineRule="auto"/>
              <w:jc w:val="left"/>
            </w:pPr>
            <w:r>
              <w:rPr>
                <w:b/>
                <w:color w:val="1A2E4A"/>
              </w:rPr>
              <w:t>Weight</w:t>
            </w:r>
          </w:p>
        </w:tc>
        <w:tc>
          <w:tcPr>
            <w:tcW w:type="dxa" w:w="2160"/>
            <w:shd w:val="clear" w:color="auto" w:fill="EEF2F7"/>
          </w:tcPr>
          <w:p>
            <w:pPr>
              <w:spacing w:after="0" w:before="0" w:line="240" w:lineRule="auto"/>
              <w:jc w:val="left"/>
            </w:pPr>
            <w:r>
              <w:rPr>
                <w:b/>
                <w:color w:val="1A2E4A"/>
              </w:rPr>
              <w:t>Vendor A score</w:t>
            </w:r>
          </w:p>
        </w:tc>
        <w:tc>
          <w:tcPr>
            <w:tcW w:type="dxa" w:w="2160"/>
            <w:shd w:val="clear" w:color="auto" w:fill="EEF2F7"/>
          </w:tcPr>
          <w:p>
            <w:pPr>
              <w:spacing w:after="0" w:before="0" w:line="240" w:lineRule="auto"/>
              <w:jc w:val="left"/>
            </w:pPr>
            <w:r>
              <w:rPr>
                <w:b/>
                <w:color w:val="1A2E4A"/>
              </w:rPr>
              <w:t>Vendor B score</w:t>
            </w:r>
          </w:p>
        </w:tc>
        <w:tc>
          <w:tcPr>
            <w:tcW w:type="dxa" w:w="2160"/>
            <w:shd w:val="clear" w:color="auto" w:fill="EEF2F7"/>
          </w:tcPr>
          <w:p>
            <w:pPr>
              <w:spacing w:after="0" w:before="0" w:line="240" w:lineRule="auto"/>
              <w:jc w:val="left"/>
            </w:pPr>
            <w:r>
              <w:rPr>
                <w:b/>
                <w:color w:val="1A2E4A"/>
              </w:rPr>
              <w:t>Vendor C score</w:t>
            </w:r>
          </w:p>
        </w:tc>
      </w:tr>
      <w:tr>
        <w:tc>
          <w:tcPr>
            <w:tcW w:type="dxa" w:w="2160"/>
          </w:tcPr>
          <w:p>
            <w:pPr>
              <w:spacing w:after="0" w:before="0" w:line="240" w:lineRule="auto"/>
              <w:jc w:val="left"/>
            </w:pPr>
            <w:r>
              <w:t>Technical capability</w:t>
            </w:r>
          </w:p>
        </w:tc>
        <w:tc>
          <w:tcPr>
            <w:tcW w:type="dxa" w:w="2160"/>
          </w:tcPr>
          <w:p>
            <w:pPr>
              <w:spacing w:after="0" w:before="0" w:line="240" w:lineRule="auto"/>
              <w:jc w:val="left"/>
            </w:pPr>
            <w:r>
              <w:t>0.35</w:t>
            </w:r>
          </w:p>
        </w:tc>
        <w:tc>
          <w:tcPr>
            <w:tcW w:type="dxa" w:w="2160"/>
          </w:tcPr>
          <w:p>
            <w:pPr>
              <w:spacing w:after="0" w:before="0" w:line="240" w:lineRule="auto"/>
              <w:jc w:val="left"/>
            </w:pPr>
            <w:r>
              <w:t>9</w:t>
            </w:r>
          </w:p>
        </w:tc>
        <w:tc>
          <w:tcPr>
            <w:tcW w:type="dxa" w:w="2160"/>
          </w:tcPr>
          <w:p>
            <w:pPr>
              <w:spacing w:after="0" w:before="0" w:line="240" w:lineRule="auto"/>
              <w:jc w:val="left"/>
            </w:pPr>
            <w:r>
              <w:t>7</w:t>
            </w:r>
          </w:p>
        </w:tc>
        <w:tc>
          <w:tcPr>
            <w:tcW w:type="dxa" w:w="2160"/>
          </w:tcPr>
          <w:p>
            <w:pPr>
              <w:spacing w:after="0" w:before="0" w:line="240" w:lineRule="auto"/>
              <w:jc w:val="left"/>
            </w:pPr>
            <w:r>
              <w:t>8</w:t>
            </w:r>
          </w:p>
        </w:tc>
      </w:tr>
      <w:tr>
        <w:tc>
          <w:tcPr>
            <w:tcW w:type="dxa" w:w="2160"/>
          </w:tcPr>
          <w:p>
            <w:pPr>
              <w:spacing w:after="0" w:before="0" w:line="240" w:lineRule="auto"/>
              <w:jc w:val="left"/>
            </w:pPr>
            <w:r>
              <w:t>Evaluated cost</w:t>
            </w:r>
          </w:p>
        </w:tc>
        <w:tc>
          <w:tcPr>
            <w:tcW w:type="dxa" w:w="2160"/>
          </w:tcPr>
          <w:p>
            <w:pPr>
              <w:spacing w:after="0" w:before="0" w:line="240" w:lineRule="auto"/>
              <w:jc w:val="left"/>
            </w:pPr>
            <w:r>
              <w:t>0.25</w:t>
            </w:r>
          </w:p>
        </w:tc>
        <w:tc>
          <w:tcPr>
            <w:tcW w:type="dxa" w:w="2160"/>
          </w:tcPr>
          <w:p>
            <w:pPr>
              <w:spacing w:after="0" w:before="0" w:line="240" w:lineRule="auto"/>
              <w:jc w:val="left"/>
            </w:pPr>
            <w:r>
              <w:t>7</w:t>
            </w:r>
          </w:p>
        </w:tc>
        <w:tc>
          <w:tcPr>
            <w:tcW w:type="dxa" w:w="2160"/>
          </w:tcPr>
          <w:p>
            <w:pPr>
              <w:spacing w:after="0" w:before="0" w:line="240" w:lineRule="auto"/>
              <w:jc w:val="left"/>
            </w:pPr>
            <w:r>
              <w:t>10</w:t>
            </w:r>
          </w:p>
        </w:tc>
        <w:tc>
          <w:tcPr>
            <w:tcW w:type="dxa" w:w="2160"/>
          </w:tcPr>
          <w:p>
            <w:pPr>
              <w:spacing w:after="0" w:before="0" w:line="240" w:lineRule="auto"/>
              <w:jc w:val="left"/>
            </w:pPr>
            <w:r>
              <w:t>8</w:t>
            </w:r>
          </w:p>
        </w:tc>
      </w:tr>
      <w:tr>
        <w:tc>
          <w:tcPr>
            <w:tcW w:type="dxa" w:w="2160"/>
          </w:tcPr>
          <w:p>
            <w:pPr>
              <w:spacing w:after="0" w:before="0" w:line="240" w:lineRule="auto"/>
              <w:jc w:val="left"/>
            </w:pPr>
            <w:r>
              <w:t>Delivery</w:t>
            </w:r>
          </w:p>
        </w:tc>
        <w:tc>
          <w:tcPr>
            <w:tcW w:type="dxa" w:w="2160"/>
          </w:tcPr>
          <w:p>
            <w:pPr>
              <w:spacing w:after="0" w:before="0" w:line="240" w:lineRule="auto"/>
              <w:jc w:val="left"/>
            </w:pPr>
            <w:r>
              <w:t>0.15</w:t>
            </w:r>
          </w:p>
        </w:tc>
        <w:tc>
          <w:tcPr>
            <w:tcW w:type="dxa" w:w="2160"/>
          </w:tcPr>
          <w:p>
            <w:pPr>
              <w:spacing w:after="0" w:before="0" w:line="240" w:lineRule="auto"/>
              <w:jc w:val="left"/>
            </w:pPr>
            <w:r>
              <w:t>8</w:t>
            </w:r>
          </w:p>
        </w:tc>
        <w:tc>
          <w:tcPr>
            <w:tcW w:type="dxa" w:w="2160"/>
          </w:tcPr>
          <w:p>
            <w:pPr>
              <w:spacing w:after="0" w:before="0" w:line="240" w:lineRule="auto"/>
              <w:jc w:val="left"/>
            </w:pPr>
            <w:r>
              <w:t>9</w:t>
            </w:r>
          </w:p>
        </w:tc>
        <w:tc>
          <w:tcPr>
            <w:tcW w:type="dxa" w:w="2160"/>
          </w:tcPr>
          <w:p>
            <w:pPr>
              <w:spacing w:after="0" w:before="0" w:line="240" w:lineRule="auto"/>
              <w:jc w:val="left"/>
            </w:pPr>
            <w:r>
              <w:t>7</w:t>
            </w:r>
          </w:p>
        </w:tc>
      </w:tr>
      <w:tr>
        <w:tc>
          <w:tcPr>
            <w:tcW w:type="dxa" w:w="2160"/>
          </w:tcPr>
          <w:p>
            <w:pPr>
              <w:spacing w:after="0" w:before="0" w:line="240" w:lineRule="auto"/>
              <w:jc w:val="left"/>
            </w:pPr>
            <w:r>
              <w:t>Service support</w:t>
            </w:r>
          </w:p>
        </w:tc>
        <w:tc>
          <w:tcPr>
            <w:tcW w:type="dxa" w:w="2160"/>
          </w:tcPr>
          <w:p>
            <w:pPr>
              <w:spacing w:after="0" w:before="0" w:line="240" w:lineRule="auto"/>
              <w:jc w:val="left"/>
            </w:pPr>
            <w:r>
              <w:t>0.15</w:t>
            </w:r>
          </w:p>
        </w:tc>
        <w:tc>
          <w:tcPr>
            <w:tcW w:type="dxa" w:w="2160"/>
          </w:tcPr>
          <w:p>
            <w:pPr>
              <w:spacing w:after="0" w:before="0" w:line="240" w:lineRule="auto"/>
              <w:jc w:val="left"/>
            </w:pPr>
            <w:r>
              <w:t>9</w:t>
            </w:r>
          </w:p>
        </w:tc>
        <w:tc>
          <w:tcPr>
            <w:tcW w:type="dxa" w:w="2160"/>
          </w:tcPr>
          <w:p>
            <w:pPr>
              <w:spacing w:after="0" w:before="0" w:line="240" w:lineRule="auto"/>
              <w:jc w:val="left"/>
            </w:pPr>
            <w:r>
              <w:t>6</w:t>
            </w:r>
          </w:p>
        </w:tc>
        <w:tc>
          <w:tcPr>
            <w:tcW w:type="dxa" w:w="2160"/>
          </w:tcPr>
          <w:p>
            <w:pPr>
              <w:spacing w:after="0" w:before="0" w:line="240" w:lineRule="auto"/>
              <w:jc w:val="left"/>
            </w:pPr>
            <w:r>
              <w:t>8</w:t>
            </w:r>
          </w:p>
        </w:tc>
      </w:tr>
      <w:tr>
        <w:tc>
          <w:tcPr>
            <w:tcW w:type="dxa" w:w="2160"/>
          </w:tcPr>
          <w:p>
            <w:pPr>
              <w:spacing w:after="0" w:before="0" w:line="240" w:lineRule="auto"/>
              <w:jc w:val="left"/>
            </w:pPr>
            <w:r>
              <w:t>Lifecycle support</w:t>
            </w:r>
          </w:p>
        </w:tc>
        <w:tc>
          <w:tcPr>
            <w:tcW w:type="dxa" w:w="2160"/>
          </w:tcPr>
          <w:p>
            <w:pPr>
              <w:spacing w:after="0" w:before="0" w:line="240" w:lineRule="auto"/>
              <w:jc w:val="left"/>
            </w:pPr>
            <w:r>
              <w:t>0.10</w:t>
            </w:r>
          </w:p>
        </w:tc>
        <w:tc>
          <w:tcPr>
            <w:tcW w:type="dxa" w:w="2160"/>
          </w:tcPr>
          <w:p>
            <w:pPr>
              <w:spacing w:after="0" w:before="0" w:line="240" w:lineRule="auto"/>
              <w:jc w:val="left"/>
            </w:pPr>
            <w:r>
              <w:t>8</w:t>
            </w:r>
          </w:p>
        </w:tc>
        <w:tc>
          <w:tcPr>
            <w:tcW w:type="dxa" w:w="2160"/>
          </w:tcPr>
          <w:p>
            <w:pPr>
              <w:spacing w:after="0" w:before="0" w:line="240" w:lineRule="auto"/>
              <w:jc w:val="left"/>
            </w:pPr>
            <w:r>
              <w:t>7</w:t>
            </w:r>
          </w:p>
        </w:tc>
        <w:tc>
          <w:tcPr>
            <w:tcW w:type="dxa" w:w="2160"/>
          </w:tcPr>
          <w:p>
            <w:pPr>
              <w:spacing w:after="0" w:before="0" w:line="240" w:lineRule="auto"/>
              <w:jc w:val="left"/>
            </w:pPr>
            <w:r>
              <w:t>9</w:t>
            </w:r>
          </w:p>
        </w:tc>
      </w:tr>
    </w:tbl>
    <w:p/>
    <w:p>
      <w:r>
        <w:t>If the scoring scale is 1 to 10, the resulting scores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Vendor</w:t>
            </w:r>
          </w:p>
        </w:tc>
        <w:tc>
          <w:tcPr>
            <w:tcW w:type="dxa" w:w="5400"/>
            <w:shd w:val="clear" w:color="auto" w:fill="EEF2F7"/>
          </w:tcPr>
          <w:p>
            <w:pPr>
              <w:spacing w:after="0" w:before="0" w:line="240" w:lineRule="auto"/>
              <w:jc w:val="left"/>
            </w:pPr>
            <w:r>
              <w:rPr>
                <w:b/>
                <w:color w:val="1A2E4A"/>
              </w:rPr>
              <w:t>Weighted score</w:t>
            </w:r>
          </w:p>
        </w:tc>
      </w:tr>
      <w:tr>
        <w:tc>
          <w:tcPr>
            <w:tcW w:type="dxa" w:w="5400"/>
          </w:tcPr>
          <w:p>
            <w:pPr>
              <w:spacing w:after="0" w:before="0" w:line="240" w:lineRule="auto"/>
              <w:jc w:val="left"/>
            </w:pPr>
            <w:r>
              <w:t>Vendor A</w:t>
            </w:r>
          </w:p>
        </w:tc>
        <w:tc>
          <w:tcPr>
            <w:tcW w:type="dxa" w:w="5400"/>
          </w:tcPr>
          <w:p>
            <w:pPr>
              <w:spacing w:after="0" w:before="0" w:line="240" w:lineRule="auto"/>
              <w:jc w:val="left"/>
            </w:pPr>
            <w:r>
              <w:t>8.15</w:t>
            </w:r>
          </w:p>
        </w:tc>
      </w:tr>
      <w:tr>
        <w:tc>
          <w:tcPr>
            <w:tcW w:type="dxa" w:w="5400"/>
          </w:tcPr>
          <w:p>
            <w:pPr>
              <w:spacing w:after="0" w:before="0" w:line="240" w:lineRule="auto"/>
              <w:jc w:val="left"/>
            </w:pPr>
            <w:r>
              <w:t>Vendor B</w:t>
            </w:r>
          </w:p>
        </w:tc>
        <w:tc>
          <w:tcPr>
            <w:tcW w:type="dxa" w:w="5400"/>
          </w:tcPr>
          <w:p>
            <w:pPr>
              <w:spacing w:after="0" w:before="0" w:line="240" w:lineRule="auto"/>
              <w:jc w:val="left"/>
            </w:pPr>
            <w:r>
              <w:t>7.90</w:t>
            </w:r>
          </w:p>
        </w:tc>
      </w:tr>
      <w:tr>
        <w:tc>
          <w:tcPr>
            <w:tcW w:type="dxa" w:w="5400"/>
          </w:tcPr>
          <w:p>
            <w:pPr>
              <w:spacing w:after="0" w:before="0" w:line="240" w:lineRule="auto"/>
              <w:jc w:val="left"/>
            </w:pPr>
            <w:r>
              <w:t>Vendor C</w:t>
            </w:r>
          </w:p>
        </w:tc>
        <w:tc>
          <w:tcPr>
            <w:tcW w:type="dxa" w:w="5400"/>
          </w:tcPr>
          <w:p>
            <w:pPr>
              <w:spacing w:after="0" w:before="0" w:line="240" w:lineRule="auto"/>
              <w:jc w:val="left"/>
            </w:pPr>
            <w:r>
              <w:t>7.95</w:t>
            </w:r>
          </w:p>
        </w:tc>
      </w:tr>
    </w:tbl>
    <w:p/>
    <w:p>
      <w:r>
        <w:t>Vendor A ranks highest under this illustrative model.</w:t>
      </w:r>
    </w:p>
    <w:p>
      <w:r>
        <w:t>The result is meaningful only if the criteria, weights, scoring definitions, and supporting evidence are approved and applied consistently. These values are examples, not a recommended universal weighting.</w:t>
      </w:r>
    </w:p>
    <w:p>
      <w:r>
        <w:t>A weighted matrix should not override mandatory requirements or the organization's prescribed lowest-evaluated-cost method where that method governs the award.</w:t>
      </w:r>
    </w:p>
    <w:p>
      <w:pPr>
        <w:pStyle w:val="Heading2"/>
      </w:pPr>
      <w:r>
        <w:t>11. Vendor risk assessment</w:t>
      </w:r>
    </w:p>
    <w:p>
      <w:r>
        <w:t>Vendor selection should identify risks that could affect delivery, plant availability, cost, compliance, or future maintainability.</w:t>
      </w:r>
    </w:p>
    <w:p>
      <w:r>
        <w:t>Common risks include:</w:t>
      </w:r>
    </w:p>
    <w:p>
      <w:pPr>
        <w:pStyle w:val="ListBullet"/>
      </w:pPr>
      <w:r>
        <w:t>Supplier has limited experience with the specific technology.</w:t>
      </w:r>
    </w:p>
    <w:p>
      <w:pPr>
        <w:pStyle w:val="ListBullet"/>
      </w:pPr>
      <w:r>
        <w:t>Proposed equipment is near end of life.</w:t>
      </w:r>
    </w:p>
    <w:p>
      <w:pPr>
        <w:pStyle w:val="ListBullet"/>
      </w:pPr>
      <w:r>
        <w:t>Long lead times for critical modules.</w:t>
      </w:r>
    </w:p>
    <w:p>
      <w:pPr>
        <w:pStyle w:val="ListBullet"/>
      </w:pPr>
      <w:r>
        <w:t>Dependence on one specialist engineer.</w:t>
      </w:r>
    </w:p>
    <w:p>
      <w:pPr>
        <w:pStyle w:val="ListBullet"/>
      </w:pPr>
      <w:r>
        <w:t>Limited local service coverage.</w:t>
      </w:r>
    </w:p>
    <w:p>
      <w:pPr>
        <w:pStyle w:val="ListBullet"/>
      </w:pPr>
      <w:r>
        <w:t>Unclear software ownership.</w:t>
      </w:r>
    </w:p>
    <w:p>
      <w:pPr>
        <w:pStyle w:val="ListBullet"/>
      </w:pPr>
      <w:r>
        <w:t>Proprietary interfaces that restrict future maintenance.</w:t>
      </w:r>
    </w:p>
    <w:p>
      <w:pPr>
        <w:pStyle w:val="ListBullet"/>
      </w:pPr>
      <w:r>
        <w:t>Weak documentation or backup arrangements.</w:t>
      </w:r>
    </w:p>
    <w:p>
      <w:pPr>
        <w:pStyle w:val="ListBullet"/>
      </w:pPr>
      <w:r>
        <w:t>Uncertain spare-parts availability.</w:t>
      </w:r>
    </w:p>
    <w:p>
      <w:pPr>
        <w:pStyle w:val="ListBullet"/>
      </w:pPr>
      <w:r>
        <w:t>Financial or supply-chain instability.</w:t>
      </w:r>
    </w:p>
    <w:p>
      <w:pPr>
        <w:pStyle w:val="ListBullet"/>
      </w:pPr>
      <w:r>
        <w:t>Cybersecurity weaknesses.</w:t>
      </w:r>
    </w:p>
    <w:p>
      <w:pPr>
        <w:pStyle w:val="ListBullet"/>
      </w:pPr>
      <w:r>
        <w:t>Inadequate safety-engineering capability.</w:t>
      </w:r>
    </w:p>
    <w:p>
      <w:pPr>
        <w:pStyle w:val="ListBullet"/>
      </w:pPr>
      <w:r>
        <w:t>Unclear responsibility for integration failures.</w:t>
      </w:r>
    </w:p>
    <w:p>
      <w:pPr>
        <w:pStyle w:val="Heading3"/>
      </w:pPr>
      <w:r>
        <w:t>Risk rating</w:t>
      </w:r>
    </w:p>
    <w:p>
      <w:r>
        <w:t>A simple risk matrix may use likelihood and impact ratings.</w:t>
      </w:r>
    </w:p>
    <w:p>
      <w:pPr>
        <w:spacing w:before="120" w:after="160"/>
        <w:jc w:val="center"/>
      </w:pPr>
      <m:oMathPara>
        <m:oMath>
          <m:r>
            <m:t>R=L×I</m:t>
          </m:r>
        </m:oMath>
      </m:oMathPara>
    </w:p>
    <w:p>
      <w:r>
        <w:t>Where:</w:t>
      </w:r>
    </w:p>
    <w:p>
      <w:pPr>
        <w:pStyle w:val="ListBullet"/>
      </w:pPr>
      <m:oMath>
        <m:r>
          <m:t>R</m:t>
        </m:r>
      </m:oMath>
      <w:r>
        <w:t xml:space="preserve"> is the risk score.</w:t>
      </w:r>
    </w:p>
    <w:p>
      <w:pPr>
        <w:pStyle w:val="ListBullet"/>
      </w:pPr>
      <m:oMath>
        <m:r>
          <m:t>L</m:t>
        </m:r>
      </m:oMath>
      <w:r>
        <w:t xml:space="preserve"> is the likelihood rating.</w:t>
      </w:r>
    </w:p>
    <w:p>
      <w:pPr>
        <w:pStyle w:val="ListBullet"/>
      </w:pPr>
      <m:oMath>
        <m:r>
          <m:t>I</m:t>
        </m:r>
      </m:oMath>
      <w:r>
        <w:t xml:space="preserve"> is the impact rating.</w:t>
      </w:r>
    </w:p>
    <w:p>
      <w:r>
        <w:t>For example, a likelihood of 4 and an impact of 5 produce a score of 20 on a 5-by-5 scale.</w:t>
      </w:r>
    </w:p>
    <w:p>
      <w:r>
        <w:t>This is a screening tool, not a complete risk assessment. The organization should define rating scales, acceptance thresholds, escalation rules, and treatment actions.</w:t>
      </w:r>
    </w:p>
    <w:p>
      <w:r>
        <w:t>For critical risks, document the mitigation plan, responsible person, target date, and evidence required for closure.</w:t>
      </w:r>
    </w:p>
    <w:p>
      <w:pPr>
        <w:pStyle w:val="Heading2"/>
      </w:pPr>
      <w:r>
        <w:t>12. Supplier selection for obsolete-equipment replacement</w:t>
      </w:r>
    </w:p>
    <w:p>
      <w:r>
        <w:t>Obsolescence is especially relevant in industrial plants where older PLCs, HMIs, CNC controllers, drives, and electronic modules may remain in service for years.</w:t>
      </w:r>
    </w:p>
    <w:p>
      <w:r>
        <w:t>When selecting a vendor for replacement or retrofit work, assess:</w:t>
      </w:r>
    </w:p>
    <w:p>
      <w:pPr>
        <w:pStyle w:val="ListBullet"/>
      </w:pPr>
      <w:r>
        <w:t>Confirmed availability of the proposed hardware.</w:t>
      </w:r>
    </w:p>
    <w:p>
      <w:pPr>
        <w:pStyle w:val="ListBullet"/>
      </w:pPr>
      <w:r>
        <w:t>Manufacturer lifecycle status.</w:t>
      </w:r>
    </w:p>
    <w:p>
      <w:pPr>
        <w:pStyle w:val="ListBullet"/>
      </w:pPr>
      <w:r>
        <w:t>Availability of compatible successor models.</w:t>
      </w:r>
    </w:p>
    <w:p>
      <w:pPr>
        <w:pStyle w:val="ListBullet"/>
      </w:pPr>
      <w:r>
        <w:t>Program conversion requirements.</w:t>
      </w:r>
    </w:p>
    <w:p>
      <w:pPr>
        <w:pStyle w:val="ListBullet"/>
      </w:pPr>
      <w:r>
        <w:t>Existing wiring and interface reuse.</w:t>
      </w:r>
    </w:p>
    <w:p>
      <w:pPr>
        <w:pStyle w:val="ListBullet"/>
      </w:pPr>
      <w:r>
        <w:t>Required software and licenses.</w:t>
      </w:r>
    </w:p>
    <w:p>
      <w:pPr>
        <w:pStyle w:val="ListBullet"/>
      </w:pPr>
      <w:r>
        <w:t>Migration and validation effort.</w:t>
      </w:r>
    </w:p>
    <w:p>
      <w:pPr>
        <w:pStyle w:val="ListBullet"/>
      </w:pPr>
      <w:r>
        <w:t>Downtime required for installation.</w:t>
      </w:r>
    </w:p>
    <w:p>
      <w:pPr>
        <w:pStyle w:val="ListBullet"/>
      </w:pPr>
      <w:r>
        <w:t>Availability of spare parts.</w:t>
      </w:r>
    </w:p>
    <w:p>
      <w:pPr>
        <w:pStyle w:val="ListBullet"/>
      </w:pPr>
      <w:r>
        <w:t>Long-term service capability.</w:t>
      </w:r>
    </w:p>
    <w:p>
      <w:pPr>
        <w:pStyle w:val="ListBullet"/>
      </w:pPr>
      <w:r>
        <w:t>Documentation and maintainability.</w:t>
      </w:r>
    </w:p>
    <w:p>
      <w:pPr>
        <w:pStyle w:val="ListBullet"/>
      </w:pPr>
      <w:r>
        <w:t>Future expansion and migration options.</w:t>
      </w:r>
    </w:p>
    <w:p>
      <w:r>
        <w:t>A vendor should not be selected solely because it can supply a replacement part immediately. The replacement must also be technically appropriate, maintainable, and supportable.</w:t>
      </w:r>
    </w:p>
    <w:p>
      <w:r>
        <w:t>For high-criticality equipment, consider whether the supplier can provide an approved migration plan, rollback procedure, spare strategy, and commissioning support.</w:t>
      </w:r>
    </w:p>
    <w:p>
      <w:pPr>
        <w:pStyle w:val="Heading2"/>
      </w:pPr>
      <w:r>
        <w:t>13. Vendor selection recommendation report</w:t>
      </w:r>
    </w:p>
    <w:p>
      <w:r>
        <w:t>A selection recommendation should allow an authorized reviewer to understand why a supplier is preferred and what risks remain.</w:t>
      </w:r>
    </w:p>
    <w:p>
      <w:r>
        <w:t>A practical report contains:</w:t>
      </w:r>
    </w:p>
    <w:p>
      <w:pPr>
        <w:tabs>
          <w:tab w:pos="403" w:val="left"/>
        </w:tabs>
        <w:spacing w:after="40" w:line="276" w:lineRule="auto"/>
        <w:ind w:left="403" w:hanging="403"/>
        <w:jc w:val="left"/>
      </w:pPr>
      <w:r>
        <w:rPr>
          <w:color w:val="1A2E4A"/>
        </w:rPr>
        <w:t>1.</w:t>
        <w:tab/>
      </w:r>
      <w:r>
        <w:t>Project and procurement reference.</w:t>
      </w:r>
    </w:p>
    <w:p>
      <w:pPr>
        <w:tabs>
          <w:tab w:pos="403" w:val="left"/>
        </w:tabs>
        <w:spacing w:after="40" w:line="276" w:lineRule="auto"/>
        <w:ind w:left="403" w:hanging="403"/>
        <w:jc w:val="left"/>
      </w:pPr>
      <w:r>
        <w:rPr>
          <w:color w:val="1A2E4A"/>
        </w:rPr>
        <w:t>2.</w:t>
        <w:tab/>
      </w:r>
      <w:r>
        <w:t>Scope and technical requirement summary.</w:t>
      </w:r>
    </w:p>
    <w:p>
      <w:pPr>
        <w:tabs>
          <w:tab w:pos="403" w:val="left"/>
        </w:tabs>
        <w:spacing w:after="40" w:line="276" w:lineRule="auto"/>
        <w:ind w:left="403" w:hanging="403"/>
        <w:jc w:val="left"/>
      </w:pPr>
      <w:r>
        <w:rPr>
          <w:color w:val="1A2E4A"/>
        </w:rPr>
        <w:t>3.</w:t>
        <w:tab/>
      </w:r>
      <w:r>
        <w:t>Participating suppliers.</w:t>
      </w:r>
    </w:p>
    <w:p>
      <w:pPr>
        <w:tabs>
          <w:tab w:pos="403" w:val="left"/>
        </w:tabs>
        <w:spacing w:after="40" w:line="276" w:lineRule="auto"/>
        <w:ind w:left="403" w:hanging="403"/>
        <w:jc w:val="left"/>
      </w:pPr>
      <w:r>
        <w:rPr>
          <w:color w:val="1A2E4A"/>
        </w:rPr>
        <w:t>4.</w:t>
        <w:tab/>
      </w:r>
      <w:r>
        <w:t>Qualification and mandatory-compliance results.</w:t>
      </w:r>
    </w:p>
    <w:p>
      <w:pPr>
        <w:tabs>
          <w:tab w:pos="403" w:val="left"/>
        </w:tabs>
        <w:spacing w:after="40" w:line="276" w:lineRule="auto"/>
        <w:ind w:left="403" w:hanging="403"/>
        <w:jc w:val="left"/>
      </w:pPr>
      <w:r>
        <w:rPr>
          <w:color w:val="1A2E4A"/>
        </w:rPr>
        <w:t>5.</w:t>
        <w:tab/>
      </w:r>
      <w:r>
        <w:t>Technical evaluation summary.</w:t>
      </w:r>
    </w:p>
    <w:p>
      <w:pPr>
        <w:tabs>
          <w:tab w:pos="403" w:val="left"/>
        </w:tabs>
        <w:spacing w:after="40" w:line="276" w:lineRule="auto"/>
        <w:ind w:left="403" w:hanging="403"/>
        <w:jc w:val="left"/>
      </w:pPr>
      <w:r>
        <w:rPr>
          <w:color w:val="1A2E4A"/>
        </w:rPr>
        <w:t>6.</w:t>
        <w:tab/>
      </w:r>
      <w:r>
        <w:t>Clarifications and deviation status.</w:t>
      </w:r>
    </w:p>
    <w:p>
      <w:pPr>
        <w:tabs>
          <w:tab w:pos="403" w:val="left"/>
        </w:tabs>
        <w:spacing w:after="40" w:line="276" w:lineRule="auto"/>
        <w:ind w:left="403" w:hanging="403"/>
        <w:jc w:val="left"/>
      </w:pPr>
      <w:r>
        <w:rPr>
          <w:color w:val="1A2E4A"/>
        </w:rPr>
        <w:t>7.</w:t>
        <w:tab/>
      </w:r>
      <w:r>
        <w:t>Commercial comparison and evaluated cost.</w:t>
      </w:r>
    </w:p>
    <w:p>
      <w:pPr>
        <w:tabs>
          <w:tab w:pos="403" w:val="left"/>
        </w:tabs>
        <w:spacing w:after="40" w:line="276" w:lineRule="auto"/>
        <w:ind w:left="403" w:hanging="403"/>
        <w:jc w:val="left"/>
      </w:pPr>
      <w:r>
        <w:rPr>
          <w:color w:val="1A2E4A"/>
        </w:rPr>
        <w:t>8.</w:t>
        <w:tab/>
      </w:r>
      <w:r>
        <w:t>Delivery and implementation comparison.</w:t>
      </w:r>
    </w:p>
    <w:p>
      <w:pPr>
        <w:tabs>
          <w:tab w:pos="403" w:val="left"/>
        </w:tabs>
        <w:spacing w:after="40" w:line="276" w:lineRule="auto"/>
        <w:ind w:left="403" w:hanging="403"/>
        <w:jc w:val="left"/>
      </w:pPr>
      <w:r>
        <w:rPr>
          <w:color w:val="1A2E4A"/>
        </w:rPr>
        <w:t>9.</w:t>
        <w:tab/>
      </w:r>
      <w:r>
        <w:t>Warranty and service assessment.</w:t>
      </w:r>
    </w:p>
    <w:p>
      <w:pPr>
        <w:tabs>
          <w:tab w:pos="403" w:val="left"/>
        </w:tabs>
        <w:spacing w:after="40" w:line="276" w:lineRule="auto"/>
        <w:ind w:left="403" w:hanging="403"/>
        <w:jc w:val="left"/>
      </w:pPr>
      <w:r>
        <w:rPr>
          <w:color w:val="1A2E4A"/>
        </w:rPr>
        <w:t>10.</w:t>
        <w:tab/>
      </w:r>
      <w:r>
        <w:t>Lifecycle and risk assessment, where applicable.</w:t>
      </w:r>
    </w:p>
    <w:p>
      <w:pPr>
        <w:tabs>
          <w:tab w:pos="403" w:val="left"/>
        </w:tabs>
        <w:spacing w:after="40" w:line="276" w:lineRule="auto"/>
        <w:ind w:left="403" w:hanging="403"/>
        <w:jc w:val="left"/>
      </w:pPr>
      <w:r>
        <w:rPr>
          <w:color w:val="1A2E4A"/>
        </w:rPr>
        <w:t>11.</w:t>
        <w:tab/>
      </w:r>
      <w:r>
        <w:t>Ranking under the approved evaluation method.</w:t>
      </w:r>
    </w:p>
    <w:p>
      <w:pPr>
        <w:tabs>
          <w:tab w:pos="403" w:val="left"/>
        </w:tabs>
        <w:spacing w:after="40" w:line="276" w:lineRule="auto"/>
        <w:ind w:left="403" w:hanging="403"/>
        <w:jc w:val="left"/>
      </w:pPr>
      <w:r>
        <w:rPr>
          <w:color w:val="1A2E4A"/>
        </w:rPr>
        <w:t>12.</w:t>
        <w:tab/>
      </w:r>
      <w:r>
        <w:t>Preferred supplier and justification.</w:t>
      </w:r>
    </w:p>
    <w:p>
      <w:pPr>
        <w:tabs>
          <w:tab w:pos="403" w:val="left"/>
        </w:tabs>
        <w:spacing w:after="40" w:line="276" w:lineRule="auto"/>
        <w:ind w:left="403" w:hanging="403"/>
        <w:jc w:val="left"/>
      </w:pPr>
      <w:r>
        <w:rPr>
          <w:color w:val="1A2E4A"/>
        </w:rPr>
        <w:t>13.</w:t>
        <w:tab/>
      </w:r>
      <w:r>
        <w:t>Conditions or unresolved matters.</w:t>
      </w:r>
    </w:p>
    <w:p>
      <w:pPr>
        <w:tabs>
          <w:tab w:pos="403" w:val="left"/>
        </w:tabs>
        <w:spacing w:after="40" w:line="276" w:lineRule="auto"/>
        <w:ind w:left="403" w:hanging="403"/>
        <w:jc w:val="left"/>
      </w:pPr>
      <w:r>
        <w:rPr>
          <w:color w:val="1A2E4A"/>
        </w:rPr>
        <w:t>14.</w:t>
        <w:tab/>
      </w:r>
      <w:r>
        <w:t>Required approvals and decision record.</w:t>
      </w:r>
    </w:p>
    <w:p>
      <w:r>
        <w:t>The recommendation should distinguish facts from assumptions and clearly identify any condition that must be resolved before award.</w:t>
      </w:r>
    </w:p>
    <w:p>
      <w:pPr>
        <w:pStyle w:val="Heading2"/>
      </w:pPr>
      <w:r>
        <w:t>14. Approval and procurement governance</w:t>
      </w:r>
    </w:p>
    <w:p>
      <w:r>
        <w:t>Vendor selection must follow the organization's authorization and procurement procedures.</w:t>
      </w:r>
    </w:p>
    <w:p>
      <w:r>
        <w:t>Important controls include:</w:t>
      </w:r>
    </w:p>
    <w:p>
      <w:pPr>
        <w:pStyle w:val="ListBullet"/>
      </w:pPr>
      <w:r>
        <w:t>Approval of the technical requirement before tendering.</w:t>
      </w:r>
    </w:p>
    <w:p>
      <w:pPr>
        <w:pStyle w:val="ListBullet"/>
      </w:pPr>
      <w:r>
        <w:t>Use of the approved selection methodology.</w:t>
      </w:r>
    </w:p>
    <w:p>
      <w:pPr>
        <w:pStyle w:val="ListBullet"/>
      </w:pPr>
      <w:r>
        <w:t>Separation of evaluation and approval responsibilities where required.</w:t>
      </w:r>
    </w:p>
    <w:p>
      <w:pPr>
        <w:pStyle w:val="ListBullet"/>
      </w:pPr>
      <w:r>
        <w:t>Appropriate management of conflicts of interest.</w:t>
      </w:r>
    </w:p>
    <w:p>
      <w:pPr>
        <w:pStyle w:val="ListBullet"/>
      </w:pPr>
      <w:r>
        <w:t>Protection of supplier confidentiality.</w:t>
      </w:r>
    </w:p>
    <w:p>
      <w:pPr>
        <w:pStyle w:val="ListBullet"/>
      </w:pPr>
      <w:r>
        <w:t>Documented treatment of deviations.</w:t>
      </w:r>
    </w:p>
    <w:p>
      <w:pPr>
        <w:pStyle w:val="ListBullet"/>
      </w:pPr>
      <w:r>
        <w:t>Traceable commercial adjustments.</w:t>
      </w:r>
    </w:p>
    <w:p>
      <w:pPr>
        <w:pStyle w:val="ListBullet"/>
      </w:pPr>
      <w:r>
        <w:t>Required financial and technical approvals.</w:t>
      </w:r>
    </w:p>
    <w:p>
      <w:pPr>
        <w:pStyle w:val="ListBullet"/>
      </w:pPr>
      <w:r>
        <w:t>Retention of evaluation evidence.</w:t>
      </w:r>
    </w:p>
    <w:p>
      <w:pPr>
        <w:pStyle w:val="ListBullet"/>
      </w:pPr>
      <w:r>
        <w:t>Compliance with delegated authority limits.</w:t>
      </w:r>
    </w:p>
    <w:p>
      <w:r>
        <w:t>The engineer's role is to establish technical suitability and document technical risks. Procurement evaluates commercial and procedural compliance, while authorized decision-makers approve the selection according to the company's governance framework.</w:t>
      </w:r>
    </w:p>
    <w:p>
      <w:r>
        <w:t>A technical recommendation is not the same as authorization to place an order.</w:t>
      </w:r>
    </w:p>
    <w:p>
      <w:pPr>
        <w:pStyle w:val="Heading2"/>
      </w:pPr>
      <w:r>
        <w:t>15. Negotiation after vendor selection or during evaluation</w:t>
      </w:r>
    </w:p>
    <w:p>
      <w:r>
        <w:t>Negotiation may be permitted during defined stages of procurement, depending on the procurement method and organizational policy.</w:t>
      </w:r>
    </w:p>
    <w:p>
      <w:r>
        <w:t>Potential discussion areas include:</w:t>
      </w:r>
    </w:p>
    <w:p>
      <w:pPr>
        <w:pStyle w:val="ListBullet"/>
      </w:pPr>
      <w:r>
        <w:t>Price and discounts.</w:t>
      </w:r>
    </w:p>
    <w:p>
      <w:pPr>
        <w:pStyle w:val="ListBullet"/>
      </w:pPr>
      <w:r>
        <w:t>Delivery commitments.</w:t>
      </w:r>
    </w:p>
    <w:p>
      <w:pPr>
        <w:pStyle w:val="ListBullet"/>
      </w:pPr>
      <w:r>
        <w:t>Warranty extension.</w:t>
      </w:r>
    </w:p>
    <w:p>
      <w:pPr>
        <w:pStyle w:val="ListBullet"/>
      </w:pPr>
      <w:r>
        <w:t>Commissioning support.</w:t>
      </w:r>
    </w:p>
    <w:p>
      <w:pPr>
        <w:pStyle w:val="ListBullet"/>
      </w:pPr>
      <w:r>
        <w:t>Spare-parts packages.</w:t>
      </w:r>
    </w:p>
    <w:p>
      <w:pPr>
        <w:pStyle w:val="ListBullet"/>
      </w:pPr>
      <w:r>
        <w:t>Payment milestones.</w:t>
      </w:r>
    </w:p>
    <w:p>
      <w:pPr>
        <w:pStyle w:val="ListBullet"/>
      </w:pPr>
      <w:r>
        <w:t>Training.</w:t>
      </w:r>
    </w:p>
    <w:p>
      <w:pPr>
        <w:pStyle w:val="ListBullet"/>
      </w:pPr>
      <w:r>
        <w:t>Service response.</w:t>
      </w:r>
    </w:p>
    <w:p>
      <w:pPr>
        <w:pStyle w:val="ListBullet"/>
      </w:pPr>
      <w:r>
        <w:t>Documentation and source-code handover.</w:t>
      </w:r>
    </w:p>
    <w:p>
      <w:r>
        <w:t>Any negotiation must preserve procurement fairness and follow the applicable rules.</w:t>
      </w:r>
    </w:p>
    <w:p>
      <w:r>
        <w:t>Record the original offer, negotiation topics, agreed changes, revised offer, and required approvals. Recalculate the evaluation where the approved procedure requires it.</w:t>
      </w:r>
    </w:p>
    <w:p>
      <w:r>
        <w:t>Do not inform one supplier of another supplier's confidential price or allow informal negotiations to bypass authorization.</w:t>
      </w:r>
    </w:p>
    <w:p>
      <w:pPr>
        <w:pStyle w:val="Heading2"/>
      </w:pPr>
      <w:r>
        <w:t>16. Handover from vendor selection to purchase order</w:t>
      </w:r>
    </w:p>
    <w:p>
      <w:r>
        <w:t>After the selection is approved, the purchase order must accurately represent the evaluated and accepted offer.</w:t>
      </w:r>
    </w:p>
    <w:p>
      <w:r>
        <w:t>Before the order is released, confirm:</w:t>
      </w:r>
    </w:p>
    <w:p>
      <w:pPr>
        <w:pStyle w:val="ListBullet"/>
      </w:pPr>
      <w:r>
        <w:t>Correct supplier legal entity.</w:t>
      </w:r>
    </w:p>
    <w:p>
      <w:pPr>
        <w:pStyle w:val="ListBullet"/>
      </w:pPr>
      <w:r>
        <w:t>Approved price and currency.</w:t>
      </w:r>
    </w:p>
    <w:p>
      <w:pPr>
        <w:pStyle w:val="ListBullet"/>
      </w:pPr>
      <w:r>
        <w:t>Final scope of supply.</w:t>
      </w:r>
    </w:p>
    <w:p>
      <w:pPr>
        <w:pStyle w:val="ListBullet"/>
      </w:pPr>
      <w:r>
        <w:t>Exact hardware models and quantities.</w:t>
      </w:r>
    </w:p>
    <w:p>
      <w:pPr>
        <w:pStyle w:val="ListBullet"/>
      </w:pPr>
      <w:r>
        <w:t>Approved technical deviations.</w:t>
      </w:r>
    </w:p>
    <w:p>
      <w:pPr>
        <w:pStyle w:val="ListBullet"/>
      </w:pPr>
      <w:r>
        <w:t>Delivery milestones.</w:t>
      </w:r>
    </w:p>
    <w:p>
      <w:pPr>
        <w:pStyle w:val="ListBullet"/>
      </w:pPr>
      <w:r>
        <w:t>Installation and commissioning obligations.</w:t>
      </w:r>
    </w:p>
    <w:p>
      <w:pPr>
        <w:pStyle w:val="ListBullet"/>
      </w:pPr>
      <w:r>
        <w:t>FAT and SAT requirements.</w:t>
      </w:r>
    </w:p>
    <w:p>
      <w:pPr>
        <w:pStyle w:val="ListBullet"/>
      </w:pPr>
      <w:r>
        <w:t>Warranty and support terms.</w:t>
      </w:r>
    </w:p>
    <w:p>
      <w:pPr>
        <w:pStyle w:val="ListBullet"/>
      </w:pPr>
      <w:r>
        <w:t>Documentation and source-code deliverables.</w:t>
      </w:r>
    </w:p>
    <w:p>
      <w:pPr>
        <w:pStyle w:val="ListBullet"/>
      </w:pPr>
      <w:r>
        <w:t>Payment conditions.</w:t>
      </w:r>
    </w:p>
    <w:p>
      <w:pPr>
        <w:pStyle w:val="ListBullet"/>
      </w:pPr>
      <w:r>
        <w:t>Applicable contractual terms.</w:t>
      </w:r>
    </w:p>
    <w:p>
      <w:pPr>
        <w:pStyle w:val="ListBullet"/>
      </w:pPr>
      <w:r>
        <w:t>Required drawings and technical annexures.</w:t>
      </w:r>
    </w:p>
    <w:p>
      <w:r>
        <w:t>The PO should not introduce an unreviewed scope change or contradict the supplier offer that was evaluated.</w:t>
      </w:r>
    </w:p>
    <w:p>
      <w:r>
        <w:t>Any material difference between the approved recommendation and the proposed PO should be resolved before authorization.</w:t>
      </w:r>
    </w:p>
    <w:p>
      <w:pPr>
        <w:pStyle w:val="Heading2"/>
      </w:pPr>
      <w:r>
        <w:t>17. Common vendor-selection mistakes</w:t>
      </w:r>
    </w:p>
    <w:p>
      <w:pPr>
        <w:pStyle w:val="ListBullet"/>
      </w:pPr>
      <w:r>
        <w:t>Selecting the lowest quotation without checking scope.</w:t>
      </w:r>
    </w:p>
    <w:p>
      <w:pPr>
        <w:pStyle w:val="ListBullet"/>
      </w:pPr>
      <w:r>
        <w:t>Treating mandatory technical requirements as optional scoring criteria.</w:t>
      </w:r>
    </w:p>
    <w:p>
      <w:pPr>
        <w:pStyle w:val="ListBullet"/>
      </w:pPr>
      <w:r>
        <w:t>Using different evaluation criteria for different suppliers.</w:t>
      </w:r>
    </w:p>
    <w:p>
      <w:pPr>
        <w:pStyle w:val="ListBullet"/>
      </w:pPr>
      <w:r>
        <w:t>Changing scoring weights after receiving bids.</w:t>
      </w:r>
    </w:p>
    <w:p>
      <w:pPr>
        <w:pStyle w:val="ListBullet"/>
      </w:pPr>
      <w:r>
        <w:t>Accepting unsupported claims of compatibility.</w:t>
      </w:r>
    </w:p>
    <w:p>
      <w:pPr>
        <w:pStyle w:val="ListBullet"/>
      </w:pPr>
      <w:r>
        <w:t>Ignoring lifecycle cost and software licensing.</w:t>
      </w:r>
    </w:p>
    <w:p>
      <w:pPr>
        <w:pStyle w:val="ListBullet"/>
      </w:pPr>
      <w:r>
        <w:t>Failing to evaluate delivery and commissioning capability.</w:t>
      </w:r>
    </w:p>
    <w:p>
      <w:pPr>
        <w:pStyle w:val="ListBullet"/>
      </w:pPr>
      <w:r>
        <w:t>Overlooking warranty exclusions and service limitations.</w:t>
      </w:r>
    </w:p>
    <w:p>
      <w:pPr>
        <w:pStyle w:val="ListBullet"/>
      </w:pPr>
      <w:r>
        <w:t>Choosing a vendor without considering obsolescence.</w:t>
      </w:r>
    </w:p>
    <w:p>
      <w:pPr>
        <w:pStyle w:val="ListBullet"/>
      </w:pPr>
      <w:r>
        <w:t>Ignoring documentation, source-code, and backup deliverables.</w:t>
      </w:r>
    </w:p>
    <w:p>
      <w:pPr>
        <w:pStyle w:val="ListBullet"/>
      </w:pPr>
      <w:r>
        <w:t>Failing to assess safety and cybersecurity risks.</w:t>
      </w:r>
    </w:p>
    <w:p>
      <w:pPr>
        <w:pStyle w:val="ListBullet"/>
      </w:pPr>
      <w:r>
        <w:t>Relying on personal preference instead of documented evidence.</w:t>
      </w:r>
    </w:p>
    <w:p>
      <w:pPr>
        <w:pStyle w:val="ListBullet"/>
      </w:pPr>
      <w:r>
        <w:t>Making a recommendation without identifying residual risks.</w:t>
      </w:r>
    </w:p>
    <w:p>
      <w:pPr>
        <w:pStyle w:val="ListBullet"/>
      </w:pPr>
      <w:r>
        <w:t>Allowing the purchase order to differ from the approved offer without review.</w:t>
      </w:r>
    </w:p>
    <w:p>
      <w:pPr>
        <w:pStyle w:val="ListBullet"/>
      </w:pPr>
      <w:r>
        <w:t>Failing to retain the evaluation and approval records.</w:t>
      </w:r>
    </w:p>
    <w:p>
      <w:pPr>
        <w:pStyle w:val="Heading2"/>
      </w:pPr>
      <w:r>
        <w:t>18. Practical vendor-selection checklist</w:t>
      </w:r>
    </w:p>
    <w:p>
      <w:pPr>
        <w:pStyle w:val="Heading3"/>
      </w:pPr>
      <w:r>
        <w:t>Before selection</w:t>
      </w:r>
    </w:p>
    <w:p>
      <w:pPr>
        <w:pStyle w:val="ListBullet"/>
      </w:pPr>
      <w:r>
        <w:t>Approved requirements and RFQ scope are available.</w:t>
      </w:r>
    </w:p>
    <w:p>
      <w:pPr>
        <w:pStyle w:val="ListBullet"/>
      </w:pPr>
      <w:r>
        <w:t>Supplier qualification requirements have been checked.</w:t>
      </w:r>
    </w:p>
    <w:p>
      <w:pPr>
        <w:pStyle w:val="ListBullet"/>
      </w:pPr>
      <w:r>
        <w:t>All bids are registered and traceable.</w:t>
      </w:r>
    </w:p>
    <w:p>
      <w:pPr>
        <w:pStyle w:val="ListBullet"/>
      </w:pPr>
      <w:r>
        <w:t>Mandatory requirements are identified.</w:t>
      </w:r>
    </w:p>
    <w:p>
      <w:pPr>
        <w:pStyle w:val="ListBullet"/>
      </w:pPr>
      <w:r>
        <w:t>Technical evaluation is complete.</w:t>
      </w:r>
    </w:p>
    <w:p>
      <w:pPr>
        <w:pStyle w:val="ListBullet"/>
      </w:pPr>
      <w:r>
        <w:t>Clarifications and deviations are documented.</w:t>
      </w:r>
    </w:p>
    <w:p>
      <w:pPr>
        <w:pStyle w:val="ListBullet"/>
      </w:pPr>
      <w:r>
        <w:t>Commercial comparison uses a consistent evaluation basis.</w:t>
      </w:r>
    </w:p>
    <w:p>
      <w:pPr>
        <w:pStyle w:val="Heading3"/>
      </w:pPr>
      <w:r>
        <w:t>During selection</w:t>
      </w:r>
    </w:p>
    <w:p>
      <w:pPr>
        <w:pStyle w:val="ListBullet"/>
      </w:pPr>
      <w:r>
        <w:t>Eligible vendors are assessed using the approved method.</w:t>
      </w:r>
    </w:p>
    <w:p>
      <w:pPr>
        <w:pStyle w:val="ListBullet"/>
      </w:pPr>
      <w:r>
        <w:t>Technical and commercial evidence supports the scores.</w:t>
      </w:r>
    </w:p>
    <w:p>
      <w:pPr>
        <w:pStyle w:val="ListBullet"/>
      </w:pPr>
      <w:r>
        <w:t>Delivery, commissioning, and service capabilities are assessed.</w:t>
      </w:r>
    </w:p>
    <w:p>
      <w:pPr>
        <w:pStyle w:val="ListBullet"/>
      </w:pPr>
      <w:r>
        <w:t>Lifecycle and obsolescence risks are considered where relevant.</w:t>
      </w:r>
    </w:p>
    <w:p>
      <w:pPr>
        <w:pStyle w:val="ListBullet"/>
      </w:pPr>
      <w:r>
        <w:t>Conflicts of interest and confidentiality requirements are managed.</w:t>
      </w:r>
    </w:p>
    <w:p>
      <w:pPr>
        <w:pStyle w:val="ListBullet"/>
      </w:pPr>
      <w:r>
        <w:t>Unresolved issues are explicitly recorded.</w:t>
      </w:r>
    </w:p>
    <w:p>
      <w:pPr>
        <w:pStyle w:val="ListBullet"/>
      </w:pPr>
      <w:r>
        <w:t>The recommendation is technically and commercially justified.</w:t>
      </w:r>
    </w:p>
    <w:p>
      <w:pPr>
        <w:pStyle w:val="Heading3"/>
      </w:pPr>
      <w:r>
        <w:t>Before purchase-order release</w:t>
      </w:r>
    </w:p>
    <w:p>
      <w:pPr>
        <w:pStyle w:val="ListBullet"/>
      </w:pPr>
      <w:r>
        <w:t>Selection approval is documented.</w:t>
      </w:r>
    </w:p>
    <w:p>
      <w:pPr>
        <w:pStyle w:val="ListBullet"/>
      </w:pPr>
      <w:r>
        <w:t>Final scope matches the accepted offer.</w:t>
      </w:r>
    </w:p>
    <w:p>
      <w:pPr>
        <w:pStyle w:val="ListBullet"/>
      </w:pPr>
      <w:r>
        <w:t>Price and commercial conditions are verified.</w:t>
      </w:r>
    </w:p>
    <w:p>
      <w:pPr>
        <w:pStyle w:val="ListBullet"/>
      </w:pPr>
      <w:r>
        <w:t>Technical deviations are formally resolved or approved.</w:t>
      </w:r>
    </w:p>
    <w:p>
      <w:pPr>
        <w:pStyle w:val="ListBullet"/>
      </w:pPr>
      <w:r>
        <w:t>Delivery and acceptance milestones are defined.</w:t>
      </w:r>
    </w:p>
    <w:p>
      <w:pPr>
        <w:pStyle w:val="ListBullet"/>
      </w:pPr>
      <w:r>
        <w:t>Warranty, support, and handover deliverables are included.</w:t>
      </w:r>
    </w:p>
    <w:p>
      <w:pPr>
        <w:pStyle w:val="ListBullet"/>
      </w:pPr>
      <w:r>
        <w:t>The purchase order has the required authorization.</w:t>
      </w:r>
    </w:p>
    <w:p>
      <w:pPr>
        <w:pStyle w:val="Heading2"/>
      </w:pPr>
      <w:r>
        <w:t>19. Interview questions and answers</w:t>
      </w:r>
    </w:p>
    <w:p>
      <w:r>
        <w:t>Q1. What is vendor selection?</w:t>
      </w:r>
    </w:p>
    <w:p>
      <w:r>
        <w:t>Vendor selection is the process of choosing the most suitable supplier using approved technical, commercial, delivery, quality, risk, and contractual criteria.</w:t>
      </w:r>
    </w:p>
    <w:p>
      <w:r>
        <w:t>Q2. Is the lowest bidder always selected?</w:t>
      </w:r>
    </w:p>
    <w:p>
      <w:r>
        <w:t>No. The outcome depends on the approved procurement method. The supplier must meet mandatory requirements, and the applicable method may consider evaluated cost, technical capability, lifecycle costs, or other defined criteria.</w:t>
      </w:r>
    </w:p>
    <w:p>
      <w:r>
        <w:t>Q3. What is the difference between vendor qualification and vendor selection?</w:t>
      </w:r>
    </w:p>
    <w:p>
      <w:r>
        <w:t>Qualification establishes whether a supplier is eligible and capable of participating. Selection determines which eligible supplier should be chosen for the specific procurement.</w:t>
      </w:r>
    </w:p>
    <w:p>
      <w:r>
        <w:t>Q4. Why is vendor selection important in PLC retrofits?</w:t>
      </w:r>
    </w:p>
    <w:p>
      <w:r>
        <w:t>It determines whether the selected supplier can migrate the control system, integrate existing equipment, manage downtime, validate functionality, and deliver maintainable documentation and support.</w:t>
      </w:r>
    </w:p>
    <w:p>
      <w:r>
        <w:t>Q5. What is a weighted evaluation matrix?</w:t>
      </w:r>
    </w:p>
    <w:p>
      <w:r>
        <w:t>It is a scoring method in which predefined criteria receive weights, and supplier scores are combined according to an approved formula.</w:t>
      </w:r>
    </w:p>
    <w:p>
      <w:r>
        <w:t>Q6. What is total cost of ownership?</w:t>
      </w:r>
    </w:p>
    <w:p>
      <w:r>
        <w:t>TCO estimates relevant costs over a defined operating period, including purchase, installation, engineering, maintenance, service, and other applicable lifecycle costs.</w:t>
      </w:r>
    </w:p>
    <w:p>
      <w:r>
        <w:t>Q7. What is the role of technical clarification in vendor selection?</w:t>
      </w:r>
    </w:p>
    <w:p>
      <w:r>
        <w:t>It resolves uncertainties in supplier offers so that compliance, scope, cost, and risk can be evaluated accurately and consistently.</w:t>
      </w:r>
    </w:p>
    <w:p>
      <w:r>
        <w:t>Q8. What documents support vendor selection?</w:t>
      </w:r>
    </w:p>
    <w:p>
      <w:r>
        <w:t>Typical records include the RFQ, quotations, qualification records, compliance matrix, clarification register, commercial comparison, risk assessment, recommendation report, and approval record.</w:t>
      </w:r>
    </w:p>
    <w:p>
      <w:r>
        <w:t>Q9. What should happen if the preferred vendor has a major unresolved deviation?</w:t>
      </w:r>
    </w:p>
    <w:p>
      <w:r>
        <w:t>The issue must be handled under the approved procurement rules. The organization should not proceed as though the requirement has been satisfied until the deviation is resolved or formally dealt with by the authorized process.</w:t>
      </w:r>
    </w:p>
    <w:p>
      <w:r>
        <w:t>Q10. What is the relationship between vendor selection and a purchase order?</w:t>
      </w:r>
    </w:p>
    <w:p>
      <w:r>
        <w:t>Vendor selection establishes the approved supplier decision. The purchase order formalizes the authorized purchase, including scope, price, delivery, acceptance, and contractual conditions.</w:t>
      </w:r>
    </w:p>
    <w:p>
      <w:pPr>
        <w:pStyle w:val="Heading2"/>
      </w:pPr>
      <w:r>
        <w:t>20. Key principles</w:t>
      </w:r>
    </w:p>
    <w:p>
      <w:pPr>
        <w:pStyle w:val="ListBullet"/>
      </w:pPr>
      <w:r>
        <w:t>Compliance before ranking: Establish eligibility against mandatory requirements.</w:t>
      </w:r>
    </w:p>
    <w:p>
      <w:pPr>
        <w:pStyle w:val="ListBullet"/>
      </w:pPr>
      <w:r>
        <w:t>Evidence before preference: Support decisions with documented technical and commercial information.</w:t>
      </w:r>
    </w:p>
    <w:p>
      <w:pPr>
        <w:pStyle w:val="ListBullet"/>
      </w:pPr>
      <w:r>
        <w:t>Consistent evaluation: Apply the approved method equally to competing suppliers.</w:t>
      </w:r>
    </w:p>
    <w:p>
      <w:pPr>
        <w:pStyle w:val="ListBullet"/>
      </w:pPr>
      <w:r>
        <w:t>Lifecycle thinking: Consider maintainability, obsolescence, support, and operating cost where relevant.</w:t>
      </w:r>
    </w:p>
    <w:p>
      <w:pPr>
        <w:pStyle w:val="ListBullet"/>
      </w:pPr>
      <w:r>
        <w:t>Controlled authorization: Obtain the required approvals before committing company funds.</w:t>
      </w:r>
    </w:p>
    <w:p>
      <w:pPr>
        <w:pStyle w:val="ListBullet"/>
      </w:pPr>
      <w:r>
        <w:t>Consistent handover: Ensure the purchase order reflects the selected and accepted offer.</w:t>
      </w:r>
    </w:p>
    <w:p>
      <w:r>
        <w:t>For an industrial automation engineer, strong vendor selection means choosing a supplier whose proposed solution can be integrated, commissioned, maintained, repaired, and supported throughout its service life, while remaining compliant with the procurement process.</w:t>
      </w:r>
    </w:p>
    <w:p>
      <w:pPr>
        <w:pStyle w:val="Heading2"/>
      </w:pPr>
      <w:r>
        <w:t>NEXT TOPIC</w:t>
      </w:r>
    </w:p>
    <w:p>
      <w:r>
        <w:rPr>
          <w:rFonts w:ascii="Consolas" w:hAnsi="Consolas"/>
          <w:color w:val="333333"/>
          <w:sz w:val="19"/>
          <w:shd w:val="clear" w:color="auto" w:fill="EFEFEF"/>
        </w:rPr>
        <w:t>02_PLAN_WISE_2026\02_INDUSTRY3_0\07_Lifecycle\03_Procurement\08_Purchase_Order - Purchase order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02_PLAN_WISE_2026\02_INDUSTRY3_0\07_Lifecycle\03_Procurement\07_Vendor_Selection - Vendor selection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