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02_PLAN_WISE_2026\02_INDUSTRY3_0\07_Lifecycle\03_Procurement\08_Purchase_Order - Purchase order</w:t>
      </w:r>
    </w:p>
    <w:p>
      <w:pPr>
        <w:pStyle w:val="Heading2"/>
      </w:pPr>
      <w:r>
        <w:t>1. What is a purchase order?</w:t>
      </w:r>
    </w:p>
    <w:p>
      <w:r>
        <w:t>A Purchase Order (PO) is a formal purchasing document issued by an authorized buyer to a supplier to define and authorize the purchase of specified goods, services, or both under stated commercial and contractual conditions.</w:t>
      </w:r>
    </w:p>
    <w:p>
      <w:r>
        <w:t>In industrial automation, a PO may cover PLC hardware, CNC components, control panels, sensors, drives, engineering services, machine retrofits, programming, installation, commissioning, and maintenance support.</w:t>
      </w:r>
    </w:p>
    <w:p>
      <w:r>
        <w:t>A purchase order typically establishes:</w:t>
      </w:r>
    </w:p>
    <w:p>
      <w:pPr>
        <w:pStyle w:val="ListBullet"/>
      </w:pPr>
      <w:r>
        <w:t>What must be supplied.</w:t>
      </w:r>
    </w:p>
    <w:p>
      <w:pPr>
        <w:pStyle w:val="ListBullet"/>
      </w:pPr>
      <w:r>
        <w:t>The quantity and specification of each item.</w:t>
      </w:r>
    </w:p>
    <w:p>
      <w:pPr>
        <w:pStyle w:val="ListBullet"/>
      </w:pPr>
      <w:r>
        <w:t>The agreed price and applicable taxes.</w:t>
      </w:r>
    </w:p>
    <w:p>
      <w:pPr>
        <w:pStyle w:val="ListBullet"/>
      </w:pPr>
      <w:r>
        <w:t>The delivery location and schedule.</w:t>
      </w:r>
    </w:p>
    <w:p>
      <w:pPr>
        <w:pStyle w:val="ListBullet"/>
      </w:pPr>
      <w:r>
        <w:t>The scope of services and engineering work.</w:t>
      </w:r>
    </w:p>
    <w:p>
      <w:pPr>
        <w:pStyle w:val="ListBullet"/>
      </w:pPr>
      <w:r>
        <w:t>Inspection, testing, and acceptance requirements.</w:t>
      </w:r>
    </w:p>
    <w:p>
      <w:pPr>
        <w:pStyle w:val="ListBullet"/>
      </w:pPr>
      <w:r>
        <w:t>Warranty and support obligations.</w:t>
      </w:r>
    </w:p>
    <w:p>
      <w:pPr>
        <w:pStyle w:val="ListBullet"/>
      </w:pPr>
      <w:r>
        <w:t>Payment terms.</w:t>
      </w:r>
    </w:p>
    <w:p>
      <w:pPr>
        <w:pStyle w:val="ListBullet"/>
      </w:pPr>
      <w:r>
        <w:t>Applicable contractual terms and referenced documents.</w:t>
      </w:r>
    </w:p>
    <w:p>
      <w:r>
        <w:t>The PO is a key link between procurement approval and supplier execution. A technically correct vendor selection can still result in a poor outcome if the PO omits critical requirements.</w:t>
      </w:r>
    </w:p>
    <w:p>
      <w:pPr>
        <w:pStyle w:val="Heading2"/>
      </w:pPr>
      <w:r>
        <w:t>2. Purpose of a purchase order</w:t>
      </w:r>
    </w:p>
    <w:p>
      <w:r>
        <w:t>A PO serves several purposes.</w:t>
      </w:r>
    </w:p>
    <w:p>
      <w:r>
        <w:t>Commercial authorization: Confirms that the purchase has been approved under the organization's delegated authority.</w:t>
      </w:r>
    </w:p>
    <w:p>
      <w:r>
        <w:t>Scope definition: Identifies the goods and services the supplier is expected to provide.</w:t>
      </w:r>
    </w:p>
    <w:p>
      <w:r>
        <w:t>Cost control: Establishes prices, quantities, taxes, and other agreed charges.</w:t>
      </w:r>
    </w:p>
    <w:p>
      <w:r>
        <w:t>Delivery control: Defines required dates, delivery locations, and milestones.</w:t>
      </w:r>
    </w:p>
    <w:p>
      <w:r>
        <w:t>Technical control: Connects the purchase to the approved specifications, drawings, BOM, and technical offer.</w:t>
      </w:r>
    </w:p>
    <w:p>
      <w:r>
        <w:t>Quality assurance: Defines applicable inspections, FAT, SAT, documentation, and acceptance requirements.</w:t>
      </w:r>
    </w:p>
    <w:p>
      <w:r>
        <w:t>Contractual control: Records or incorporates applicable terms and conditions.</w:t>
      </w:r>
    </w:p>
    <w:p>
      <w:r>
        <w:t>Auditability: Provides a traceable record for purchasing, stores, accounts, engineering, and management.</w:t>
      </w:r>
    </w:p>
    <w:p>
      <w:r>
        <w:t>A PO should be clear enough that the supplier, receiving team, engineering team, and accounts department can interpret their respective obligations without inventing missing details.</w:t>
      </w:r>
    </w:p>
    <w:p>
      <w:pPr>
        <w:pStyle w:val="Heading2"/>
      </w:pPr>
      <w:r>
        <w:t>3. Where the PO fits in the procurement lifecycle</w:t>
      </w:r>
    </w:p>
    <w:p>
      <w:pPr>
        <w:shd w:val="clear" w:color="auto" w:fill="F4F4F4"/>
        <w:spacing w:before="0" w:after="0" w:line="240" w:lineRule="auto"/>
        <w:ind w:left="216" w:right="216"/>
        <w:jc w:val="left"/>
      </w:pPr>
      <w:r>
        <w:rPr>
          <w:rFonts w:ascii="Consolas" w:hAnsi="Consolas"/>
          <w:color w:val="202020"/>
          <w:sz w:val="18"/>
        </w:rPr>
        <w:t>Customer / Plant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and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and Bid Receipt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and Commercial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Clarification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Vendor Selection Recommendation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 Review and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 Release to Supplier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Acknowledgment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 Manufacturing / Delivery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Receipt and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 Commissioning /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Invoice Verification and Payment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Closure</w:t>
      </w:r>
    </w:p>
    <w:p/>
    <w:p>
      <w:r>
        <w:t>The precise sequence depends on the company's procurement and ERP procedures. Some organizations use separate approvals for capital expenditure, technical specifications, purchase requisitions, and final PO release.</w:t>
      </w:r>
    </w:p>
    <w:p>
      <w:pPr>
        <w:pStyle w:val="Heading2"/>
      </w:pPr>
      <w:r>
        <w:t>4. Purchase requisition versus purchase order</w:t>
      </w:r>
    </w:p>
    <w:p>
      <w:r>
        <w:t>A Purchase Requisition (PR) is an internal request to procure goods or services. A Purchase Order (PO) is the authorized purchasing document issued to the supplier.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Purchase requisition</w:t>
            </w:r>
          </w:p>
        </w:tc>
        <w:tc>
          <w:tcPr>
            <w:tcW w:type="dxa" w:w="3600"/>
            <w:shd w:val="clear" w:color="auto" w:fill="EEF2F7"/>
          </w:tcPr>
          <w:p>
            <w:pPr>
              <w:spacing w:after="0" w:before="0" w:line="240" w:lineRule="auto"/>
              <w:jc w:val="left"/>
            </w:pPr>
            <w:r>
              <w:rPr>
                <w:b/>
                <w:color w:val="1A2E4A"/>
              </w:rPr>
              <w:t>Purchase order</w:t>
            </w:r>
          </w:p>
        </w:tc>
      </w:tr>
      <w:tr>
        <w:tc>
          <w:tcPr>
            <w:tcW w:type="dxa" w:w="3600"/>
          </w:tcPr>
          <w:p>
            <w:pPr>
              <w:spacing w:after="0" w:before="0" w:line="240" w:lineRule="auto"/>
              <w:jc w:val="left"/>
            </w:pPr>
            <w:r>
              <w:t>Origin</w:t>
            </w:r>
          </w:p>
        </w:tc>
        <w:tc>
          <w:tcPr>
            <w:tcW w:type="dxa" w:w="3600"/>
          </w:tcPr>
          <w:p>
            <w:pPr>
              <w:spacing w:after="0" w:before="0" w:line="240" w:lineRule="auto"/>
              <w:jc w:val="left"/>
            </w:pPr>
            <w:r>
              <w:t>Internal department or requester</w:t>
            </w:r>
          </w:p>
        </w:tc>
        <w:tc>
          <w:tcPr>
            <w:tcW w:type="dxa" w:w="3600"/>
          </w:tcPr>
          <w:p>
            <w:pPr>
              <w:spacing w:after="0" w:before="0" w:line="240" w:lineRule="auto"/>
              <w:jc w:val="left"/>
            </w:pPr>
            <w:r>
              <w:t>Authorized purchasing function</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Request procurement</w:t>
            </w:r>
          </w:p>
        </w:tc>
        <w:tc>
          <w:tcPr>
            <w:tcW w:type="dxa" w:w="3600"/>
          </w:tcPr>
          <w:p>
            <w:pPr>
              <w:spacing w:after="0" w:before="0" w:line="240" w:lineRule="auto"/>
              <w:jc w:val="left"/>
            </w:pPr>
            <w:r>
              <w:t>Place the approved order</w:t>
            </w:r>
          </w:p>
        </w:tc>
      </w:tr>
      <w:tr>
        <w:tc>
          <w:tcPr>
            <w:tcW w:type="dxa" w:w="3600"/>
          </w:tcPr>
          <w:p>
            <w:pPr>
              <w:spacing w:after="0" w:before="0" w:line="240" w:lineRule="auto"/>
              <w:jc w:val="left"/>
            </w:pPr>
            <w:r>
              <w:t>Recipient</w:t>
            </w:r>
          </w:p>
        </w:tc>
        <w:tc>
          <w:tcPr>
            <w:tcW w:type="dxa" w:w="3600"/>
          </w:tcPr>
          <w:p>
            <w:pPr>
              <w:spacing w:after="0" w:before="0" w:line="240" w:lineRule="auto"/>
              <w:jc w:val="left"/>
            </w:pPr>
            <w:r>
              <w:t>Internal approval workflow</w:t>
            </w:r>
          </w:p>
        </w:tc>
        <w:tc>
          <w:tcPr>
            <w:tcW w:type="dxa" w:w="3600"/>
          </w:tcPr>
          <w:p>
            <w:pPr>
              <w:spacing w:after="0" w:before="0" w:line="240" w:lineRule="auto"/>
              <w:jc w:val="left"/>
            </w:pPr>
            <w:r>
              <w:t>Supplier</w:t>
            </w:r>
          </w:p>
        </w:tc>
      </w:tr>
      <w:tr>
        <w:tc>
          <w:tcPr>
            <w:tcW w:type="dxa" w:w="3600"/>
          </w:tcPr>
          <w:p>
            <w:pPr>
              <w:spacing w:after="0" w:before="0" w:line="240" w:lineRule="auto"/>
              <w:jc w:val="left"/>
            </w:pPr>
            <w:r>
              <w:t>Typical contents</w:t>
            </w:r>
          </w:p>
        </w:tc>
        <w:tc>
          <w:tcPr>
            <w:tcW w:type="dxa" w:w="3600"/>
          </w:tcPr>
          <w:p>
            <w:pPr>
              <w:spacing w:after="0" w:before="0" w:line="240" w:lineRule="auto"/>
              <w:jc w:val="left"/>
            </w:pPr>
            <w:r>
              <w:t>Requirement, quantity, cost estimate, need date</w:t>
            </w:r>
          </w:p>
        </w:tc>
        <w:tc>
          <w:tcPr>
            <w:tcW w:type="dxa" w:w="3600"/>
          </w:tcPr>
          <w:p>
            <w:pPr>
              <w:spacing w:after="0" w:before="0" w:line="240" w:lineRule="auto"/>
              <w:jc w:val="left"/>
            </w:pPr>
            <w:r>
              <w:t>Supplier, price, scope, delivery, terms</w:t>
            </w:r>
          </w:p>
        </w:tc>
      </w:tr>
      <w:tr>
        <w:tc>
          <w:tcPr>
            <w:tcW w:type="dxa" w:w="3600"/>
          </w:tcPr>
          <w:p>
            <w:pPr>
              <w:spacing w:after="0" w:before="0" w:line="240" w:lineRule="auto"/>
              <w:jc w:val="left"/>
            </w:pPr>
            <w:r>
              <w:t>Supplier commitment</w:t>
            </w:r>
          </w:p>
        </w:tc>
        <w:tc>
          <w:tcPr>
            <w:tcW w:type="dxa" w:w="3600"/>
          </w:tcPr>
          <w:p>
            <w:pPr>
              <w:spacing w:after="0" w:before="0" w:line="240" w:lineRule="auto"/>
              <w:jc w:val="left"/>
            </w:pPr>
            <w:r>
              <w:t>Usually none by itself</w:t>
            </w:r>
          </w:p>
        </w:tc>
        <w:tc>
          <w:tcPr>
            <w:tcW w:type="dxa" w:w="3600"/>
          </w:tcPr>
          <w:p>
            <w:pPr>
              <w:spacing w:after="0" w:before="0" w:line="240" w:lineRule="auto"/>
              <w:jc w:val="left"/>
            </w:pPr>
            <w:r>
              <w:t>Establishes the order under applicable terms</w:t>
            </w:r>
          </w:p>
        </w:tc>
      </w:tr>
      <w:tr>
        <w:tc>
          <w:tcPr>
            <w:tcW w:type="dxa" w:w="3600"/>
          </w:tcPr>
          <w:p>
            <w:pPr>
              <w:spacing w:after="0" w:before="0" w:line="240" w:lineRule="auto"/>
              <w:jc w:val="left"/>
            </w:pPr>
            <w:r>
              <w:t>Typical status</w:t>
            </w:r>
          </w:p>
        </w:tc>
        <w:tc>
          <w:tcPr>
            <w:tcW w:type="dxa" w:w="3600"/>
          </w:tcPr>
          <w:p>
            <w:pPr>
              <w:spacing w:after="0" w:before="0" w:line="240" w:lineRule="auto"/>
              <w:jc w:val="left"/>
            </w:pPr>
            <w:r>
              <w:t>Created, submitted, approved, rejected</w:t>
            </w:r>
          </w:p>
        </w:tc>
        <w:tc>
          <w:tcPr>
            <w:tcW w:type="dxa" w:w="3600"/>
          </w:tcPr>
          <w:p>
            <w:pPr>
              <w:spacing w:after="0" w:before="0" w:line="240" w:lineRule="auto"/>
              <w:jc w:val="left"/>
            </w:pPr>
            <w:r>
              <w:t>Draft, approved, released, acknowledged, closed</w:t>
            </w:r>
          </w:p>
        </w:tc>
      </w:tr>
    </w:tbl>
    <w:p/>
    <w:p>
      <w:r>
        <w:t>A PR approval does not necessarily authorize the supplier to begin work. The supplier should proceed according to the actual contractual authorization and applicable company procedure.</w:t>
      </w:r>
    </w:p>
    <w:p>
      <w:pPr>
        <w:pStyle w:val="Heading2"/>
      </w:pPr>
      <w:r>
        <w:t>5. Inputs required before creating a PO</w:t>
      </w:r>
    </w:p>
    <w:p>
      <w:r>
        <w:t>A reliable PO should be prepared using approved source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Approved purchase requisition</w:t>
            </w:r>
          </w:p>
        </w:tc>
        <w:tc>
          <w:tcPr>
            <w:tcW w:type="dxa" w:w="5400"/>
          </w:tcPr>
          <w:p>
            <w:pPr>
              <w:spacing w:after="0" w:before="0" w:line="240" w:lineRule="auto"/>
              <w:jc w:val="left"/>
            </w:pPr>
            <w:r>
              <w:t>Confirms the internal demand</w:t>
            </w:r>
          </w:p>
        </w:tc>
      </w:tr>
      <w:tr>
        <w:tc>
          <w:tcPr>
            <w:tcW w:type="dxa" w:w="5400"/>
          </w:tcPr>
          <w:p>
            <w:pPr>
              <w:spacing w:after="0" w:before="0" w:line="240" w:lineRule="auto"/>
              <w:jc w:val="left"/>
            </w:pPr>
            <w:r>
              <w:t>Vendor-selection approval</w:t>
            </w:r>
          </w:p>
        </w:tc>
        <w:tc>
          <w:tcPr>
            <w:tcW w:type="dxa" w:w="5400"/>
          </w:tcPr>
          <w:p>
            <w:pPr>
              <w:spacing w:after="0" w:before="0" w:line="240" w:lineRule="auto"/>
              <w:jc w:val="left"/>
            </w:pPr>
            <w:r>
              <w:t>Identifies the authorized supplier</w:t>
            </w:r>
          </w:p>
        </w:tc>
      </w:tr>
      <w:tr>
        <w:tc>
          <w:tcPr>
            <w:tcW w:type="dxa" w:w="5400"/>
          </w:tcPr>
          <w:p>
            <w:pPr>
              <w:spacing w:after="0" w:before="0" w:line="240" w:lineRule="auto"/>
              <w:jc w:val="left"/>
            </w:pPr>
            <w:r>
              <w:t>Final quotation</w:t>
            </w:r>
          </w:p>
        </w:tc>
        <w:tc>
          <w:tcPr>
            <w:tcW w:type="dxa" w:w="5400"/>
          </w:tcPr>
          <w:p>
            <w:pPr>
              <w:spacing w:after="0" w:before="0" w:line="240" w:lineRule="auto"/>
              <w:jc w:val="left"/>
            </w:pPr>
            <w:r>
              <w:t>Provides the supplier's commercial offer</w:t>
            </w:r>
          </w:p>
        </w:tc>
      </w:tr>
      <w:tr>
        <w:tc>
          <w:tcPr>
            <w:tcW w:type="dxa" w:w="5400"/>
          </w:tcPr>
          <w:p>
            <w:pPr>
              <w:spacing w:after="0" w:before="0" w:line="240" w:lineRule="auto"/>
              <w:jc w:val="left"/>
            </w:pPr>
            <w:r>
              <w:t>Approved technical specification</w:t>
            </w:r>
          </w:p>
        </w:tc>
        <w:tc>
          <w:tcPr>
            <w:tcW w:type="dxa" w:w="5400"/>
          </w:tcPr>
          <w:p>
            <w:pPr>
              <w:spacing w:after="0" w:before="0" w:line="240" w:lineRule="auto"/>
              <w:jc w:val="left"/>
            </w:pPr>
            <w:r>
              <w:t>Defines technical requirements</w:t>
            </w:r>
          </w:p>
        </w:tc>
      </w:tr>
      <w:tr>
        <w:tc>
          <w:tcPr>
            <w:tcW w:type="dxa" w:w="5400"/>
          </w:tcPr>
          <w:p>
            <w:pPr>
              <w:spacing w:after="0" w:before="0" w:line="240" w:lineRule="auto"/>
              <w:jc w:val="left"/>
            </w:pPr>
            <w:r>
              <w:t>Final scope of supply</w:t>
            </w:r>
          </w:p>
        </w:tc>
        <w:tc>
          <w:tcPr>
            <w:tcW w:type="dxa" w:w="5400"/>
          </w:tcPr>
          <w:p>
            <w:pPr>
              <w:spacing w:after="0" w:before="0" w:line="240" w:lineRule="auto"/>
              <w:jc w:val="left"/>
            </w:pPr>
            <w:r>
              <w:t>Identifies included goods and services</w:t>
            </w:r>
          </w:p>
        </w:tc>
      </w:tr>
      <w:tr>
        <w:tc>
          <w:tcPr>
            <w:tcW w:type="dxa" w:w="5400"/>
          </w:tcPr>
          <w:p>
            <w:pPr>
              <w:spacing w:after="0" w:before="0" w:line="240" w:lineRule="auto"/>
              <w:jc w:val="left"/>
            </w:pPr>
            <w:r>
              <w:t>Technical clarification register</w:t>
            </w:r>
          </w:p>
        </w:tc>
        <w:tc>
          <w:tcPr>
            <w:tcW w:type="dxa" w:w="5400"/>
          </w:tcPr>
          <w:p>
            <w:pPr>
              <w:spacing w:after="0" w:before="0" w:line="240" w:lineRule="auto"/>
              <w:jc w:val="left"/>
            </w:pPr>
            <w:r>
              <w:t>Records resolved technical uncertainties</w:t>
            </w:r>
          </w:p>
        </w:tc>
      </w:tr>
      <w:tr>
        <w:tc>
          <w:tcPr>
            <w:tcW w:type="dxa" w:w="5400"/>
          </w:tcPr>
          <w:p>
            <w:pPr>
              <w:spacing w:after="0" w:before="0" w:line="240" w:lineRule="auto"/>
              <w:jc w:val="left"/>
            </w:pPr>
            <w:r>
              <w:t>Deviation approvals</w:t>
            </w:r>
          </w:p>
        </w:tc>
        <w:tc>
          <w:tcPr>
            <w:tcW w:type="dxa" w:w="5400"/>
          </w:tcPr>
          <w:p>
            <w:pPr>
              <w:spacing w:after="0" w:before="0" w:line="240" w:lineRule="auto"/>
              <w:jc w:val="left"/>
            </w:pPr>
            <w:r>
              <w:t>Identifies formally accepted departures</w:t>
            </w:r>
          </w:p>
        </w:tc>
      </w:tr>
      <w:tr>
        <w:tc>
          <w:tcPr>
            <w:tcW w:type="dxa" w:w="5400"/>
          </w:tcPr>
          <w:p>
            <w:pPr>
              <w:spacing w:after="0" w:before="0" w:line="240" w:lineRule="auto"/>
              <w:jc w:val="left"/>
            </w:pPr>
            <w:r>
              <w:t>Commercial comparison</w:t>
            </w:r>
          </w:p>
        </w:tc>
        <w:tc>
          <w:tcPr>
            <w:tcW w:type="dxa" w:w="5400"/>
          </w:tcPr>
          <w:p>
            <w:pPr>
              <w:spacing w:after="0" w:before="0" w:line="240" w:lineRule="auto"/>
              <w:jc w:val="left"/>
            </w:pPr>
            <w:r>
              <w:t>Supports price and commercial verification</w:t>
            </w:r>
          </w:p>
        </w:tc>
      </w:tr>
      <w:tr>
        <w:tc>
          <w:tcPr>
            <w:tcW w:type="dxa" w:w="5400"/>
          </w:tcPr>
          <w:p>
            <w:pPr>
              <w:spacing w:after="0" w:before="0" w:line="240" w:lineRule="auto"/>
              <w:jc w:val="left"/>
            </w:pPr>
            <w:r>
              <w:t>Budget approval</w:t>
            </w:r>
          </w:p>
        </w:tc>
        <w:tc>
          <w:tcPr>
            <w:tcW w:type="dxa" w:w="5400"/>
          </w:tcPr>
          <w:p>
            <w:pPr>
              <w:spacing w:after="0" w:before="0" w:line="240" w:lineRule="auto"/>
              <w:jc w:val="left"/>
            </w:pPr>
            <w:r>
              <w:t>Confirms financial authorization where required</w:t>
            </w:r>
          </w:p>
        </w:tc>
      </w:tr>
      <w:tr>
        <w:tc>
          <w:tcPr>
            <w:tcW w:type="dxa" w:w="5400"/>
          </w:tcPr>
          <w:p>
            <w:pPr>
              <w:spacing w:after="0" w:before="0" w:line="240" w:lineRule="auto"/>
              <w:jc w:val="left"/>
            </w:pPr>
            <w:r>
              <w:t>Delivery plan</w:t>
            </w:r>
          </w:p>
        </w:tc>
        <w:tc>
          <w:tcPr>
            <w:tcW w:type="dxa" w:w="5400"/>
          </w:tcPr>
          <w:p>
            <w:pPr>
              <w:spacing w:after="0" w:before="0" w:line="240" w:lineRule="auto"/>
              <w:jc w:val="left"/>
            </w:pPr>
            <w:r>
              <w:t>Establishes required delivery and implementation milestones</w:t>
            </w:r>
          </w:p>
        </w:tc>
      </w:tr>
      <w:tr>
        <w:tc>
          <w:tcPr>
            <w:tcW w:type="dxa" w:w="5400"/>
          </w:tcPr>
          <w:p>
            <w:pPr>
              <w:spacing w:after="0" w:before="0" w:line="240" w:lineRule="auto"/>
              <w:jc w:val="left"/>
            </w:pPr>
            <w:r>
              <w:t>Contract terms</w:t>
            </w:r>
          </w:p>
        </w:tc>
        <w:tc>
          <w:tcPr>
            <w:tcW w:type="dxa" w:w="5400"/>
          </w:tcPr>
          <w:p>
            <w:pPr>
              <w:spacing w:after="0" w:before="0" w:line="240" w:lineRule="auto"/>
              <w:jc w:val="left"/>
            </w:pPr>
            <w:r>
              <w:t>Defines applicable legal and commercial conditions</w:t>
            </w:r>
          </w:p>
        </w:tc>
      </w:tr>
      <w:tr>
        <w:tc>
          <w:tcPr>
            <w:tcW w:type="dxa" w:w="5400"/>
          </w:tcPr>
          <w:p>
            <w:pPr>
              <w:spacing w:after="0" w:before="0" w:line="240" w:lineRule="auto"/>
              <w:jc w:val="left"/>
            </w:pPr>
            <w:r>
              <w:t>Tax and supplier master data</w:t>
            </w:r>
          </w:p>
        </w:tc>
        <w:tc>
          <w:tcPr>
            <w:tcW w:type="dxa" w:w="5400"/>
          </w:tcPr>
          <w:p>
            <w:pPr>
              <w:spacing w:after="0" w:before="0" w:line="240" w:lineRule="auto"/>
              <w:jc w:val="left"/>
            </w:pPr>
            <w:r>
              <w:t>Supports accurate purchasing and accounting</w:t>
            </w:r>
          </w:p>
        </w:tc>
      </w:tr>
    </w:tbl>
    <w:p/>
    <w:p>
      <w:r>
        <w:t>Before creating the PO, reconcile the selected quotation against the approved evaluation and any permitted changes made during negotiation.</w:t>
      </w:r>
    </w:p>
    <w:p>
      <w:pPr>
        <w:pStyle w:val="Heading2"/>
      </w:pPr>
      <w:r>
        <w:t>6. Main sections of a purchase order</w:t>
      </w:r>
    </w:p>
    <w:p>
      <w:r>
        <w:t>A PO generally contains header information, line-item details, delivery and payment terms, technical attachments, and authorization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Typical information</w:t>
            </w:r>
          </w:p>
        </w:tc>
      </w:tr>
      <w:tr>
        <w:tc>
          <w:tcPr>
            <w:tcW w:type="dxa" w:w="5400"/>
          </w:tcPr>
          <w:p>
            <w:pPr>
              <w:spacing w:after="0" w:before="0" w:line="240" w:lineRule="auto"/>
              <w:jc w:val="left"/>
            </w:pPr>
            <w:r>
              <w:t>PO header</w:t>
            </w:r>
          </w:p>
        </w:tc>
        <w:tc>
          <w:tcPr>
            <w:tcW w:type="dxa" w:w="5400"/>
          </w:tcPr>
          <w:p>
            <w:pPr>
              <w:spacing w:after="0" w:before="0" w:line="240" w:lineRule="auto"/>
              <w:jc w:val="left"/>
            </w:pPr>
            <w:r>
              <w:t>PO number, date, revision, purchasing organization</w:t>
            </w:r>
          </w:p>
        </w:tc>
      </w:tr>
      <w:tr>
        <w:tc>
          <w:tcPr>
            <w:tcW w:type="dxa" w:w="5400"/>
          </w:tcPr>
          <w:p>
            <w:pPr>
              <w:spacing w:after="0" w:before="0" w:line="240" w:lineRule="auto"/>
              <w:jc w:val="left"/>
            </w:pPr>
            <w:r>
              <w:t>Buyer details</w:t>
            </w:r>
          </w:p>
        </w:tc>
        <w:tc>
          <w:tcPr>
            <w:tcW w:type="dxa" w:w="5400"/>
          </w:tcPr>
          <w:p>
            <w:pPr>
              <w:spacing w:after="0" w:before="0" w:line="240" w:lineRule="auto"/>
              <w:jc w:val="left"/>
            </w:pPr>
            <w:r>
              <w:t>Company, plant, department, contact</w:t>
            </w:r>
          </w:p>
        </w:tc>
      </w:tr>
      <w:tr>
        <w:tc>
          <w:tcPr>
            <w:tcW w:type="dxa" w:w="5400"/>
          </w:tcPr>
          <w:p>
            <w:pPr>
              <w:spacing w:after="0" w:before="0" w:line="240" w:lineRule="auto"/>
              <w:jc w:val="left"/>
            </w:pPr>
            <w:r>
              <w:t>Supplier details</w:t>
            </w:r>
          </w:p>
        </w:tc>
        <w:tc>
          <w:tcPr>
            <w:tcW w:type="dxa" w:w="5400"/>
          </w:tcPr>
          <w:p>
            <w:pPr>
              <w:spacing w:after="0" w:before="0" w:line="240" w:lineRule="auto"/>
              <w:jc w:val="left"/>
            </w:pPr>
            <w:r>
              <w:t>Legal name, address, supplier code, tax details</w:t>
            </w:r>
          </w:p>
        </w:tc>
      </w:tr>
      <w:tr>
        <w:tc>
          <w:tcPr>
            <w:tcW w:type="dxa" w:w="5400"/>
          </w:tcPr>
          <w:p>
            <w:pPr>
              <w:spacing w:after="0" w:before="0" w:line="240" w:lineRule="auto"/>
              <w:jc w:val="left"/>
            </w:pPr>
            <w:r>
              <w:t>Reference details</w:t>
            </w:r>
          </w:p>
        </w:tc>
        <w:tc>
          <w:tcPr>
            <w:tcW w:type="dxa" w:w="5400"/>
          </w:tcPr>
          <w:p>
            <w:pPr>
              <w:spacing w:after="0" w:before="0" w:line="240" w:lineRule="auto"/>
              <w:jc w:val="left"/>
            </w:pPr>
            <w:r>
              <w:t>PR number, RFQ number, quotation number, project</w:t>
            </w:r>
          </w:p>
        </w:tc>
      </w:tr>
      <w:tr>
        <w:tc>
          <w:tcPr>
            <w:tcW w:type="dxa" w:w="5400"/>
          </w:tcPr>
          <w:p>
            <w:pPr>
              <w:spacing w:after="0" w:before="0" w:line="240" w:lineRule="auto"/>
              <w:jc w:val="left"/>
            </w:pPr>
            <w:r>
              <w:t>Item details</w:t>
            </w:r>
          </w:p>
        </w:tc>
        <w:tc>
          <w:tcPr>
            <w:tcW w:type="dxa" w:w="5400"/>
          </w:tcPr>
          <w:p>
            <w:pPr>
              <w:spacing w:after="0" w:before="0" w:line="240" w:lineRule="auto"/>
              <w:jc w:val="left"/>
            </w:pPr>
            <w:r>
              <w:t>Item number, description, model, quantity, unit</w:t>
            </w:r>
          </w:p>
        </w:tc>
      </w:tr>
      <w:tr>
        <w:tc>
          <w:tcPr>
            <w:tcW w:type="dxa" w:w="5400"/>
          </w:tcPr>
          <w:p>
            <w:pPr>
              <w:spacing w:after="0" w:before="0" w:line="240" w:lineRule="auto"/>
              <w:jc w:val="left"/>
            </w:pPr>
            <w:r>
              <w:t>Pricing</w:t>
            </w:r>
          </w:p>
        </w:tc>
        <w:tc>
          <w:tcPr>
            <w:tcW w:type="dxa" w:w="5400"/>
          </w:tcPr>
          <w:p>
            <w:pPr>
              <w:spacing w:after="0" w:before="0" w:line="240" w:lineRule="auto"/>
              <w:jc w:val="left"/>
            </w:pPr>
            <w:r>
              <w:t>Unit price, line total, discounts, currency</w:t>
            </w:r>
          </w:p>
        </w:tc>
      </w:tr>
      <w:tr>
        <w:tc>
          <w:tcPr>
            <w:tcW w:type="dxa" w:w="5400"/>
          </w:tcPr>
          <w:p>
            <w:pPr>
              <w:spacing w:after="0" w:before="0" w:line="240" w:lineRule="auto"/>
              <w:jc w:val="left"/>
            </w:pPr>
            <w:r>
              <w:t>Taxes and charges</w:t>
            </w:r>
          </w:p>
        </w:tc>
        <w:tc>
          <w:tcPr>
            <w:tcW w:type="dxa" w:w="5400"/>
          </w:tcPr>
          <w:p>
            <w:pPr>
              <w:spacing w:after="0" w:before="0" w:line="240" w:lineRule="auto"/>
              <w:jc w:val="left"/>
            </w:pPr>
            <w:r>
              <w:t>Applicable tax, freight, insurance, other charges</w:t>
            </w:r>
          </w:p>
        </w:tc>
      </w:tr>
      <w:tr>
        <w:tc>
          <w:tcPr>
            <w:tcW w:type="dxa" w:w="5400"/>
          </w:tcPr>
          <w:p>
            <w:pPr>
              <w:spacing w:after="0" w:before="0" w:line="240" w:lineRule="auto"/>
              <w:jc w:val="left"/>
            </w:pPr>
            <w:r>
              <w:t>Delivery</w:t>
            </w:r>
          </w:p>
        </w:tc>
        <w:tc>
          <w:tcPr>
            <w:tcW w:type="dxa" w:w="5400"/>
          </w:tcPr>
          <w:p>
            <w:pPr>
              <w:spacing w:after="0" w:before="0" w:line="240" w:lineRule="auto"/>
              <w:jc w:val="left"/>
            </w:pPr>
            <w:r>
              <w:t>Required date, location, shipping and unloading requirements</w:t>
            </w:r>
          </w:p>
        </w:tc>
      </w:tr>
      <w:tr>
        <w:tc>
          <w:tcPr>
            <w:tcW w:type="dxa" w:w="5400"/>
          </w:tcPr>
          <w:p>
            <w:pPr>
              <w:spacing w:after="0" w:before="0" w:line="240" w:lineRule="auto"/>
              <w:jc w:val="left"/>
            </w:pPr>
            <w:r>
              <w:t>Technical requirements</w:t>
            </w:r>
          </w:p>
        </w:tc>
        <w:tc>
          <w:tcPr>
            <w:tcW w:type="dxa" w:w="5400"/>
          </w:tcPr>
          <w:p>
            <w:pPr>
              <w:spacing w:after="0" w:before="0" w:line="240" w:lineRule="auto"/>
              <w:jc w:val="left"/>
            </w:pPr>
            <w:r>
              <w:t>Specification, drawing, BOM, approved configuration</w:t>
            </w:r>
          </w:p>
        </w:tc>
      </w:tr>
      <w:tr>
        <w:tc>
          <w:tcPr>
            <w:tcW w:type="dxa" w:w="5400"/>
          </w:tcPr>
          <w:p>
            <w:pPr>
              <w:spacing w:after="0" w:before="0" w:line="240" w:lineRule="auto"/>
              <w:jc w:val="left"/>
            </w:pPr>
            <w:r>
              <w:t>Service scope</w:t>
            </w:r>
          </w:p>
        </w:tc>
        <w:tc>
          <w:tcPr>
            <w:tcW w:type="dxa" w:w="5400"/>
          </w:tcPr>
          <w:p>
            <w:pPr>
              <w:spacing w:after="0" w:before="0" w:line="240" w:lineRule="auto"/>
              <w:jc w:val="left"/>
            </w:pPr>
            <w:r>
              <w:t>Engineering, installation, commissioning, training</w:t>
            </w:r>
          </w:p>
        </w:tc>
      </w:tr>
      <w:tr>
        <w:tc>
          <w:tcPr>
            <w:tcW w:type="dxa" w:w="5400"/>
          </w:tcPr>
          <w:p>
            <w:pPr>
              <w:spacing w:after="0" w:before="0" w:line="240" w:lineRule="auto"/>
              <w:jc w:val="left"/>
            </w:pPr>
            <w:r>
              <w:t>Quality requirements</w:t>
            </w:r>
          </w:p>
        </w:tc>
        <w:tc>
          <w:tcPr>
            <w:tcW w:type="dxa" w:w="5400"/>
          </w:tcPr>
          <w:p>
            <w:pPr>
              <w:spacing w:after="0" w:before="0" w:line="240" w:lineRule="auto"/>
              <w:jc w:val="left"/>
            </w:pPr>
            <w:r>
              <w:t>Inspection, FAT, SAT, certificates, test records</w:t>
            </w:r>
          </w:p>
        </w:tc>
      </w:tr>
      <w:tr>
        <w:tc>
          <w:tcPr>
            <w:tcW w:type="dxa" w:w="5400"/>
          </w:tcPr>
          <w:p>
            <w:pPr>
              <w:spacing w:after="0" w:before="0" w:line="240" w:lineRule="auto"/>
              <w:jc w:val="left"/>
            </w:pPr>
            <w:r>
              <w:t>Warranty</w:t>
            </w:r>
          </w:p>
        </w:tc>
        <w:tc>
          <w:tcPr>
            <w:tcW w:type="dxa" w:w="5400"/>
          </w:tcPr>
          <w:p>
            <w:pPr>
              <w:spacing w:after="0" w:before="0" w:line="240" w:lineRule="auto"/>
              <w:jc w:val="left"/>
            </w:pPr>
            <w:r>
              <w:t>Duration, commencement, coverage, exclusions</w:t>
            </w:r>
          </w:p>
        </w:tc>
      </w:tr>
      <w:tr>
        <w:tc>
          <w:tcPr>
            <w:tcW w:type="dxa" w:w="5400"/>
          </w:tcPr>
          <w:p>
            <w:pPr>
              <w:spacing w:after="0" w:before="0" w:line="240" w:lineRule="auto"/>
              <w:jc w:val="left"/>
            </w:pPr>
            <w:r>
              <w:t>Payment terms</w:t>
            </w:r>
          </w:p>
        </w:tc>
        <w:tc>
          <w:tcPr>
            <w:tcW w:type="dxa" w:w="5400"/>
          </w:tcPr>
          <w:p>
            <w:pPr>
              <w:spacing w:after="0" w:before="0" w:line="240" w:lineRule="auto"/>
              <w:jc w:val="left"/>
            </w:pPr>
            <w:r>
              <w:t>Milestones, invoice conditions, payment schedule</w:t>
            </w:r>
          </w:p>
        </w:tc>
      </w:tr>
      <w:tr>
        <w:tc>
          <w:tcPr>
            <w:tcW w:type="dxa" w:w="5400"/>
          </w:tcPr>
          <w:p>
            <w:pPr>
              <w:spacing w:after="0" w:before="0" w:line="240" w:lineRule="auto"/>
              <w:jc w:val="left"/>
            </w:pPr>
            <w:r>
              <w:t>Contractual terms</w:t>
            </w:r>
          </w:p>
        </w:tc>
        <w:tc>
          <w:tcPr>
            <w:tcW w:type="dxa" w:w="5400"/>
          </w:tcPr>
          <w:p>
            <w:pPr>
              <w:spacing w:after="0" w:before="0" w:line="240" w:lineRule="auto"/>
              <w:jc w:val="left"/>
            </w:pPr>
            <w:r>
              <w:t>Applicable terms, liability, changes, cancellation</w:t>
            </w:r>
          </w:p>
        </w:tc>
      </w:tr>
      <w:tr>
        <w:tc>
          <w:tcPr>
            <w:tcW w:type="dxa" w:w="5400"/>
          </w:tcPr>
          <w:p>
            <w:pPr>
              <w:spacing w:after="0" w:before="0" w:line="240" w:lineRule="auto"/>
              <w:jc w:val="left"/>
            </w:pPr>
            <w:r>
              <w:t>Attachments</w:t>
            </w:r>
          </w:p>
        </w:tc>
        <w:tc>
          <w:tcPr>
            <w:tcW w:type="dxa" w:w="5400"/>
          </w:tcPr>
          <w:p>
            <w:pPr>
              <w:spacing w:after="0" w:before="0" w:line="240" w:lineRule="auto"/>
              <w:jc w:val="left"/>
            </w:pPr>
            <w:r>
              <w:t>Technical annexures, schedules, drawings, approved deviations</w:t>
            </w:r>
          </w:p>
        </w:tc>
      </w:tr>
      <w:tr>
        <w:tc>
          <w:tcPr>
            <w:tcW w:type="dxa" w:w="5400"/>
          </w:tcPr>
          <w:p>
            <w:pPr>
              <w:spacing w:after="0" w:before="0" w:line="240" w:lineRule="auto"/>
              <w:jc w:val="left"/>
            </w:pPr>
            <w:r>
              <w:t>Approvals</w:t>
            </w:r>
          </w:p>
        </w:tc>
        <w:tc>
          <w:tcPr>
            <w:tcW w:type="dxa" w:w="5400"/>
          </w:tcPr>
          <w:p>
            <w:pPr>
              <w:spacing w:after="0" w:before="0" w:line="240" w:lineRule="auto"/>
              <w:jc w:val="left"/>
            </w:pPr>
            <w:r>
              <w:t>Required authorizations and release status</w:t>
            </w:r>
          </w:p>
        </w:tc>
      </w:tr>
    </w:tbl>
    <w:p/>
    <w:p>
      <w:r>
        <w:t>The exact format depends on the organization's ERP system and purchasing procedure.</w:t>
      </w:r>
    </w:p>
    <w:p>
      <w:pPr>
        <w:pStyle w:val="Heading2"/>
      </w:pPr>
      <w:r>
        <w:t>7. PO header and line-item details</w:t>
      </w:r>
    </w:p>
    <w:p>
      <w:pPr>
        <w:pStyle w:val="Heading3"/>
      </w:pPr>
      <w:r>
        <w:t>7.1 PO header</w:t>
      </w:r>
    </w:p>
    <w:p>
      <w:r>
        <w:t>The header contains information common to the entire order.</w:t>
      </w:r>
    </w:p>
    <w:p>
      <w:r>
        <w:t>Typical fields include:</w:t>
      </w:r>
    </w:p>
    <w:p>
      <w:pPr>
        <w:pStyle w:val="ListBullet"/>
      </w:pPr>
      <w:r>
        <w:t>PO number and date.</w:t>
      </w:r>
    </w:p>
    <w:p>
      <w:pPr>
        <w:pStyle w:val="ListBullet"/>
      </w:pPr>
      <w:r>
        <w:t>Supplier account.</w:t>
      </w:r>
    </w:p>
    <w:p>
      <w:pPr>
        <w:pStyle w:val="ListBullet"/>
      </w:pPr>
      <w:r>
        <w:t>Purchasing organization.</w:t>
      </w:r>
    </w:p>
    <w:p>
      <w:pPr>
        <w:pStyle w:val="ListBullet"/>
      </w:pPr>
      <w:r>
        <w:t>Purchasing group.</w:t>
      </w:r>
    </w:p>
    <w:p>
      <w:pPr>
        <w:pStyle w:val="ListBullet"/>
      </w:pPr>
      <w:r>
        <w:t>Company code.</w:t>
      </w:r>
    </w:p>
    <w:p>
      <w:pPr>
        <w:pStyle w:val="ListBullet"/>
      </w:pPr>
      <w:r>
        <w:t>Delivery plant or location.</w:t>
      </w:r>
    </w:p>
    <w:p>
      <w:pPr>
        <w:pStyle w:val="ListBullet"/>
      </w:pPr>
      <w:r>
        <w:t>Currency.</w:t>
      </w:r>
    </w:p>
    <w:p>
      <w:pPr>
        <w:pStyle w:val="ListBullet"/>
      </w:pPr>
      <w:r>
        <w:t>Payment terms.</w:t>
      </w:r>
    </w:p>
    <w:p>
      <w:pPr>
        <w:pStyle w:val="ListBullet"/>
      </w:pPr>
      <w:r>
        <w:t>Incoterms or other applicable delivery terms.</w:t>
      </w:r>
    </w:p>
    <w:p>
      <w:pPr>
        <w:pStyle w:val="ListBullet"/>
      </w:pPr>
      <w:r>
        <w:t>Buyer contact.</w:t>
      </w:r>
    </w:p>
    <w:p>
      <w:pPr>
        <w:pStyle w:val="ListBullet"/>
      </w:pPr>
      <w:r>
        <w:t>Contract reference.</w:t>
      </w:r>
    </w:p>
    <w:p>
      <w:pPr>
        <w:pStyle w:val="Heading3"/>
      </w:pPr>
      <w:r>
        <w:t>7.2 PO line items</w:t>
      </w:r>
    </w:p>
    <w:p>
      <w:r>
        <w:t>Each line item defines a distinct good or service.</w:t>
      </w:r>
    </w:p>
    <w:p>
      <w:r>
        <w:t>For an industrial automation order, a line item could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Item number</w:t>
            </w:r>
          </w:p>
        </w:tc>
        <w:tc>
          <w:tcPr>
            <w:tcW w:type="dxa" w:w="5400"/>
          </w:tcPr>
          <w:p>
            <w:pPr>
              <w:spacing w:after="0" w:before="0" w:line="240" w:lineRule="auto"/>
              <w:jc w:val="left"/>
            </w:pPr>
            <w:r>
              <w:t>10</w:t>
            </w:r>
          </w:p>
        </w:tc>
      </w:tr>
      <w:tr>
        <w:tc>
          <w:tcPr>
            <w:tcW w:type="dxa" w:w="5400"/>
          </w:tcPr>
          <w:p>
            <w:pPr>
              <w:spacing w:after="0" w:before="0" w:line="240" w:lineRule="auto"/>
              <w:jc w:val="left"/>
            </w:pPr>
            <w:r>
              <w:t>Description</w:t>
            </w:r>
          </w:p>
        </w:tc>
        <w:tc>
          <w:tcPr>
            <w:tcW w:type="dxa" w:w="5400"/>
          </w:tcPr>
          <w:p>
            <w:pPr>
              <w:spacing w:after="0" w:before="0" w:line="240" w:lineRule="auto"/>
              <w:jc w:val="left"/>
            </w:pPr>
            <w:r>
              <w:t>PLC CPU module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Approved manufacturer</w:t>
            </w:r>
          </w:p>
        </w:tc>
      </w:tr>
      <w:tr>
        <w:tc>
          <w:tcPr>
            <w:tcW w:type="dxa" w:w="5400"/>
          </w:tcPr>
          <w:p>
            <w:pPr>
              <w:spacing w:after="0" w:before="0" w:line="240" w:lineRule="auto"/>
              <w:jc w:val="left"/>
            </w:pPr>
            <w:r>
              <w:t>Model</w:t>
            </w:r>
          </w:p>
        </w:tc>
        <w:tc>
          <w:tcPr>
            <w:tcW w:type="dxa" w:w="5400"/>
          </w:tcPr>
          <w:p>
            <w:pPr>
              <w:spacing w:after="0" w:before="0" w:line="240" w:lineRule="auto"/>
              <w:jc w:val="left"/>
            </w:pPr>
            <w:r>
              <w:t>Exact approved part number</w:t>
            </w:r>
          </w:p>
        </w:tc>
      </w:tr>
      <w:tr>
        <w:tc>
          <w:tcPr>
            <w:tcW w:type="dxa" w:w="5400"/>
          </w:tcPr>
          <w:p>
            <w:pPr>
              <w:spacing w:after="0" w:before="0" w:line="240" w:lineRule="auto"/>
              <w:jc w:val="left"/>
            </w:pPr>
            <w:r>
              <w:t>Quantity</w:t>
            </w:r>
          </w:p>
        </w:tc>
        <w:tc>
          <w:tcPr>
            <w:tcW w:type="dxa" w:w="5400"/>
          </w:tcPr>
          <w:p>
            <w:pPr>
              <w:spacing w:after="0" w:before="0" w:line="240" w:lineRule="auto"/>
              <w:jc w:val="left"/>
            </w:pPr>
            <w:r>
              <w:t>1</w:t>
            </w:r>
          </w:p>
        </w:tc>
      </w:tr>
      <w:tr>
        <w:tc>
          <w:tcPr>
            <w:tcW w:type="dxa" w:w="5400"/>
          </w:tcPr>
          <w:p>
            <w:pPr>
              <w:spacing w:after="0" w:before="0" w:line="240" w:lineRule="auto"/>
              <w:jc w:val="left"/>
            </w:pPr>
            <w:r>
              <w:t>Unit</w:t>
            </w:r>
          </w:p>
        </w:tc>
        <w:tc>
          <w:tcPr>
            <w:tcW w:type="dxa" w:w="5400"/>
          </w:tcPr>
          <w:p>
            <w:pPr>
              <w:spacing w:after="0" w:before="0" w:line="240" w:lineRule="auto"/>
              <w:jc w:val="left"/>
            </w:pPr>
            <w:r>
              <w:t>EA</w:t>
            </w:r>
          </w:p>
        </w:tc>
      </w:tr>
      <w:tr>
        <w:tc>
          <w:tcPr>
            <w:tcW w:type="dxa" w:w="5400"/>
          </w:tcPr>
          <w:p>
            <w:pPr>
              <w:spacing w:after="0" w:before="0" w:line="240" w:lineRule="auto"/>
              <w:jc w:val="left"/>
            </w:pPr>
            <w:r>
              <w:t>Unit price</w:t>
            </w:r>
          </w:p>
        </w:tc>
        <w:tc>
          <w:tcPr>
            <w:tcW w:type="dxa" w:w="5400"/>
          </w:tcPr>
          <w:p>
            <w:pPr>
              <w:spacing w:after="0" w:before="0" w:line="240" w:lineRule="auto"/>
              <w:jc w:val="left"/>
            </w:pPr>
            <w:r>
              <w:t>₹85,000</w:t>
            </w:r>
          </w:p>
        </w:tc>
      </w:tr>
      <w:tr>
        <w:tc>
          <w:tcPr>
            <w:tcW w:type="dxa" w:w="5400"/>
          </w:tcPr>
          <w:p>
            <w:pPr>
              <w:spacing w:after="0" w:before="0" w:line="240" w:lineRule="auto"/>
              <w:jc w:val="left"/>
            </w:pPr>
            <w:r>
              <w:t>Delivery</w:t>
            </w:r>
          </w:p>
        </w:tc>
        <w:tc>
          <w:tcPr>
            <w:tcW w:type="dxa" w:w="5400"/>
          </w:tcPr>
          <w:p>
            <w:pPr>
              <w:spacing w:after="0" w:before="0" w:line="240" w:lineRule="auto"/>
              <w:jc w:val="left"/>
            </w:pPr>
            <w:r>
              <w:t>Required date from approved schedule</w:t>
            </w:r>
          </w:p>
        </w:tc>
      </w:tr>
      <w:tr>
        <w:tc>
          <w:tcPr>
            <w:tcW w:type="dxa" w:w="5400"/>
          </w:tcPr>
          <w:p>
            <w:pPr>
              <w:spacing w:after="0" w:before="0" w:line="240" w:lineRule="auto"/>
              <w:jc w:val="left"/>
            </w:pPr>
            <w:r>
              <w:t>Technical reference</w:t>
            </w:r>
          </w:p>
        </w:tc>
        <w:tc>
          <w:tcPr>
            <w:tcW w:type="dxa" w:w="5400"/>
          </w:tcPr>
          <w:p>
            <w:pPr>
              <w:spacing w:after="0" w:before="0" w:line="240" w:lineRule="auto"/>
              <w:jc w:val="left"/>
            </w:pPr>
            <w:r>
              <w:t>Approved specification and BOM</w:t>
            </w:r>
          </w:p>
        </w:tc>
      </w:tr>
    </w:tbl>
    <w:p/>
    <w:p>
      <w:r>
        <w:t>The example is illustrative. The actual PO should identify the correct part number, revision, quantity, and price.</w:t>
      </w:r>
    </w:p>
    <w:p>
      <w:r>
        <w:t>For complex systems, avoid describing the entire scope as "automation material" or "PLC system." Use sufficiently detailed line items and technical annexures to establish exactly what is being purchased.</w:t>
      </w:r>
    </w:p>
    <w:p>
      <w:pPr>
        <w:pStyle w:val="Heading2"/>
      </w:pPr>
      <w:r>
        <w:t>8. Writing technically precise PO descriptions</w:t>
      </w:r>
    </w:p>
    <w:p>
      <w:r>
        <w:t>A useful technical description should be specific, measurable, and traceable to the approved engineering documents.</w:t>
      </w:r>
    </w:p>
    <w:p>
      <w:r>
        <w:t>Weak description:</w:t>
      </w:r>
    </w:p>
    <w:p>
      <w:r>
        <w:t>"PLC panel material."</w:t>
      </w:r>
    </w:p>
    <w:p>
      <w:r>
        <w:t>Better description:</w:t>
      </w:r>
    </w:p>
    <w:p>
      <w:r>
        <w:t>"PLC CPU, manufacturer and model as per approved BOM revision, including specified communication interfaces and compatible accessories, supplied with applicable manufacturer documentation."</w:t>
      </w:r>
    </w:p>
    <w:p>
      <w:r>
        <w:t>For an engineering-service PO, define:</w:t>
      </w:r>
    </w:p>
    <w:p>
      <w:pPr>
        <w:pStyle w:val="ListBullet"/>
      </w:pPr>
      <w:r>
        <w:t>Machine or project identification.</w:t>
      </w:r>
    </w:p>
    <w:p>
      <w:pPr>
        <w:pStyle w:val="ListBullet"/>
      </w:pPr>
      <w:r>
        <w:t>Scope of programming or modification.</w:t>
      </w:r>
    </w:p>
    <w:p>
      <w:pPr>
        <w:pStyle w:val="ListBullet"/>
      </w:pPr>
      <w:r>
        <w:t>Deliverables.</w:t>
      </w:r>
    </w:p>
    <w:p>
      <w:pPr>
        <w:pStyle w:val="ListBullet"/>
      </w:pPr>
      <w:r>
        <w:t>Site activities.</w:t>
      </w:r>
    </w:p>
    <w:p>
      <w:pPr>
        <w:pStyle w:val="ListBullet"/>
      </w:pPr>
      <w:r>
        <w:t>Required shutdown duration.</w:t>
      </w:r>
    </w:p>
    <w:p>
      <w:pPr>
        <w:pStyle w:val="ListBullet"/>
      </w:pPr>
      <w:r>
        <w:t>Testing and acceptance criteria.</w:t>
      </w:r>
    </w:p>
    <w:p>
      <w:pPr>
        <w:pStyle w:val="ListBullet"/>
      </w:pPr>
      <w:r>
        <w:t>Source-code and backup handover.</w:t>
      </w:r>
    </w:p>
    <w:p>
      <w:pPr>
        <w:pStyle w:val="ListBullet"/>
      </w:pPr>
      <w:r>
        <w:t>Completion milestones.</w:t>
      </w:r>
    </w:p>
    <w:p>
      <w:pPr>
        <w:pStyle w:val="ListBullet"/>
      </w:pPr>
      <w:r>
        <w:t>Supplier and buyer responsibilities.</w:t>
      </w:r>
    </w:p>
    <w:p>
      <w:r>
        <w:t>If exact part numbers or models are mandatory, state them directly or reference an approved, controlled BOM. Avoid vague phrases such as "equivalent item" unless substitution rules are explicitly defined.</w:t>
      </w:r>
    </w:p>
    <w:p>
      <w:pPr>
        <w:pStyle w:val="Heading2"/>
      </w:pPr>
      <w:r>
        <w:t>9. Technical annexures and document precedence</w:t>
      </w:r>
    </w:p>
    <w:p>
      <w:r>
        <w:t>A complex automation PO may refer to multiple documents:</w:t>
      </w:r>
    </w:p>
    <w:p>
      <w:pPr>
        <w:pStyle w:val="ListBullet"/>
      </w:pPr>
      <w:r>
        <w:t>User Requirements Specification (URS).</w:t>
      </w:r>
    </w:p>
    <w:p>
      <w:pPr>
        <w:pStyle w:val="ListBullet"/>
      </w:pPr>
      <w:r>
        <w:t>Functional requirements.</w:t>
      </w:r>
    </w:p>
    <w:p>
      <w:pPr>
        <w:pStyle w:val="ListBullet"/>
      </w:pPr>
      <w:r>
        <w:t>Technical specification.</w:t>
      </w:r>
    </w:p>
    <w:p>
      <w:pPr>
        <w:pStyle w:val="ListBullet"/>
      </w:pPr>
      <w:r>
        <w:t>Electrical drawings.</w:t>
      </w:r>
    </w:p>
    <w:p>
      <w:pPr>
        <w:pStyle w:val="ListBullet"/>
      </w:pPr>
      <w:r>
        <w:t>Network architecture.</w:t>
      </w:r>
    </w:p>
    <w:p>
      <w:pPr>
        <w:pStyle w:val="ListBullet"/>
      </w:pPr>
      <w:r>
        <w:t>Bill of Materials (BOM).</w:t>
      </w:r>
    </w:p>
    <w:p>
      <w:pPr>
        <w:pStyle w:val="ListBullet"/>
      </w:pPr>
      <w:r>
        <w:t>Supplier quotation.</w:t>
      </w:r>
    </w:p>
    <w:p>
      <w:pPr>
        <w:pStyle w:val="ListBullet"/>
      </w:pPr>
      <w:r>
        <w:t>Technical compliance matrix.</w:t>
      </w:r>
    </w:p>
    <w:p>
      <w:pPr>
        <w:pStyle w:val="ListBullet"/>
      </w:pPr>
      <w:r>
        <w:t>Clarification responses.</w:t>
      </w:r>
    </w:p>
    <w:p>
      <w:pPr>
        <w:pStyle w:val="ListBullet"/>
      </w:pPr>
      <w:r>
        <w:t>Approved deviation register.</w:t>
      </w:r>
    </w:p>
    <w:p>
      <w:pPr>
        <w:pStyle w:val="ListBullet"/>
      </w:pPr>
      <w:r>
        <w:t>FAT and SAT procedures.</w:t>
      </w:r>
    </w:p>
    <w:p>
      <w:pPr>
        <w:pStyle w:val="ListBullet"/>
      </w:pPr>
      <w:r>
        <w:t>Delivery and commissioning schedule.</w:t>
      </w:r>
    </w:p>
    <w:p>
      <w:r>
        <w:t>These documents should have clear identifiers, revisions, and dates.</w:t>
      </w:r>
    </w:p>
    <w:p>
      <w:pPr>
        <w:pStyle w:val="Heading3"/>
      </w:pPr>
      <w:r>
        <w:t>Document control requirements</w:t>
      </w:r>
    </w:p>
    <w:p>
      <w:pPr>
        <w:pStyle w:val="ListBullet"/>
      </w:pPr>
      <w:r>
        <w:t>Reference the correct revision of each document.</w:t>
      </w:r>
    </w:p>
    <w:p>
      <w:pPr>
        <w:pStyle w:val="ListBullet"/>
      </w:pPr>
      <w:r>
        <w:t>Identify which documents form part of the purchase agreement.</w:t>
      </w:r>
    </w:p>
    <w:p>
      <w:pPr>
        <w:pStyle w:val="ListBullet"/>
      </w:pPr>
      <w:r>
        <w:t>Ensure the supplier has access to the approved versions.</w:t>
      </w:r>
    </w:p>
    <w:p>
      <w:pPr>
        <w:pStyle w:val="ListBullet"/>
      </w:pPr>
      <w:r>
        <w:t>Prevent outdated drawings or specifications from being used.</w:t>
      </w:r>
    </w:p>
    <w:p>
      <w:pPr>
        <w:pStyle w:val="ListBullet"/>
      </w:pPr>
      <w:r>
        <w:t>Record formally approved deviations.</w:t>
      </w:r>
    </w:p>
    <w:p>
      <w:pPr>
        <w:pStyle w:val="ListBullet"/>
      </w:pPr>
      <w:r>
        <w:t>Establish document precedence if incorporated documents conflict.</w:t>
      </w:r>
    </w:p>
    <w:p>
      <w:r>
        <w:t>Document precedence means the agreed order used to resolve inconsistencies between contractual documents. It should be explicitly defined in the applicable PO or contract terms rather than assumed by engineering or the supplier.</w:t>
      </w:r>
    </w:p>
    <w:p>
      <w:r>
        <w:t>For example, the quotation may contain a limitation that conflicts with the approved technical specification. The purchasing team must resolve the conflict before release instead of assuming that the technical specification automatically overrides every other document.</w:t>
      </w:r>
    </w:p>
    <w:p>
      <w:pPr>
        <w:pStyle w:val="Heading2"/>
      </w:pPr>
      <w:r>
        <w:t>10. Price, taxes, and commercial calculations</w:t>
      </w:r>
    </w:p>
    <w:p>
      <w:r>
        <w:t>The PO should clearly define the pricing basis.</w:t>
      </w:r>
    </w:p>
    <w:p>
      <w:r>
        <w:t>For a simple line item:</w:t>
      </w:r>
    </w:p>
    <w:p>
      <w:pPr>
        <w:spacing w:before="120" w:after="160"/>
        <w:jc w:val="center"/>
      </w:pPr>
      <m:oMathPara>
        <m:oMath>
          <m:sSub>
            <m:e>
              <m:r>
                <m:t>C</m:t>
              </m:r>
            </m:e>
            <m:sub>
              <m:r>
                <m:t>L</m:t>
              </m:r>
            </m:sub>
          </m:sSub>
          <m:r>
            <m:t>=Q×P</m:t>
          </m:r>
        </m:oMath>
      </m:oMathPara>
    </w:p>
    <w:p>
      <w:r>
        <w:t>Where:</w:t>
      </w:r>
    </w:p>
    <w:p>
      <w:pPr>
        <w:pStyle w:val="ListBullet"/>
      </w:pPr>
      <m:oMath>
        <m:sSub>
          <m:e>
            <m:r>
              <m:t>C</m:t>
            </m:r>
          </m:e>
          <m:sub>
            <m:r>
              <m:t>L</m:t>
            </m:r>
          </m:sub>
        </m:sSub>
      </m:oMath>
      <w:r>
        <w:t xml:space="preserve"> is the line-item amount.</w:t>
      </w:r>
    </w:p>
    <w:p>
      <w:pPr>
        <w:pStyle w:val="ListBullet"/>
      </w:pPr>
      <m:oMath>
        <m:r>
          <m:t>Q</m:t>
        </m:r>
      </m:oMath>
      <w:r>
        <w:t xml:space="preserve"> is the ordered quantity.</w:t>
      </w:r>
    </w:p>
    <w:p>
      <w:pPr>
        <w:pStyle w:val="ListBullet"/>
      </w:pPr>
      <m:oMath>
        <m:r>
          <m:t>P</m:t>
        </m:r>
      </m:oMath>
      <w:r>
        <w:t xml:space="preserve"> is the unit price.</w:t>
      </w:r>
    </w:p>
    <w:p>
      <w:r>
        <w:t>The total order value may be represented as:</w:t>
      </w:r>
    </w:p>
    <w:p>
      <w:pPr>
        <w:spacing w:before="120" w:after="160"/>
        <w:jc w:val="center"/>
      </w:pPr>
      <m:oMathPara>
        <m:oMath>
          <m:sSub>
            <m:e>
              <m:r>
                <m:t>C</m:t>
              </m:r>
            </m:e>
            <m:sub>
              <m:r>
                <m:t>T</m:t>
              </m:r>
            </m:sub>
          </m:sSub>
          <m:r>
            <m:t>=∑</m:t>
          </m:r>
          <m:sSub>
            <m:e>
              <m:r>
                <m:t>C</m:t>
              </m:r>
            </m:e>
            <m:sub>
              <m:r>
                <m:t>L</m:t>
              </m:r>
            </m:sub>
          </m:sSub>
          <m:r>
            <m:t>−D+T+F+O</m:t>
          </m:r>
        </m:oMath>
      </m:oMathPara>
    </w:p>
    <w:p>
      <w:r>
        <w:t>Where:</w:t>
      </w:r>
    </w:p>
    <w:p>
      <w:pPr>
        <w:pStyle w:val="ListBullet"/>
      </w:pPr>
      <m:oMath>
        <m:sSub>
          <m:e>
            <m:r>
              <m:t>C</m:t>
            </m:r>
          </m:e>
          <m:sub>
            <m:r>
              <m:t>T</m:t>
            </m:r>
          </m:sub>
        </m:sSub>
      </m:oMath>
      <w:r>
        <w:t xml:space="preserve"> is the total evaluated or ordered amount under the stated basis.</w:t>
      </w:r>
    </w:p>
    <w:p>
      <w:pPr>
        <w:pStyle w:val="ListBullet"/>
      </w:pPr>
      <m:oMath>
        <m:r>
          <m:t>D</m:t>
        </m:r>
      </m:oMath>
      <w:r>
        <w:t xml:space="preserve"> is the applicable discount.</w:t>
      </w:r>
    </w:p>
    <w:p>
      <w:pPr>
        <w:pStyle w:val="ListBullet"/>
      </w:pPr>
      <m:oMath>
        <m:r>
          <m:t>T</m:t>
        </m:r>
      </m:oMath>
      <w:r>
        <w:t xml:space="preserve"> is the applicable tax amount.</w:t>
      </w:r>
    </w:p>
    <w:p>
      <w:pPr>
        <w:pStyle w:val="ListBullet"/>
      </w:pPr>
      <m:oMath>
        <m:r>
          <m:t>F</m:t>
        </m:r>
      </m:oMath>
      <w:r>
        <w:t xml:space="preserve"> is freight and related delivery charges not already included.</w:t>
      </w:r>
    </w:p>
    <w:p>
      <w:pPr>
        <w:pStyle w:val="ListBullet"/>
      </w:pPr>
      <m:oMath>
        <m:r>
          <m:t>O</m:t>
        </m:r>
      </m:oMath>
      <w:r>
        <w:t xml:space="preserve"> is other applicable charges not already included.</w:t>
      </w:r>
    </w:p>
    <w:p>
      <w:r>
        <w:t>The PO must define whether its displayed total is tax-inclusive or tax-exclusive. Freight, insurance, duties, and other charges must be treated according to the agreed commercial terms without double-counting.</w:t>
      </w:r>
    </w:p>
    <w:p>
      <w:pPr>
        <w:pStyle w:val="Heading3"/>
      </w:pPr>
      <w:r>
        <w:t>Example</w:t>
      </w:r>
    </w:p>
    <w:p>
      <w:r>
        <w:t>Assume an order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Amount</w:t>
            </w:r>
          </w:p>
        </w:tc>
      </w:tr>
      <w:tr>
        <w:tc>
          <w:tcPr>
            <w:tcW w:type="dxa" w:w="5400"/>
          </w:tcPr>
          <w:p>
            <w:pPr>
              <w:spacing w:after="0" w:before="0" w:line="240" w:lineRule="auto"/>
              <w:jc w:val="left"/>
            </w:pPr>
            <w:r>
              <w:t>PLC hardware</w:t>
            </w:r>
          </w:p>
        </w:tc>
        <w:tc>
          <w:tcPr>
            <w:tcW w:type="dxa" w:w="5400"/>
          </w:tcPr>
          <w:p>
            <w:pPr>
              <w:spacing w:after="0" w:before="0" w:line="240" w:lineRule="auto"/>
              <w:jc w:val="left"/>
            </w:pPr>
            <w:r>
              <w:t>₹200,000</w:t>
            </w:r>
          </w:p>
        </w:tc>
      </w:tr>
      <w:tr>
        <w:tc>
          <w:tcPr>
            <w:tcW w:type="dxa" w:w="5400"/>
          </w:tcPr>
          <w:p>
            <w:pPr>
              <w:spacing w:after="0" w:before="0" w:line="240" w:lineRule="auto"/>
              <w:jc w:val="left"/>
            </w:pPr>
            <w:r>
              <w:t>Engineering services</w:t>
            </w:r>
          </w:p>
        </w:tc>
        <w:tc>
          <w:tcPr>
            <w:tcW w:type="dxa" w:w="5400"/>
          </w:tcPr>
          <w:p>
            <w:pPr>
              <w:spacing w:after="0" w:before="0" w:line="240" w:lineRule="auto"/>
              <w:jc w:val="left"/>
            </w:pPr>
            <w:r>
              <w:t>₹60,000</w:t>
            </w:r>
          </w:p>
        </w:tc>
      </w:tr>
      <w:tr>
        <w:tc>
          <w:tcPr>
            <w:tcW w:type="dxa" w:w="5400"/>
          </w:tcPr>
          <w:p>
            <w:pPr>
              <w:spacing w:after="0" w:before="0" w:line="240" w:lineRule="auto"/>
              <w:jc w:val="left"/>
            </w:pPr>
            <w:r>
              <w:t>Installation and commissioning</w:t>
            </w:r>
          </w:p>
        </w:tc>
        <w:tc>
          <w:tcPr>
            <w:tcW w:type="dxa" w:w="5400"/>
          </w:tcPr>
          <w:p>
            <w:pPr>
              <w:spacing w:after="0" w:before="0" w:line="240" w:lineRule="auto"/>
              <w:jc w:val="left"/>
            </w:pPr>
            <w:r>
              <w:t>₹40,000</w:t>
            </w:r>
          </w:p>
        </w:tc>
      </w:tr>
      <w:tr>
        <w:tc>
          <w:tcPr>
            <w:tcW w:type="dxa" w:w="5400"/>
          </w:tcPr>
          <w:p>
            <w:pPr>
              <w:spacing w:after="0" w:before="0" w:line="240" w:lineRule="auto"/>
              <w:jc w:val="left"/>
            </w:pPr>
            <w:r>
              <w:t>Subtotal before discount and tax</w:t>
            </w:r>
          </w:p>
        </w:tc>
        <w:tc>
          <w:tcPr>
            <w:tcW w:type="dxa" w:w="5400"/>
          </w:tcPr>
          <w:p>
            <w:pPr>
              <w:spacing w:after="0" w:before="0" w:line="240" w:lineRule="auto"/>
              <w:jc w:val="left"/>
            </w:pPr>
            <w:r>
              <w:t>₹300,000</w:t>
            </w:r>
          </w:p>
        </w:tc>
      </w:tr>
      <w:tr>
        <w:tc>
          <w:tcPr>
            <w:tcW w:type="dxa" w:w="5400"/>
          </w:tcPr>
          <w:p>
            <w:pPr>
              <w:spacing w:after="0" w:before="0" w:line="240" w:lineRule="auto"/>
              <w:jc w:val="left"/>
            </w:pPr>
            <w:r>
              <w:t>Approved discount</w:t>
            </w:r>
          </w:p>
        </w:tc>
        <w:tc>
          <w:tcPr>
            <w:tcW w:type="dxa" w:w="5400"/>
          </w:tcPr>
          <w:p>
            <w:pPr>
              <w:spacing w:after="0" w:before="0" w:line="240" w:lineRule="auto"/>
              <w:jc w:val="left"/>
            </w:pPr>
            <w:r>
              <w:t>₹10,000</w:t>
            </w:r>
          </w:p>
        </w:tc>
      </w:tr>
      <w:tr>
        <w:tc>
          <w:tcPr>
            <w:tcW w:type="dxa" w:w="5400"/>
          </w:tcPr>
          <w:p>
            <w:pPr>
              <w:spacing w:after="0" w:before="0" w:line="240" w:lineRule="auto"/>
              <w:jc w:val="left"/>
            </w:pPr>
            <w:r>
              <w:t>Taxable value, assuming all listed items share the same tax treatment</w:t>
            </w:r>
          </w:p>
        </w:tc>
        <w:tc>
          <w:tcPr>
            <w:tcW w:type="dxa" w:w="5400"/>
          </w:tcPr>
          <w:p>
            <w:pPr>
              <w:spacing w:after="0" w:before="0" w:line="240" w:lineRule="auto"/>
              <w:jc w:val="left"/>
            </w:pPr>
            <w:r>
              <w:t>₹290,000</w:t>
            </w:r>
          </w:p>
        </w:tc>
      </w:tr>
    </w:tbl>
    <w:p/>
    <w:p>
      <w:r>
        <w:t>If an illustrative tax rate of 18% applies uniformly to the entire taxable value:</w:t>
      </w:r>
    </w:p>
    <w:p>
      <w:pPr>
        <w:spacing w:before="120" w:after="160"/>
        <w:jc w:val="center"/>
      </w:pPr>
      <m:oMathPara>
        <m:oMath>
          <m:r>
            <m:t>T=290000×0.18=52200</m:t>
          </m:r>
        </m:oMath>
      </m:oMathPara>
    </w:p>
    <w:p>
      <w:r>
        <w:t>The total would be ₹342,200 before any additional charges not included in the example.</w:t>
      </w:r>
    </w:p>
    <w:p>
      <w:r>
        <w:t>This is an arithmetic example, not a determination of the applicable tax treatment. Actual tax rates, classifications, eligibility, and invoice requirements must be verified for the transaction.</w:t>
      </w:r>
    </w:p>
    <w:p>
      <w:pPr>
        <w:pStyle w:val="Heading2"/>
      </w:pPr>
      <w:r>
        <w:t>11. Delivery terms and milestones</w:t>
      </w:r>
    </w:p>
    <w:p>
      <w:r>
        <w:t>Delivery requirements should be clear enough to plan material availability, installation, shutdown, and commissioning.</w:t>
      </w:r>
    </w:p>
    <w:p>
      <w:r>
        <w:t>Specify where applicable:</w:t>
      </w:r>
    </w:p>
    <w:p>
      <w:pPr>
        <w:pStyle w:val="ListBullet"/>
      </w:pPr>
      <w:r>
        <w:t>Required delivery date.</w:t>
      </w:r>
    </w:p>
    <w:p>
      <w:pPr>
        <w:pStyle w:val="ListBullet"/>
      </w:pPr>
      <w:r>
        <w:t>Delivery location.</w:t>
      </w:r>
    </w:p>
    <w:p>
      <w:pPr>
        <w:pStyle w:val="ListBullet"/>
      </w:pPr>
      <w:r>
        <w:t>Dispatch and transportation responsibilities.</w:t>
      </w:r>
    </w:p>
    <w:p>
      <w:pPr>
        <w:pStyle w:val="ListBullet"/>
      </w:pPr>
      <w:r>
        <w:t>Packing and transit protection.</w:t>
      </w:r>
    </w:p>
    <w:p>
      <w:pPr>
        <w:pStyle w:val="ListBullet"/>
      </w:pPr>
      <w:r>
        <w:t>Insurance.</w:t>
      </w:r>
    </w:p>
    <w:p>
      <w:pPr>
        <w:pStyle w:val="ListBullet"/>
      </w:pPr>
      <w:r>
        <w:t>Unloading responsibility.</w:t>
      </w:r>
    </w:p>
    <w:p>
      <w:pPr>
        <w:pStyle w:val="ListBullet"/>
      </w:pPr>
      <w:r>
        <w:t>Partial-delivery permissions.</w:t>
      </w:r>
    </w:p>
    <w:p>
      <w:pPr>
        <w:pStyle w:val="ListBullet"/>
      </w:pPr>
      <w:r>
        <w:t>Delivery documentation.</w:t>
      </w:r>
    </w:p>
    <w:p>
      <w:pPr>
        <w:pStyle w:val="ListBullet"/>
      </w:pPr>
      <w:r>
        <w:t>Inspection arrangements.</w:t>
      </w:r>
    </w:p>
    <w:p>
      <w:pPr>
        <w:pStyle w:val="ListBullet"/>
      </w:pPr>
      <w:r>
        <w:t>Site-installation dates.</w:t>
      </w:r>
    </w:p>
    <w:p>
      <w:pPr>
        <w:pStyle w:val="ListBullet"/>
      </w:pPr>
      <w:r>
        <w:t>Commissioning milestones.</w:t>
      </w:r>
    </w:p>
    <w:p>
      <w:pPr>
        <w:pStyle w:val="ListBullet"/>
      </w:pPr>
      <w:r>
        <w:t>Production handover date.</w:t>
      </w:r>
    </w:p>
    <w:p>
      <w:r>
        <w:t>For an automation retrofit, the delivery of hardware may be only one milestone in the project.</w:t>
      </w:r>
    </w:p>
    <w:p>
      <w:r>
        <w:t>A typical milestone schedule could be: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Milestone</w:t>
            </w:r>
          </w:p>
        </w:tc>
        <w:tc>
          <w:tcPr>
            <w:tcW w:type="dxa" w:w="3600"/>
            <w:shd w:val="clear" w:color="auto" w:fill="EEF2F7"/>
          </w:tcPr>
          <w:p>
            <w:pPr>
              <w:spacing w:after="0" w:before="0" w:line="240" w:lineRule="auto"/>
              <w:jc w:val="left"/>
            </w:pPr>
            <w:r>
              <w:rPr>
                <w:b/>
                <w:color w:val="1A2E4A"/>
              </w:rPr>
              <w:t>Deliverable</w:t>
            </w:r>
          </w:p>
        </w:tc>
        <w:tc>
          <w:tcPr>
            <w:tcW w:type="dxa" w:w="3600"/>
            <w:shd w:val="clear" w:color="auto" w:fill="EEF2F7"/>
          </w:tcPr>
          <w:p>
            <w:pPr>
              <w:spacing w:after="0" w:before="0" w:line="240" w:lineRule="auto"/>
              <w:jc w:val="left"/>
            </w:pPr>
            <w:r>
              <w:rPr>
                <w:b/>
                <w:color w:val="1A2E4A"/>
              </w:rPr>
              <w:t>Acceptance evidence</w:t>
            </w:r>
          </w:p>
        </w:tc>
      </w:tr>
      <w:tr>
        <w:tc>
          <w:tcPr>
            <w:tcW w:type="dxa" w:w="3600"/>
          </w:tcPr>
          <w:p>
            <w:pPr>
              <w:spacing w:after="0" w:before="0" w:line="240" w:lineRule="auto"/>
              <w:jc w:val="left"/>
            </w:pPr>
            <w:r>
              <w:t>Design submission</w:t>
            </w:r>
          </w:p>
        </w:tc>
        <w:tc>
          <w:tcPr>
            <w:tcW w:type="dxa" w:w="3600"/>
          </w:tcPr>
          <w:p>
            <w:pPr>
              <w:spacing w:after="0" w:before="0" w:line="240" w:lineRule="auto"/>
              <w:jc w:val="left"/>
            </w:pPr>
            <w:r>
              <w:t>Drawings and technical documents</w:t>
            </w:r>
          </w:p>
        </w:tc>
        <w:tc>
          <w:tcPr>
            <w:tcW w:type="dxa" w:w="3600"/>
          </w:tcPr>
          <w:p>
            <w:pPr>
              <w:spacing w:after="0" w:before="0" w:line="240" w:lineRule="auto"/>
              <w:jc w:val="left"/>
            </w:pPr>
            <w:r>
              <w:t>Approved document review</w:t>
            </w:r>
          </w:p>
        </w:tc>
      </w:tr>
      <w:tr>
        <w:tc>
          <w:tcPr>
            <w:tcW w:type="dxa" w:w="3600"/>
          </w:tcPr>
          <w:p>
            <w:pPr>
              <w:spacing w:after="0" w:before="0" w:line="240" w:lineRule="auto"/>
              <w:jc w:val="left"/>
            </w:pPr>
            <w:r>
              <w:t>Material supply</w:t>
            </w:r>
          </w:p>
        </w:tc>
        <w:tc>
          <w:tcPr>
            <w:tcW w:type="dxa" w:w="3600"/>
          </w:tcPr>
          <w:p>
            <w:pPr>
              <w:spacing w:after="0" w:before="0" w:line="240" w:lineRule="auto"/>
              <w:jc w:val="left"/>
            </w:pPr>
            <w:r>
              <w:t>Hardware and accessories</w:t>
            </w:r>
          </w:p>
        </w:tc>
        <w:tc>
          <w:tcPr>
            <w:tcW w:type="dxa" w:w="3600"/>
          </w:tcPr>
          <w:p>
            <w:pPr>
              <w:spacing w:after="0" w:before="0" w:line="240" w:lineRule="auto"/>
              <w:jc w:val="left"/>
            </w:pPr>
            <w:r>
              <w:t>Receipt and inspection records</w:t>
            </w:r>
          </w:p>
        </w:tc>
      </w:tr>
      <w:tr>
        <w:tc>
          <w:tcPr>
            <w:tcW w:type="dxa" w:w="3600"/>
          </w:tcPr>
          <w:p>
            <w:pPr>
              <w:spacing w:after="0" w:before="0" w:line="240" w:lineRule="auto"/>
              <w:jc w:val="left"/>
            </w:pPr>
            <w:r>
              <w:t>FAT</w:t>
            </w:r>
          </w:p>
        </w:tc>
        <w:tc>
          <w:tcPr>
            <w:tcW w:type="dxa" w:w="3600"/>
          </w:tcPr>
          <w:p>
            <w:pPr>
              <w:spacing w:after="0" w:before="0" w:line="240" w:lineRule="auto"/>
              <w:jc w:val="left"/>
            </w:pPr>
            <w:r>
              <w:t>Tested system or agreed test setup</w:t>
            </w:r>
          </w:p>
        </w:tc>
        <w:tc>
          <w:tcPr>
            <w:tcW w:type="dxa" w:w="3600"/>
          </w:tcPr>
          <w:p>
            <w:pPr>
              <w:spacing w:after="0" w:before="0" w:line="240" w:lineRule="auto"/>
              <w:jc w:val="left"/>
            </w:pPr>
            <w:r>
              <w:t>FAT report</w:t>
            </w:r>
          </w:p>
        </w:tc>
      </w:tr>
      <w:tr>
        <w:tc>
          <w:tcPr>
            <w:tcW w:type="dxa" w:w="3600"/>
          </w:tcPr>
          <w:p>
            <w:pPr>
              <w:spacing w:after="0" w:before="0" w:line="240" w:lineRule="auto"/>
              <w:jc w:val="left"/>
            </w:pPr>
            <w:r>
              <w:t>Site installation</w:t>
            </w:r>
          </w:p>
        </w:tc>
        <w:tc>
          <w:tcPr>
            <w:tcW w:type="dxa" w:w="3600"/>
          </w:tcPr>
          <w:p>
            <w:pPr>
              <w:spacing w:after="0" w:before="0" w:line="240" w:lineRule="auto"/>
              <w:jc w:val="left"/>
            </w:pPr>
            <w:r>
              <w:t>Installed and wired equipment</w:t>
            </w:r>
          </w:p>
        </w:tc>
        <w:tc>
          <w:tcPr>
            <w:tcW w:type="dxa" w:w="3600"/>
          </w:tcPr>
          <w:p>
            <w:pPr>
              <w:spacing w:after="0" w:before="0" w:line="240" w:lineRule="auto"/>
              <w:jc w:val="left"/>
            </w:pPr>
            <w:r>
              <w:t>Installation inspection</w:t>
            </w:r>
          </w:p>
        </w:tc>
      </w:tr>
      <w:tr>
        <w:tc>
          <w:tcPr>
            <w:tcW w:type="dxa" w:w="3600"/>
          </w:tcPr>
          <w:p>
            <w:pPr>
              <w:spacing w:after="0" w:before="0" w:line="240" w:lineRule="auto"/>
              <w:jc w:val="left"/>
            </w:pPr>
            <w:r>
              <w:t>SAT</w:t>
            </w:r>
          </w:p>
        </w:tc>
        <w:tc>
          <w:tcPr>
            <w:tcW w:type="dxa" w:w="3600"/>
          </w:tcPr>
          <w:p>
            <w:pPr>
              <w:spacing w:after="0" w:before="0" w:line="240" w:lineRule="auto"/>
              <w:jc w:val="left"/>
            </w:pPr>
            <w:r>
              <w:t>Verified operation at site</w:t>
            </w:r>
          </w:p>
        </w:tc>
        <w:tc>
          <w:tcPr>
            <w:tcW w:type="dxa" w:w="3600"/>
          </w:tcPr>
          <w:p>
            <w:pPr>
              <w:spacing w:after="0" w:before="0" w:line="240" w:lineRule="auto"/>
              <w:jc w:val="left"/>
            </w:pPr>
            <w:r>
              <w:t>SAT report</w:t>
            </w:r>
          </w:p>
        </w:tc>
      </w:tr>
      <w:tr>
        <w:tc>
          <w:tcPr>
            <w:tcW w:type="dxa" w:w="3600"/>
          </w:tcPr>
          <w:p>
            <w:pPr>
              <w:spacing w:after="0" w:before="0" w:line="240" w:lineRule="auto"/>
              <w:jc w:val="left"/>
            </w:pPr>
            <w:r>
              <w:t>Final handover</w:t>
            </w:r>
          </w:p>
        </w:tc>
        <w:tc>
          <w:tcPr>
            <w:tcW w:type="dxa" w:w="3600"/>
          </w:tcPr>
          <w:p>
            <w:pPr>
              <w:spacing w:after="0" w:before="0" w:line="240" w:lineRule="auto"/>
              <w:jc w:val="left"/>
            </w:pPr>
            <w:r>
              <w:t>Documentation, backups, training</w:t>
            </w:r>
          </w:p>
        </w:tc>
        <w:tc>
          <w:tcPr>
            <w:tcW w:type="dxa" w:w="3600"/>
          </w:tcPr>
          <w:p>
            <w:pPr>
              <w:spacing w:after="0" w:before="0" w:line="240" w:lineRule="auto"/>
              <w:jc w:val="left"/>
            </w:pPr>
            <w:r>
              <w:t>Handover acceptance</w:t>
            </w:r>
          </w:p>
        </w:tc>
      </w:tr>
    </w:tbl>
    <w:p/>
    <w:p>
      <w:r>
        <w:t>The actual milestones and evidence should match the scope and contract.</w:t>
      </w:r>
    </w:p>
    <w:p>
      <w:pPr>
        <w:pStyle w:val="Heading2"/>
      </w:pPr>
      <w:r>
        <w:t>12. Quality, FAT, SAT, and acceptance requirements</w:t>
      </w:r>
    </w:p>
    <w:p>
      <w:r>
        <w:t>A PO should define how the buyer will verify that the supplier has fulfilled its obligations.</w:t>
      </w:r>
    </w:p>
    <w:p>
      <w:pPr>
        <w:pStyle w:val="Heading3"/>
      </w:pPr>
      <w:r>
        <w:t>FAT: Factory Acceptance Testing</w:t>
      </w:r>
    </w:p>
    <w:p>
      <w:r>
        <w:t>FAT may verify:</w:t>
      </w:r>
    </w:p>
    <w:p>
      <w:pPr>
        <w:pStyle w:val="ListBullet"/>
      </w:pPr>
      <w:r>
        <w:t>Hardware configuration.</w:t>
      </w:r>
    </w:p>
    <w:p>
      <w:pPr>
        <w:pStyle w:val="ListBullet"/>
      </w:pPr>
      <w:r>
        <w:t>PLC and HMI functions.</w:t>
      </w:r>
    </w:p>
    <w:p>
      <w:pPr>
        <w:pStyle w:val="ListBullet"/>
      </w:pPr>
      <w:r>
        <w:t>Alarm and interlock logic.</w:t>
      </w:r>
    </w:p>
    <w:p>
      <w:pPr>
        <w:pStyle w:val="ListBullet"/>
      </w:pPr>
      <w:r>
        <w:t>Communication interfaces.</w:t>
      </w:r>
    </w:p>
    <w:p>
      <w:pPr>
        <w:pStyle w:val="ListBullet"/>
      </w:pPr>
      <w:r>
        <w:t>Sequence behavior.</w:t>
      </w:r>
    </w:p>
    <w:p>
      <w:pPr>
        <w:pStyle w:val="ListBullet"/>
      </w:pPr>
      <w:r>
        <w:t>Fault handling and recovery.</w:t>
      </w:r>
    </w:p>
    <w:p>
      <w:pPr>
        <w:pStyle w:val="ListBullet"/>
      </w:pPr>
      <w:r>
        <w:t>Agreed performance requirements.</w:t>
      </w:r>
    </w:p>
    <w:p>
      <w:pPr>
        <w:pStyle w:val="ListBullet"/>
      </w:pPr>
      <w:r>
        <w:t>Documentation and configuration backups.</w:t>
      </w:r>
    </w:p>
    <w:p>
      <w:pPr>
        <w:pStyle w:val="Heading3"/>
      </w:pPr>
      <w:r>
        <w:t>SAT: Site Acceptance Testing</w:t>
      </w:r>
    </w:p>
    <w:p>
      <w:r>
        <w:t>SAT may verify:</w:t>
      </w:r>
    </w:p>
    <w:p>
      <w:pPr>
        <w:pStyle w:val="ListBullet"/>
      </w:pPr>
      <w:r>
        <w:t>Correct installation.</w:t>
      </w:r>
    </w:p>
    <w:p>
      <w:pPr>
        <w:pStyle w:val="ListBullet"/>
      </w:pPr>
      <w:r>
        <w:t>Field wiring and I/O.</w:t>
      </w:r>
    </w:p>
    <w:p>
      <w:pPr>
        <w:pStyle w:val="ListBullet"/>
      </w:pPr>
      <w:r>
        <w:t>Machine and system integration.</w:t>
      </w:r>
    </w:p>
    <w:p>
      <w:pPr>
        <w:pStyle w:val="ListBullet"/>
      </w:pPr>
      <w:r>
        <w:t>Communication with connected equipment.</w:t>
      </w:r>
    </w:p>
    <w:p>
      <w:pPr>
        <w:pStyle w:val="ListBullet"/>
      </w:pPr>
      <w:r>
        <w:t>Safety-related functions under the approved test procedure.</w:t>
      </w:r>
    </w:p>
    <w:p>
      <w:pPr>
        <w:pStyle w:val="ListBullet"/>
      </w:pPr>
      <w:r>
        <w:t>Operating sequences.</w:t>
      </w:r>
    </w:p>
    <w:p>
      <w:pPr>
        <w:pStyle w:val="ListBullet"/>
      </w:pPr>
      <w:r>
        <w:t>Production-relevant performance.</w:t>
      </w:r>
    </w:p>
    <w:p>
      <w:pPr>
        <w:pStyle w:val="ListBullet"/>
      </w:pPr>
      <w:r>
        <w:t>Required handover deliverables.</w:t>
      </w:r>
    </w:p>
    <w:p>
      <w:pPr>
        <w:pStyle w:val="Heading3"/>
      </w:pPr>
      <w:r>
        <w:t>Acceptance conditions</w:t>
      </w:r>
    </w:p>
    <w:p>
      <w:r>
        <w:t>Specify:</w:t>
      </w:r>
    </w:p>
    <w:p>
      <w:pPr>
        <w:pStyle w:val="ListBullet"/>
      </w:pPr>
      <w:r>
        <w:t>Who conducts and witnesses the tests.</w:t>
      </w:r>
    </w:p>
    <w:p>
      <w:pPr>
        <w:pStyle w:val="ListBullet"/>
      </w:pPr>
      <w:r>
        <w:t>Test procedures and pass criteria.</w:t>
      </w:r>
    </w:p>
    <w:p>
      <w:pPr>
        <w:pStyle w:val="ListBullet"/>
      </w:pPr>
      <w:r>
        <w:t>How defects are recorded.</w:t>
      </w:r>
    </w:p>
    <w:p>
      <w:pPr>
        <w:pStyle w:val="ListBullet"/>
      </w:pPr>
      <w:r>
        <w:t>Who corrects each defect.</w:t>
      </w:r>
    </w:p>
    <w:p>
      <w:pPr>
        <w:pStyle w:val="ListBullet"/>
      </w:pPr>
      <w:r>
        <w:t>Retesting requirements.</w:t>
      </w:r>
    </w:p>
    <w:p>
      <w:pPr>
        <w:pStyle w:val="ListBullet"/>
      </w:pPr>
      <w:r>
        <w:t>How deviations are handled.</w:t>
      </w:r>
    </w:p>
    <w:p>
      <w:pPr>
        <w:pStyle w:val="ListBullet"/>
      </w:pPr>
      <w:r>
        <w:t>Which documents are required for acceptance.</w:t>
      </w:r>
    </w:p>
    <w:p>
      <w:pPr>
        <w:pStyle w:val="ListBullet"/>
      </w:pPr>
      <w:r>
        <w:t>Whether partial acceptance is permitted.</w:t>
      </w:r>
    </w:p>
    <w:p>
      <w:pPr>
        <w:pStyle w:val="ListBullet"/>
      </w:pPr>
      <w:r>
        <w:t>How acceptance relates to invoicing or payment milestones.</w:t>
      </w:r>
    </w:p>
    <w:p>
      <w:r>
        <w:t>A statement such as "testing included" does not define the required coverage or acceptance standard.</w:t>
      </w:r>
    </w:p>
    <w:p>
      <w:pPr>
        <w:pStyle w:val="Heading2"/>
      </w:pPr>
      <w:r>
        <w:t>13. Warranty and support terms</w:t>
      </w:r>
    </w:p>
    <w:p>
      <w:r>
        <w:t>Warranty terms should identify the supplier's obligations and the conditions under which those obligations apply.</w:t>
      </w:r>
    </w:p>
    <w:p>
      <w:r>
        <w:t>Check:</w:t>
      </w:r>
    </w:p>
    <w:p>
      <w:pPr>
        <w:pStyle w:val="ListBullet"/>
      </w:pPr>
      <w:r>
        <w:t>Warranty duration.</w:t>
      </w:r>
    </w:p>
    <w:p>
      <w:pPr>
        <w:pStyle w:val="ListBullet"/>
      </w:pPr>
      <w:r>
        <w:t>Warranty commencement date or event.</w:t>
      </w:r>
    </w:p>
    <w:p>
      <w:pPr>
        <w:pStyle w:val="ListBullet"/>
      </w:pPr>
      <w:r>
        <w:t>Covered parts and labor.</w:t>
      </w:r>
    </w:p>
    <w:p>
      <w:pPr>
        <w:pStyle w:val="ListBullet"/>
      </w:pPr>
      <w:r>
        <w:t>Travel and transportation coverage.</w:t>
      </w:r>
    </w:p>
    <w:p>
      <w:pPr>
        <w:pStyle w:val="ListBullet"/>
      </w:pPr>
      <w:r>
        <w:t>Exclusions.</w:t>
      </w:r>
    </w:p>
    <w:p>
      <w:pPr>
        <w:pStyle w:val="ListBullet"/>
      </w:pPr>
      <w:r>
        <w:t>Repair or replacement obligations.</w:t>
      </w:r>
    </w:p>
    <w:p>
      <w:pPr>
        <w:pStyle w:val="ListBullet"/>
      </w:pPr>
      <w:r>
        <w:t>Response and resolution commitments where agreed.</w:t>
      </w:r>
    </w:p>
    <w:p>
      <w:pPr>
        <w:pStyle w:val="ListBullet"/>
      </w:pPr>
      <w:r>
        <w:t>Service availability.</w:t>
      </w:r>
    </w:p>
    <w:p>
      <w:pPr>
        <w:pStyle w:val="ListBullet"/>
      </w:pPr>
      <w:r>
        <w:t>Spare-parts support.</w:t>
      </w:r>
    </w:p>
    <w:p>
      <w:pPr>
        <w:pStyle w:val="ListBullet"/>
      </w:pPr>
      <w:r>
        <w:t>Software and firmware support.</w:t>
      </w:r>
    </w:p>
    <w:p>
      <w:pPr>
        <w:pStyle w:val="ListBullet"/>
      </w:pPr>
      <w:r>
        <w:t>Obsolescence notification.</w:t>
      </w:r>
    </w:p>
    <w:p>
      <w:pPr>
        <w:pStyle w:val="ListBullet"/>
      </w:pPr>
      <w:r>
        <w:t>Warranty claim procedure.</w:t>
      </w:r>
    </w:p>
    <w:p>
      <w:r>
        <w:t>For automation equipment, the warranty commencement event may be delivery, commissioning, or another agreed milestone. The applicable terms must be explicitly documented.</w:t>
      </w:r>
    </w:p>
    <w:p>
      <w:r>
        <w:t>Do not assume that the manufacturer's standard warranty automatically covers the complete system integration performed by a system integrator.</w:t>
      </w:r>
    </w:p>
    <w:p>
      <w:pPr>
        <w:pStyle w:val="Heading2"/>
      </w:pPr>
      <w:r>
        <w:t>14. Payment terms and invoice controls</w:t>
      </w:r>
    </w:p>
    <w:p>
      <w:r>
        <w:t>Payment terms define when and under what conditions the supplier may invoice and receive payment.</w:t>
      </w:r>
    </w:p>
    <w:p>
      <w:r>
        <w:t>Possible arrangements include:</w:t>
      </w:r>
    </w:p>
    <w:p>
      <w:pPr>
        <w:pStyle w:val="ListBullet"/>
      </w:pPr>
      <w:r>
        <w:t>Payment after delivery and acceptance.</w:t>
      </w:r>
    </w:p>
    <w:p>
      <w:pPr>
        <w:pStyle w:val="ListBullet"/>
      </w:pPr>
      <w:r>
        <w:t>Advance payment subject to approved conditions.</w:t>
      </w:r>
    </w:p>
    <w:p>
      <w:pPr>
        <w:pStyle w:val="ListBullet"/>
      </w:pPr>
      <w:r>
        <w:t>Payments linked to engineering milestones.</w:t>
      </w:r>
    </w:p>
    <w:p>
      <w:pPr>
        <w:pStyle w:val="ListBullet"/>
      </w:pPr>
      <w:r>
        <w:t>Payments linked to FAT or SAT.</w:t>
      </w:r>
    </w:p>
    <w:p>
      <w:pPr>
        <w:pStyle w:val="ListBullet"/>
      </w:pPr>
      <w:r>
        <w:t>Retention or other agreed contractual mechanisms.</w:t>
      </w:r>
    </w:p>
    <w:p>
      <w:r>
        <w:t>For milestone-based payments, define the milestone, required evidence, invoice conditions, and approval authority.</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Milestone</w:t>
            </w:r>
          </w:p>
        </w:tc>
        <w:tc>
          <w:tcPr>
            <w:tcW w:type="dxa" w:w="3600"/>
            <w:shd w:val="clear" w:color="auto" w:fill="EEF2F7"/>
          </w:tcPr>
          <w:p>
            <w:pPr>
              <w:spacing w:after="0" w:before="0" w:line="240" w:lineRule="auto"/>
              <w:jc w:val="left"/>
            </w:pPr>
            <w:r>
              <w:rPr>
                <w:b/>
                <w:color w:val="1A2E4A"/>
              </w:rPr>
              <w:t>Payment condition</w:t>
            </w:r>
          </w:p>
        </w:tc>
        <w:tc>
          <w:tcPr>
            <w:tcW w:type="dxa" w:w="3600"/>
            <w:shd w:val="clear" w:color="auto" w:fill="EEF2F7"/>
          </w:tcPr>
          <w:p>
            <w:pPr>
              <w:spacing w:after="0" w:before="0" w:line="240" w:lineRule="auto"/>
              <w:jc w:val="left"/>
            </w:pPr>
            <w:r>
              <w:rPr>
                <w:b/>
                <w:color w:val="1A2E4A"/>
              </w:rPr>
              <w:t>Evidence</w:t>
            </w:r>
          </w:p>
        </w:tc>
      </w:tr>
      <w:tr>
        <w:tc>
          <w:tcPr>
            <w:tcW w:type="dxa" w:w="3600"/>
          </w:tcPr>
          <w:p>
            <w:pPr>
              <w:spacing w:after="0" w:before="0" w:line="240" w:lineRule="auto"/>
              <w:jc w:val="left"/>
            </w:pPr>
            <w:r>
              <w:t>Design approval</w:t>
            </w:r>
          </w:p>
        </w:tc>
        <w:tc>
          <w:tcPr>
            <w:tcW w:type="dxa" w:w="3600"/>
          </w:tcPr>
          <w:p>
            <w:pPr>
              <w:spacing w:after="0" w:before="0" w:line="240" w:lineRule="auto"/>
              <w:jc w:val="left"/>
            </w:pPr>
            <w:r>
              <w:t>Approved design package</w:t>
            </w:r>
          </w:p>
        </w:tc>
        <w:tc>
          <w:tcPr>
            <w:tcW w:type="dxa" w:w="3600"/>
          </w:tcPr>
          <w:p>
            <w:pPr>
              <w:spacing w:after="0" w:before="0" w:line="240" w:lineRule="auto"/>
              <w:jc w:val="left"/>
            </w:pPr>
            <w:r>
              <w:t>Design approval record</w:t>
            </w:r>
          </w:p>
        </w:tc>
      </w:tr>
      <w:tr>
        <w:tc>
          <w:tcPr>
            <w:tcW w:type="dxa" w:w="3600"/>
          </w:tcPr>
          <w:p>
            <w:pPr>
              <w:spacing w:after="0" w:before="0" w:line="240" w:lineRule="auto"/>
              <w:jc w:val="left"/>
            </w:pPr>
            <w:r>
              <w:t>Material delivery</w:t>
            </w:r>
          </w:p>
        </w:tc>
        <w:tc>
          <w:tcPr>
            <w:tcW w:type="dxa" w:w="3600"/>
          </w:tcPr>
          <w:p>
            <w:pPr>
              <w:spacing w:after="0" w:before="0" w:line="240" w:lineRule="auto"/>
              <w:jc w:val="left"/>
            </w:pPr>
            <w:r>
              <w:t>Receipt of specified material</w:t>
            </w:r>
          </w:p>
        </w:tc>
        <w:tc>
          <w:tcPr>
            <w:tcW w:type="dxa" w:w="3600"/>
          </w:tcPr>
          <w:p>
            <w:pPr>
              <w:spacing w:after="0" w:before="0" w:line="240" w:lineRule="auto"/>
              <w:jc w:val="left"/>
            </w:pPr>
            <w:r>
              <w:t>Goods receipt and inspection</w:t>
            </w:r>
          </w:p>
        </w:tc>
      </w:tr>
      <w:tr>
        <w:tc>
          <w:tcPr>
            <w:tcW w:type="dxa" w:w="3600"/>
          </w:tcPr>
          <w:p>
            <w:pPr>
              <w:spacing w:after="0" w:before="0" w:line="240" w:lineRule="auto"/>
              <w:jc w:val="left"/>
            </w:pPr>
            <w:r>
              <w:t>FAT completion</w:t>
            </w:r>
          </w:p>
        </w:tc>
        <w:tc>
          <w:tcPr>
            <w:tcW w:type="dxa" w:w="3600"/>
          </w:tcPr>
          <w:p>
            <w:pPr>
              <w:spacing w:after="0" w:before="0" w:line="240" w:lineRule="auto"/>
              <w:jc w:val="left"/>
            </w:pPr>
            <w:r>
              <w:t>Successful FAT under agreed criteria</w:t>
            </w:r>
          </w:p>
        </w:tc>
        <w:tc>
          <w:tcPr>
            <w:tcW w:type="dxa" w:w="3600"/>
          </w:tcPr>
          <w:p>
            <w:pPr>
              <w:spacing w:after="0" w:before="0" w:line="240" w:lineRule="auto"/>
              <w:jc w:val="left"/>
            </w:pPr>
            <w:r>
              <w:t>Approved FAT report</w:t>
            </w:r>
          </w:p>
        </w:tc>
      </w:tr>
      <w:tr>
        <w:tc>
          <w:tcPr>
            <w:tcW w:type="dxa" w:w="3600"/>
          </w:tcPr>
          <w:p>
            <w:pPr>
              <w:spacing w:after="0" w:before="0" w:line="240" w:lineRule="auto"/>
              <w:jc w:val="left"/>
            </w:pPr>
            <w:r>
              <w:t>Final acceptance</w:t>
            </w:r>
          </w:p>
        </w:tc>
        <w:tc>
          <w:tcPr>
            <w:tcW w:type="dxa" w:w="3600"/>
          </w:tcPr>
          <w:p>
            <w:pPr>
              <w:spacing w:after="0" w:before="0" w:line="240" w:lineRule="auto"/>
              <w:jc w:val="left"/>
            </w:pPr>
            <w:r>
              <w:t>Completion of agreed handover</w:t>
            </w:r>
          </w:p>
        </w:tc>
        <w:tc>
          <w:tcPr>
            <w:tcW w:type="dxa" w:w="3600"/>
          </w:tcPr>
          <w:p>
            <w:pPr>
              <w:spacing w:after="0" w:before="0" w:line="240" w:lineRule="auto"/>
              <w:jc w:val="left"/>
            </w:pPr>
            <w:r>
              <w:t>SAT and handover acceptance</w:t>
            </w:r>
          </w:p>
        </w:tc>
      </w:tr>
    </w:tbl>
    <w:p/>
    <w:p>
      <w:r>
        <w:t>The percentages and commercial structure should come from the approved contract, not be invented by the engineer preparing the PO.</w:t>
      </w:r>
    </w:p>
    <w:p>
      <w:r>
        <w:t>Invoice verification may require matching the PO, receipt or service-entry record, inspection or acceptance evidence, and supplier invoice according to company procedure.</w:t>
      </w:r>
    </w:p>
    <w:p>
      <w:pPr>
        <w:pStyle w:val="Heading2"/>
      </w:pPr>
      <w:r>
        <w:t>15. PO changes, revisions, and amendments</w:t>
      </w:r>
    </w:p>
    <w:p>
      <w:r>
        <w:t>Changes after PO release must be controlled.</w:t>
      </w:r>
    </w:p>
    <w:p>
      <w:r>
        <w:t>Typical changes include:</w:t>
      </w:r>
    </w:p>
    <w:p>
      <w:pPr>
        <w:pStyle w:val="ListBullet"/>
      </w:pPr>
      <w:r>
        <w:t>Quantity revisions.</w:t>
      </w:r>
    </w:p>
    <w:p>
      <w:pPr>
        <w:pStyle w:val="ListBullet"/>
      </w:pPr>
      <w:r>
        <w:t>Model or part-number substitutions.</w:t>
      </w:r>
    </w:p>
    <w:p>
      <w:pPr>
        <w:pStyle w:val="ListBullet"/>
      </w:pPr>
      <w:r>
        <w:t>Specification changes.</w:t>
      </w:r>
    </w:p>
    <w:p>
      <w:pPr>
        <w:pStyle w:val="ListBullet"/>
      </w:pPr>
      <w:r>
        <w:t>Delivery-date changes.</w:t>
      </w:r>
    </w:p>
    <w:p>
      <w:pPr>
        <w:pStyle w:val="ListBullet"/>
      </w:pPr>
      <w:r>
        <w:t>Price changes.</w:t>
      </w:r>
    </w:p>
    <w:p>
      <w:pPr>
        <w:pStyle w:val="ListBullet"/>
      </w:pPr>
      <w:r>
        <w:t>Additional engineering services.</w:t>
      </w:r>
    </w:p>
    <w:p>
      <w:pPr>
        <w:pStyle w:val="ListBullet"/>
      </w:pPr>
      <w:r>
        <w:t>Commissioning-scope changes.</w:t>
      </w:r>
    </w:p>
    <w:p>
      <w:pPr>
        <w:pStyle w:val="ListBullet"/>
      </w:pPr>
      <w:r>
        <w:t>Warranty changes.</w:t>
      </w:r>
    </w:p>
    <w:p>
      <w:pPr>
        <w:pStyle w:val="ListBullet"/>
      </w:pPr>
      <w:r>
        <w:t>Cancellation or partial cancellation.</w:t>
      </w:r>
    </w:p>
    <w:p>
      <w:r>
        <w:t>A controlled change process should:</w:t>
      </w:r>
    </w:p>
    <w:p>
      <w:pPr>
        <w:tabs>
          <w:tab w:pos="403" w:val="left"/>
        </w:tabs>
        <w:spacing w:after="40" w:line="276" w:lineRule="auto"/>
        <w:ind w:left="403" w:hanging="403"/>
        <w:jc w:val="left"/>
      </w:pPr>
      <w:r>
        <w:rPr>
          <w:color w:val="1A2E4A"/>
        </w:rPr>
        <w:t>1.</w:t>
        <w:tab/>
      </w:r>
      <w:r>
        <w:t>Record the requested change and its reason.</w:t>
      </w:r>
    </w:p>
    <w:p>
      <w:pPr>
        <w:tabs>
          <w:tab w:pos="403" w:val="left"/>
        </w:tabs>
        <w:spacing w:after="40" w:line="276" w:lineRule="auto"/>
        <w:ind w:left="403" w:hanging="403"/>
        <w:jc w:val="left"/>
      </w:pPr>
      <w:r>
        <w:rPr>
          <w:color w:val="1A2E4A"/>
        </w:rPr>
        <w:t>2.</w:t>
        <w:tab/>
      </w:r>
      <w:r>
        <w:t>Assess technical, commercial, schedule, safety, and quality impacts.</w:t>
      </w:r>
    </w:p>
    <w:p>
      <w:pPr>
        <w:tabs>
          <w:tab w:pos="403" w:val="left"/>
        </w:tabs>
        <w:spacing w:after="40" w:line="276" w:lineRule="auto"/>
        <w:ind w:left="403" w:hanging="403"/>
        <w:jc w:val="left"/>
      </w:pPr>
      <w:r>
        <w:rPr>
          <w:color w:val="1A2E4A"/>
        </w:rPr>
        <w:t>3.</w:t>
        <w:tab/>
      </w:r>
      <w:r>
        <w:t>Obtain engineering and procurement reviews.</w:t>
      </w:r>
    </w:p>
    <w:p>
      <w:pPr>
        <w:tabs>
          <w:tab w:pos="403" w:val="left"/>
        </w:tabs>
        <w:spacing w:after="40" w:line="276" w:lineRule="auto"/>
        <w:ind w:left="403" w:hanging="403"/>
        <w:jc w:val="left"/>
      </w:pPr>
      <w:r>
        <w:rPr>
          <w:color w:val="1A2E4A"/>
        </w:rPr>
        <w:t>4.</w:t>
        <w:tab/>
      </w:r>
      <w:r>
        <w:t>Obtain financial or management approvals where required.</w:t>
      </w:r>
    </w:p>
    <w:p>
      <w:pPr>
        <w:tabs>
          <w:tab w:pos="403" w:val="left"/>
        </w:tabs>
        <w:spacing w:after="40" w:line="276" w:lineRule="auto"/>
        <w:ind w:left="403" w:hanging="403"/>
        <w:jc w:val="left"/>
      </w:pPr>
      <w:r>
        <w:rPr>
          <w:color w:val="1A2E4A"/>
        </w:rPr>
        <w:t>5.</w:t>
        <w:tab/>
      </w:r>
      <w:r>
        <w:t>Update the PO through the authorized process.</w:t>
      </w:r>
    </w:p>
    <w:p>
      <w:pPr>
        <w:tabs>
          <w:tab w:pos="403" w:val="left"/>
        </w:tabs>
        <w:spacing w:after="40" w:line="276" w:lineRule="auto"/>
        <w:ind w:left="403" w:hanging="403"/>
        <w:jc w:val="left"/>
      </w:pPr>
      <w:r>
        <w:rPr>
          <w:color w:val="1A2E4A"/>
        </w:rPr>
        <w:t>6.</w:t>
        <w:tab/>
      </w:r>
      <w:r>
        <w:t>Communicate the approved revision to the supplier.</w:t>
      </w:r>
    </w:p>
    <w:p>
      <w:pPr>
        <w:tabs>
          <w:tab w:pos="403" w:val="left"/>
        </w:tabs>
        <w:spacing w:after="40" w:line="276" w:lineRule="auto"/>
        <w:ind w:left="403" w:hanging="403"/>
        <w:jc w:val="left"/>
      </w:pPr>
      <w:r>
        <w:rPr>
          <w:color w:val="1A2E4A"/>
        </w:rPr>
        <w:t>7.</w:t>
        <w:tab/>
      </w:r>
      <w:r>
        <w:t>Update affected drawings, BOMs, schedules, and records.</w:t>
      </w:r>
    </w:p>
    <w:p>
      <w:pPr>
        <w:tabs>
          <w:tab w:pos="403" w:val="left"/>
        </w:tabs>
        <w:spacing w:after="40" w:line="276" w:lineRule="auto"/>
        <w:ind w:left="403" w:hanging="403"/>
        <w:jc w:val="left"/>
      </w:pPr>
      <w:r>
        <w:rPr>
          <w:color w:val="1A2E4A"/>
        </w:rPr>
        <w:t>8.</w:t>
        <w:tab/>
      </w:r>
      <w:r>
        <w:t>Preserve the original order and revision history.</w:t>
      </w:r>
    </w:p>
    <w:p>
      <w:r>
        <w:t>Do not modify a released PO informally through an email or verbal instruction when formal amendment is required.</w:t>
      </w:r>
    </w:p>
    <w:p>
      <w:r>
        <w:t>A substitution that appears minor commercially may introduce firmware incompatibility, different wiring, a safety issue, or an unplanned engineering task.</w:t>
      </w:r>
    </w:p>
    <w:p>
      <w:pPr>
        <w:pStyle w:val="Heading2"/>
      </w:pPr>
      <w:r>
        <w:t>16. SAP purchase-order lifecycle</w:t>
      </w:r>
    </w:p>
    <w:p>
      <w:r>
        <w:t>SAP is commonly used in industrial procurement to create, approve, release, receive, and monitor purchasing documents. The exact screens and transactions depend on the SAP product, configuration, roles, and company procedures.</w:t>
      </w:r>
    </w:p>
    <w:p>
      <w:r>
        <w:t>A typical SAP purchasing flow is:</w:t>
      </w:r>
    </w:p>
    <w:p>
      <w:pPr>
        <w:shd w:val="clear" w:color="auto" w:fill="F4F4F4"/>
        <w:spacing w:before="0" w:after="0" w:line="240" w:lineRule="auto"/>
        <w:ind w:left="216" w:right="216"/>
        <w:jc w:val="left"/>
      </w:pPr>
      <w:r>
        <w:rPr>
          <w:rFonts w:ascii="Consolas" w:hAnsi="Consolas"/>
          <w:color w:val="202020"/>
          <w:sz w:val="18"/>
        </w:rPr>
        <w:t>Purchase Requisition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Source Determination / Supplier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Creation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 Approval / Release Strategy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 Output and Supplier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Goods Receipt or Service Entry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Invoice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Payment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 Closure</w:t>
      </w:r>
    </w:p>
    <w:p/>
    <w:p>
      <w:pPr>
        <w:pStyle w:val="Heading3"/>
      </w:pPr>
      <w:r>
        <w:t>Typical SAP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Concept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Purchase requisition</w:t>
            </w:r>
          </w:p>
        </w:tc>
        <w:tc>
          <w:tcPr>
            <w:tcW w:type="dxa" w:w="5400"/>
          </w:tcPr>
          <w:p>
            <w:pPr>
              <w:spacing w:after="0" w:before="0" w:line="240" w:lineRule="auto"/>
              <w:jc w:val="left"/>
            </w:pPr>
            <w:r>
              <w:t>Internal request for goods or services</w:t>
            </w:r>
          </w:p>
        </w:tc>
      </w:tr>
      <w:tr>
        <w:tc>
          <w:tcPr>
            <w:tcW w:type="dxa" w:w="5400"/>
          </w:tcPr>
          <w:p>
            <w:pPr>
              <w:spacing w:after="0" w:before="0" w:line="240" w:lineRule="auto"/>
              <w:jc w:val="left"/>
            </w:pPr>
            <w:r>
              <w:t>Source determination</w:t>
            </w:r>
          </w:p>
        </w:tc>
        <w:tc>
          <w:tcPr>
            <w:tcW w:type="dxa" w:w="5400"/>
          </w:tcPr>
          <w:p>
            <w:pPr>
              <w:spacing w:after="0" w:before="0" w:line="240" w:lineRule="auto"/>
              <w:jc w:val="left"/>
            </w:pPr>
            <w:r>
              <w:t>Identifies an approved supply source</w:t>
            </w:r>
          </w:p>
        </w:tc>
      </w:tr>
      <w:tr>
        <w:tc>
          <w:tcPr>
            <w:tcW w:type="dxa" w:w="5400"/>
          </w:tcPr>
          <w:p>
            <w:pPr>
              <w:spacing w:after="0" w:before="0" w:line="240" w:lineRule="auto"/>
              <w:jc w:val="left"/>
            </w:pPr>
            <w:r>
              <w:t>Purchase order</w:t>
            </w:r>
          </w:p>
        </w:tc>
        <w:tc>
          <w:tcPr>
            <w:tcW w:type="dxa" w:w="5400"/>
          </w:tcPr>
          <w:p>
            <w:pPr>
              <w:spacing w:after="0" w:before="0" w:line="240" w:lineRule="auto"/>
              <w:jc w:val="left"/>
            </w:pPr>
            <w:r>
              <w:t>Formal purchasing document</w:t>
            </w:r>
          </w:p>
        </w:tc>
      </w:tr>
      <w:tr>
        <w:tc>
          <w:tcPr>
            <w:tcW w:type="dxa" w:w="5400"/>
          </w:tcPr>
          <w:p>
            <w:pPr>
              <w:spacing w:after="0" w:before="0" w:line="240" w:lineRule="auto"/>
              <w:jc w:val="left"/>
            </w:pPr>
            <w:r>
              <w:t>Release strategy or workflow</w:t>
            </w:r>
          </w:p>
        </w:tc>
        <w:tc>
          <w:tcPr>
            <w:tcW w:type="dxa" w:w="5400"/>
          </w:tcPr>
          <w:p>
            <w:pPr>
              <w:spacing w:after="0" w:before="0" w:line="240" w:lineRule="auto"/>
              <w:jc w:val="left"/>
            </w:pPr>
            <w:r>
              <w:t>Applies required approvals</w:t>
            </w:r>
          </w:p>
        </w:tc>
      </w:tr>
      <w:tr>
        <w:tc>
          <w:tcPr>
            <w:tcW w:type="dxa" w:w="5400"/>
          </w:tcPr>
          <w:p>
            <w:pPr>
              <w:spacing w:after="0" w:before="0" w:line="240" w:lineRule="auto"/>
              <w:jc w:val="left"/>
            </w:pPr>
            <w:r>
              <w:t>Goods receipt</w:t>
            </w:r>
          </w:p>
        </w:tc>
        <w:tc>
          <w:tcPr>
            <w:tcW w:type="dxa" w:w="5400"/>
          </w:tcPr>
          <w:p>
            <w:pPr>
              <w:spacing w:after="0" w:before="0" w:line="240" w:lineRule="auto"/>
              <w:jc w:val="left"/>
            </w:pPr>
            <w:r>
              <w:t>Records receipt of physical material</w:t>
            </w:r>
          </w:p>
        </w:tc>
      </w:tr>
      <w:tr>
        <w:tc>
          <w:tcPr>
            <w:tcW w:type="dxa" w:w="5400"/>
          </w:tcPr>
          <w:p>
            <w:pPr>
              <w:spacing w:after="0" w:before="0" w:line="240" w:lineRule="auto"/>
              <w:jc w:val="left"/>
            </w:pPr>
            <w:r>
              <w:t>Quality inspection</w:t>
            </w:r>
          </w:p>
        </w:tc>
        <w:tc>
          <w:tcPr>
            <w:tcW w:type="dxa" w:w="5400"/>
          </w:tcPr>
          <w:p>
            <w:pPr>
              <w:spacing w:after="0" w:before="0" w:line="240" w:lineRule="auto"/>
              <w:jc w:val="left"/>
            </w:pPr>
            <w:r>
              <w:t>Verifies material conformity where applicable</w:t>
            </w:r>
          </w:p>
        </w:tc>
      </w:tr>
      <w:tr>
        <w:tc>
          <w:tcPr>
            <w:tcW w:type="dxa" w:w="5400"/>
          </w:tcPr>
          <w:p>
            <w:pPr>
              <w:spacing w:after="0" w:before="0" w:line="240" w:lineRule="auto"/>
              <w:jc w:val="left"/>
            </w:pPr>
            <w:r>
              <w:t>Service entry sheet</w:t>
            </w:r>
          </w:p>
        </w:tc>
        <w:tc>
          <w:tcPr>
            <w:tcW w:type="dxa" w:w="5400"/>
          </w:tcPr>
          <w:p>
            <w:pPr>
              <w:spacing w:after="0" w:before="0" w:line="240" w:lineRule="auto"/>
              <w:jc w:val="left"/>
            </w:pPr>
            <w:r>
              <w:t>Records service performance where used</w:t>
            </w:r>
          </w:p>
        </w:tc>
      </w:tr>
      <w:tr>
        <w:tc>
          <w:tcPr>
            <w:tcW w:type="dxa" w:w="5400"/>
          </w:tcPr>
          <w:p>
            <w:pPr>
              <w:spacing w:after="0" w:before="0" w:line="240" w:lineRule="auto"/>
              <w:jc w:val="left"/>
            </w:pPr>
            <w:r>
              <w:t>Invoice verification</w:t>
            </w:r>
          </w:p>
        </w:tc>
        <w:tc>
          <w:tcPr>
            <w:tcW w:type="dxa" w:w="5400"/>
          </w:tcPr>
          <w:p>
            <w:pPr>
              <w:spacing w:after="0" w:before="0" w:line="240" w:lineRule="auto"/>
              <w:jc w:val="left"/>
            </w:pPr>
            <w:r>
              <w:t>Checks the supplier invoice against purchasing and receipt records</w:t>
            </w:r>
          </w:p>
        </w:tc>
      </w:tr>
      <w:tr>
        <w:tc>
          <w:tcPr>
            <w:tcW w:type="dxa" w:w="5400"/>
          </w:tcPr>
          <w:p>
            <w:pPr>
              <w:spacing w:after="0" w:before="0" w:line="240" w:lineRule="auto"/>
              <w:jc w:val="left"/>
            </w:pPr>
            <w:r>
              <w:t>Purchase-order history</w:t>
            </w:r>
          </w:p>
        </w:tc>
        <w:tc>
          <w:tcPr>
            <w:tcW w:type="dxa" w:w="5400"/>
          </w:tcPr>
          <w:p>
            <w:pPr>
              <w:spacing w:after="0" w:before="0" w:line="240" w:lineRule="auto"/>
              <w:jc w:val="left"/>
            </w:pPr>
            <w:r>
              <w:t>Tracks receipts, invoices, and relevant document events</w:t>
            </w:r>
          </w:p>
        </w:tc>
      </w:tr>
    </w:tbl>
    <w:p/>
    <w:p>
      <w:pPr>
        <w:pStyle w:val="Heading3"/>
      </w:pPr>
      <w:r>
        <w:t>Goods versus services</w:t>
      </w:r>
    </w:p>
    <w:p>
      <w:r>
        <w:t>Physical equipment commonly requires a goods receipt. Engineering or commissioning services may require service-entry records and acceptance evidence. Some orders combine goods and services.</w:t>
      </w:r>
    </w:p>
    <w:p>
      <w:r>
        <w:t>The required process depends on the PO item category and the company's configured controls.</w:t>
      </w:r>
    </w:p>
    <w:p>
      <w:pPr>
        <w:pStyle w:val="Heading3"/>
      </w:pPr>
      <w:r>
        <w:t>Practical SAP discipline</w:t>
      </w:r>
    </w:p>
    <w:p>
      <w:pPr>
        <w:pStyle w:val="ListBullet"/>
      </w:pPr>
      <w:r>
        <w:t>Verify the supplier, plant, purchasing organization, and account assignment.</w:t>
      </w:r>
    </w:p>
    <w:p>
      <w:pPr>
        <w:pStyle w:val="ListBullet"/>
      </w:pPr>
      <w:r>
        <w:t>Check material or service descriptions.</w:t>
      </w:r>
    </w:p>
    <w:p>
      <w:pPr>
        <w:pStyle w:val="ListBullet"/>
      </w:pPr>
      <w:r>
        <w:t>Confirm quantity, unit, currency, price, and tax settings.</w:t>
      </w:r>
    </w:p>
    <w:p>
      <w:pPr>
        <w:pStyle w:val="ListBullet"/>
      </w:pPr>
      <w:r>
        <w:t>Verify delivery dates and purchasing conditions.</w:t>
      </w:r>
    </w:p>
    <w:p>
      <w:pPr>
        <w:pStyle w:val="ListBullet"/>
      </w:pPr>
      <w:r>
        <w:t>Attach or reference the correct technical documents.</w:t>
      </w:r>
    </w:p>
    <w:p>
      <w:pPr>
        <w:pStyle w:val="ListBullet"/>
      </w:pPr>
      <w:r>
        <w:t>Follow the required release workflow.</w:t>
      </w:r>
    </w:p>
    <w:p>
      <w:pPr>
        <w:pStyle w:val="ListBullet"/>
      </w:pPr>
      <w:r>
        <w:t>Confirm that the PO has actually been released before treating it as authorized.</w:t>
      </w:r>
    </w:p>
    <w:p>
      <w:pPr>
        <w:pStyle w:val="ListBullet"/>
      </w:pPr>
      <w:r>
        <w:t>Record receipts and service completion accurately.</w:t>
      </w:r>
    </w:p>
    <w:p>
      <w:pPr>
        <w:pStyle w:val="ListBullet"/>
      </w:pPr>
      <w:r>
        <w:t>Resolve invoice discrepancies through the formal process.</w:t>
      </w:r>
    </w:p>
    <w:p>
      <w:pPr>
        <w:pStyle w:val="Heading2"/>
      </w:pPr>
      <w:r>
        <w:t>17. Purchase orders for repair and maintenance work</w:t>
      </w:r>
    </w:p>
    <w:p>
      <w:r>
        <w:t>Maintenance procurement often includes repair services for PLC modules, CNC boards, HMI units, drives, industrial PCs, power supplies, and other automation equipment.</w:t>
      </w:r>
    </w:p>
    <w:p>
      <w:r>
        <w:t>A repair PO should define more than "repair defective module."</w:t>
      </w:r>
    </w:p>
    <w:p>
      <w:r>
        <w:t>Specify where applicable:</w:t>
      </w:r>
    </w:p>
    <w:p>
      <w:pPr>
        <w:pStyle w:val="ListBullet"/>
      </w:pPr>
      <w:r>
        <w:t>Equipment manufacturer and model.</w:t>
      </w:r>
    </w:p>
    <w:p>
      <w:pPr>
        <w:pStyle w:val="ListBullet"/>
      </w:pPr>
      <w:r>
        <w:t>Part number and serial number.</w:t>
      </w:r>
    </w:p>
    <w:p>
      <w:pPr>
        <w:pStyle w:val="ListBullet"/>
      </w:pPr>
      <w:r>
        <w:t>Reported fault and symptoms.</w:t>
      </w:r>
    </w:p>
    <w:p>
      <w:pPr>
        <w:pStyle w:val="ListBullet"/>
      </w:pPr>
      <w:r>
        <w:t>Existing diagnostic information.</w:t>
      </w:r>
    </w:p>
    <w:p>
      <w:pPr>
        <w:pStyle w:val="ListBullet"/>
      </w:pPr>
      <w:r>
        <w:t>Inspection and repair scope.</w:t>
      </w:r>
    </w:p>
    <w:p>
      <w:pPr>
        <w:pStyle w:val="ListBullet"/>
      </w:pPr>
      <w:r>
        <w:t>Whether diagnosis charges apply if repair is not approved.</w:t>
      </w:r>
    </w:p>
    <w:p>
      <w:pPr>
        <w:pStyle w:val="ListBullet"/>
      </w:pPr>
      <w:r>
        <w:t>Authorization required for additional work.</w:t>
      </w:r>
    </w:p>
    <w:p>
      <w:pPr>
        <w:pStyle w:val="ListBullet"/>
      </w:pPr>
      <w:r>
        <w:t>Replacement parts and their traceability.</w:t>
      </w:r>
    </w:p>
    <w:p>
      <w:pPr>
        <w:pStyle w:val="ListBullet"/>
      </w:pPr>
      <w:r>
        <w:t>Functional testing requirements.</w:t>
      </w:r>
    </w:p>
    <w:p>
      <w:pPr>
        <w:pStyle w:val="ListBullet"/>
      </w:pPr>
      <w:r>
        <w:t>Calibration or verification requirements where relevant.</w:t>
      </w:r>
    </w:p>
    <w:p>
      <w:pPr>
        <w:pStyle w:val="ListBullet"/>
      </w:pPr>
      <w:r>
        <w:t>Repair warranty.</w:t>
      </w:r>
    </w:p>
    <w:p>
      <w:pPr>
        <w:pStyle w:val="ListBullet"/>
      </w:pPr>
      <w:r>
        <w:t>Return packaging and transportation.</w:t>
      </w:r>
    </w:p>
    <w:p>
      <w:pPr>
        <w:pStyle w:val="ListBullet"/>
      </w:pPr>
      <w:r>
        <w:t>Expected turnaround time.</w:t>
      </w:r>
    </w:p>
    <w:p>
      <w:pPr>
        <w:pStyle w:val="ListBullet"/>
      </w:pPr>
      <w:r>
        <w:t>Test report and replaced-parts report.</w:t>
      </w:r>
    </w:p>
    <w:p>
      <w:pPr>
        <w:pStyle w:val="ListBullet"/>
      </w:pPr>
      <w:r>
        <w:t>Responsibility for data or configuration backup, where relevant.</w:t>
      </w:r>
    </w:p>
    <w:p>
      <w:pPr>
        <w:pStyle w:val="Heading3"/>
      </w:pPr>
      <w:r>
        <w:t>Example: PLC module repair</w:t>
      </w:r>
    </w:p>
    <w:p>
      <w:r>
        <w:t>A useful scope may require the supplier to:</w:t>
      </w:r>
    </w:p>
    <w:p>
      <w:pPr>
        <w:pStyle w:val="ListBullet"/>
      </w:pPr>
      <w:r>
        <w:t>Diagnose the reported intermittent communication failure.</w:t>
      </w:r>
    </w:p>
    <w:p>
      <w:pPr>
        <w:pStyle w:val="ListBullet"/>
      </w:pPr>
      <w:r>
        <w:t>Submit the fault findings and repair quotation.</w:t>
      </w:r>
    </w:p>
    <w:p>
      <w:pPr>
        <w:pStyle w:val="ListBullet"/>
      </w:pPr>
      <w:r>
        <w:t>Obtain approval before exceeding the authorized repair value.</w:t>
      </w:r>
    </w:p>
    <w:p>
      <w:pPr>
        <w:pStyle w:val="ListBullet"/>
      </w:pPr>
      <w:r>
        <w:t>Replace only agreed components or obtain approval for alternatives.</w:t>
      </w:r>
    </w:p>
    <w:p>
      <w:pPr>
        <w:pStyle w:val="ListBullet"/>
      </w:pPr>
      <w:r>
        <w:t>Test communication and applicable I/O functions after repair.</w:t>
      </w:r>
    </w:p>
    <w:p>
      <w:pPr>
        <w:pStyle w:val="ListBullet"/>
      </w:pPr>
      <w:r>
        <w:t>Supply a repair report identifying replaced components.</w:t>
      </w:r>
    </w:p>
    <w:p>
      <w:pPr>
        <w:pStyle w:val="ListBullet"/>
      </w:pPr>
      <w:r>
        <w:t>Return the module with the agreed warranty and packaging.</w:t>
      </w:r>
    </w:p>
    <w:p>
      <w:r>
        <w:t>For safety-critical components, use only an approved repair and validation route appropriate to the equipment and applicable safety requirements.</w:t>
      </w:r>
    </w:p>
    <w:p>
      <w:pPr>
        <w:pStyle w:val="Heading2"/>
      </w:pPr>
      <w:r>
        <w:t>18. Purchase orders for automation projects</w:t>
      </w:r>
    </w:p>
    <w:p>
      <w:r>
        <w:t>A turnkey automation PO often requires more detailed controls than a purchase for standard material.</w:t>
      </w:r>
    </w:p>
    <w:p>
      <w:pPr>
        <w:pStyle w:val="Heading3"/>
      </w:pPr>
      <w:r>
        <w:t>Hardware</w:t>
      </w:r>
    </w:p>
    <w:p>
      <w:r>
        <w:t>Define:</w:t>
      </w:r>
    </w:p>
    <w:p>
      <w:pPr>
        <w:pStyle w:val="ListBullet"/>
      </w:pPr>
      <w:r>
        <w:t>Manufacturer and exact part numbers.</w:t>
      </w:r>
    </w:p>
    <w:p>
      <w:pPr>
        <w:pStyle w:val="ListBullet"/>
      </w:pPr>
      <w:r>
        <w:t>Quantities and approved alternatives, if any.</w:t>
      </w:r>
    </w:p>
    <w:p>
      <w:pPr>
        <w:pStyle w:val="ListBullet"/>
      </w:pPr>
      <w:r>
        <w:t>Electrical and environmental ratings.</w:t>
      </w:r>
    </w:p>
    <w:p>
      <w:pPr>
        <w:pStyle w:val="ListBullet"/>
      </w:pPr>
      <w:r>
        <w:t>Accessories and connectors.</w:t>
      </w:r>
    </w:p>
    <w:p>
      <w:pPr>
        <w:pStyle w:val="ListBullet"/>
      </w:pPr>
      <w:r>
        <w:t>Approved BOM revision.</w:t>
      </w:r>
    </w:p>
    <w:p>
      <w:pPr>
        <w:pStyle w:val="ListBullet"/>
      </w:pPr>
      <w:r>
        <w:t>Inspection and delivery requirements.</w:t>
      </w:r>
    </w:p>
    <w:p>
      <w:pPr>
        <w:pStyle w:val="Heading3"/>
      </w:pPr>
      <w:r>
        <w:t>Software and engineering</w:t>
      </w:r>
    </w:p>
    <w:p>
      <w:r>
        <w:t>Define:</w:t>
      </w:r>
    </w:p>
    <w:p>
      <w:pPr>
        <w:pStyle w:val="ListBullet"/>
      </w:pPr>
      <w:r>
        <w:t>Functional scope.</w:t>
      </w:r>
    </w:p>
    <w:p>
      <w:pPr>
        <w:pStyle w:val="ListBullet"/>
      </w:pPr>
      <w:r>
        <w:t>PLC, HMI, CNC, robot, and drive interfaces.</w:t>
      </w:r>
    </w:p>
    <w:p>
      <w:pPr>
        <w:pStyle w:val="ListBullet"/>
      </w:pPr>
      <w:r>
        <w:t>Software and firmware versions where applicable.</w:t>
      </w:r>
    </w:p>
    <w:p>
      <w:pPr>
        <w:pStyle w:val="ListBullet"/>
      </w:pPr>
      <w:r>
        <w:t>Programming and migration requirements.</w:t>
      </w:r>
    </w:p>
    <w:p>
      <w:pPr>
        <w:pStyle w:val="ListBullet"/>
      </w:pPr>
      <w:r>
        <w:t>Required engineering tools and licenses.</w:t>
      </w:r>
    </w:p>
    <w:p>
      <w:pPr>
        <w:pStyle w:val="ListBullet"/>
      </w:pPr>
      <w:r>
        <w:t>Editable project files and backups.</w:t>
      </w:r>
    </w:p>
    <w:p>
      <w:pPr>
        <w:pStyle w:val="ListBullet"/>
      </w:pPr>
      <w:r>
        <w:t>Change-control requirements.</w:t>
      </w:r>
    </w:p>
    <w:p>
      <w:pPr>
        <w:pStyle w:val="ListBullet"/>
      </w:pPr>
      <w:r>
        <w:t>Documentation deliverables.</w:t>
      </w:r>
    </w:p>
    <w:p>
      <w:pPr>
        <w:pStyle w:val="Heading3"/>
      </w:pPr>
      <w:r>
        <w:t>Installation and commissioning</w:t>
      </w:r>
    </w:p>
    <w:p>
      <w:r>
        <w:t>Define:</w:t>
      </w:r>
    </w:p>
    <w:p>
      <w:pPr>
        <w:pStyle w:val="ListBullet"/>
      </w:pPr>
      <w:r>
        <w:t>Installation responsibilities.</w:t>
      </w:r>
    </w:p>
    <w:p>
      <w:pPr>
        <w:pStyle w:val="ListBullet"/>
      </w:pPr>
      <w:r>
        <w:t>Cable and panel modification scope.</w:t>
      </w:r>
    </w:p>
    <w:p>
      <w:pPr>
        <w:pStyle w:val="ListBullet"/>
      </w:pPr>
      <w:r>
        <w:t>Site manpower and qualifications.</w:t>
      </w:r>
    </w:p>
    <w:p>
      <w:pPr>
        <w:pStyle w:val="ListBullet"/>
      </w:pPr>
      <w:r>
        <w:t>Shutdown and access requirements.</w:t>
      </w:r>
    </w:p>
    <w:p>
      <w:pPr>
        <w:pStyle w:val="ListBullet"/>
      </w:pPr>
      <w:r>
        <w:t>Pre-commissioning checks.</w:t>
      </w:r>
    </w:p>
    <w:p>
      <w:pPr>
        <w:pStyle w:val="ListBullet"/>
      </w:pPr>
      <w:r>
        <w:t>FAT and SAT.</w:t>
      </w:r>
    </w:p>
    <w:p>
      <w:pPr>
        <w:pStyle w:val="ListBullet"/>
      </w:pPr>
      <w:r>
        <w:t>Production handover.</w:t>
      </w:r>
    </w:p>
    <w:p>
      <w:pPr>
        <w:pStyle w:val="ListBullet"/>
      </w:pPr>
      <w:r>
        <w:t>Training and maintenance handover.</w:t>
      </w:r>
    </w:p>
    <w:p>
      <w:pPr>
        <w:pStyle w:val="Heading3"/>
      </w:pPr>
      <w:r>
        <w:t>Cybersecurity and access</w:t>
      </w:r>
    </w:p>
    <w:p>
      <w:r>
        <w:t>Where applicable, define:</w:t>
      </w:r>
    </w:p>
    <w:p>
      <w:pPr>
        <w:pStyle w:val="ListBullet"/>
      </w:pPr>
      <w:r>
        <w:t>Network and remote-access requirements.</w:t>
      </w:r>
    </w:p>
    <w:p>
      <w:pPr>
        <w:pStyle w:val="ListBullet"/>
      </w:pPr>
      <w:r>
        <w:t>Approved access methods.</w:t>
      </w:r>
    </w:p>
    <w:p>
      <w:pPr>
        <w:pStyle w:val="ListBullet"/>
      </w:pPr>
      <w:r>
        <w:t>User accounts and permissions.</w:t>
      </w:r>
    </w:p>
    <w:p>
      <w:pPr>
        <w:pStyle w:val="ListBullet"/>
      </w:pPr>
      <w:r>
        <w:t>Software update responsibilities.</w:t>
      </w:r>
    </w:p>
    <w:p>
      <w:pPr>
        <w:pStyle w:val="ListBullet"/>
      </w:pPr>
      <w:r>
        <w:t>Backup and restoration requirements.</w:t>
      </w:r>
    </w:p>
    <w:p>
      <w:pPr>
        <w:pStyle w:val="ListBullet"/>
      </w:pPr>
      <w:r>
        <w:t>Handover of credentials through approved secure channels.</w:t>
      </w:r>
    </w:p>
    <w:p>
      <w:pPr>
        <w:pStyle w:val="Heading2"/>
      </w:pPr>
      <w:r>
        <w:t>19. Common PO errors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Error</w:t>
            </w:r>
          </w:p>
        </w:tc>
        <w:tc>
          <w:tcPr>
            <w:tcW w:type="dxa" w:w="5400"/>
            <w:shd w:val="clear" w:color="auto" w:fill="EEF2F7"/>
          </w:tcPr>
          <w:p>
            <w:pPr>
              <w:spacing w:after="0" w:before="0" w:line="240" w:lineRule="auto"/>
              <w:jc w:val="left"/>
            </w:pPr>
            <w:r>
              <w:rPr>
                <w:b/>
                <w:color w:val="1A2E4A"/>
              </w:rPr>
              <w:t>Possible consequence</w:t>
            </w:r>
          </w:p>
        </w:tc>
      </w:tr>
      <w:tr>
        <w:tc>
          <w:tcPr>
            <w:tcW w:type="dxa" w:w="5400"/>
          </w:tcPr>
          <w:p>
            <w:pPr>
              <w:spacing w:after="0" w:before="0" w:line="240" w:lineRule="auto"/>
              <w:jc w:val="left"/>
            </w:pPr>
            <w:r>
              <w:t>Incorrect part number</w:t>
            </w:r>
          </w:p>
        </w:tc>
        <w:tc>
          <w:tcPr>
            <w:tcW w:type="dxa" w:w="5400"/>
          </w:tcPr>
          <w:p>
            <w:pPr>
              <w:spacing w:after="0" w:before="0" w:line="240" w:lineRule="auto"/>
              <w:jc w:val="left"/>
            </w:pPr>
            <w:r>
              <w:t>Wrong hardware delivered</w:t>
            </w:r>
          </w:p>
        </w:tc>
      </w:tr>
      <w:tr>
        <w:tc>
          <w:tcPr>
            <w:tcW w:type="dxa" w:w="5400"/>
          </w:tcPr>
          <w:p>
            <w:pPr>
              <w:spacing w:after="0" w:before="0" w:line="240" w:lineRule="auto"/>
              <w:jc w:val="left"/>
            </w:pPr>
            <w:r>
              <w:t>Vague scope description</w:t>
            </w:r>
          </w:p>
        </w:tc>
        <w:tc>
          <w:tcPr>
            <w:tcW w:type="dxa" w:w="5400"/>
          </w:tcPr>
          <w:p>
            <w:pPr>
              <w:spacing w:after="0" w:before="0" w:line="240" w:lineRule="auto"/>
              <w:jc w:val="left"/>
            </w:pPr>
            <w:r>
              <w:t>Supplier and buyer disagree about included work</w:t>
            </w:r>
          </w:p>
        </w:tc>
      </w:tr>
      <w:tr>
        <w:tc>
          <w:tcPr>
            <w:tcW w:type="dxa" w:w="5400"/>
          </w:tcPr>
          <w:p>
            <w:pPr>
              <w:spacing w:after="0" w:before="0" w:line="240" w:lineRule="auto"/>
              <w:jc w:val="left"/>
            </w:pPr>
            <w:r>
              <w:t>Missing technical annexure</w:t>
            </w:r>
          </w:p>
        </w:tc>
        <w:tc>
          <w:tcPr>
            <w:tcW w:type="dxa" w:w="5400"/>
          </w:tcPr>
          <w:p>
            <w:pPr>
              <w:spacing w:after="0" w:before="0" w:line="240" w:lineRule="auto"/>
              <w:jc w:val="left"/>
            </w:pPr>
            <w:r>
              <w:t>Supplier uses an incorrect specification</w:t>
            </w:r>
          </w:p>
        </w:tc>
      </w:tr>
      <w:tr>
        <w:tc>
          <w:tcPr>
            <w:tcW w:type="dxa" w:w="5400"/>
          </w:tcPr>
          <w:p>
            <w:pPr>
              <w:spacing w:after="0" w:before="0" w:line="240" w:lineRule="auto"/>
              <w:jc w:val="left"/>
            </w:pPr>
            <w:r>
              <w:t>Incorrect quantity or unit</w:t>
            </w:r>
          </w:p>
        </w:tc>
        <w:tc>
          <w:tcPr>
            <w:tcW w:type="dxa" w:w="5400"/>
          </w:tcPr>
          <w:p>
            <w:pPr>
              <w:spacing w:after="0" w:before="0" w:line="240" w:lineRule="auto"/>
              <w:jc w:val="left"/>
            </w:pPr>
            <w:r>
              <w:t>Receipt and invoice mismatch</w:t>
            </w:r>
          </w:p>
        </w:tc>
      </w:tr>
      <w:tr>
        <w:tc>
          <w:tcPr>
            <w:tcW w:type="dxa" w:w="5400"/>
          </w:tcPr>
          <w:p>
            <w:pPr>
              <w:spacing w:after="0" w:before="0" w:line="240" w:lineRule="auto"/>
              <w:jc w:val="left"/>
            </w:pPr>
            <w:r>
              <w:t>Unclear tax treatment</w:t>
            </w:r>
          </w:p>
        </w:tc>
        <w:tc>
          <w:tcPr>
            <w:tcW w:type="dxa" w:w="5400"/>
          </w:tcPr>
          <w:p>
            <w:pPr>
              <w:spacing w:after="0" w:before="0" w:line="240" w:lineRule="auto"/>
              <w:jc w:val="left"/>
            </w:pPr>
            <w:r>
              <w:t>Unexpected cost or invoice dispute</w:t>
            </w:r>
          </w:p>
        </w:tc>
      </w:tr>
      <w:tr>
        <w:tc>
          <w:tcPr>
            <w:tcW w:type="dxa" w:w="5400"/>
          </w:tcPr>
          <w:p>
            <w:pPr>
              <w:spacing w:after="0" w:before="0" w:line="240" w:lineRule="auto"/>
              <w:jc w:val="left"/>
            </w:pPr>
            <w:r>
              <w:t>Missing commissioning scope</w:t>
            </w:r>
          </w:p>
        </w:tc>
        <w:tc>
          <w:tcPr>
            <w:tcW w:type="dxa" w:w="5400"/>
          </w:tcPr>
          <w:p>
            <w:pPr>
              <w:spacing w:after="0" w:before="0" w:line="240" w:lineRule="auto"/>
              <w:jc w:val="left"/>
            </w:pPr>
            <w:r>
              <w:t>Additional charges and schedule delays</w:t>
            </w:r>
          </w:p>
        </w:tc>
      </w:tr>
      <w:tr>
        <w:tc>
          <w:tcPr>
            <w:tcW w:type="dxa" w:w="5400"/>
          </w:tcPr>
          <w:p>
            <w:pPr>
              <w:spacing w:after="0" w:before="0" w:line="240" w:lineRule="auto"/>
              <w:jc w:val="left"/>
            </w:pPr>
            <w:r>
              <w:t>Undefined FAT/SAT</w:t>
            </w:r>
          </w:p>
        </w:tc>
        <w:tc>
          <w:tcPr>
            <w:tcW w:type="dxa" w:w="5400"/>
          </w:tcPr>
          <w:p>
            <w:pPr>
              <w:spacing w:after="0" w:before="0" w:line="240" w:lineRule="auto"/>
              <w:jc w:val="left"/>
            </w:pPr>
            <w:r>
              <w:t>Disagreement over acceptance</w:t>
            </w:r>
          </w:p>
        </w:tc>
      </w:tr>
      <w:tr>
        <w:tc>
          <w:tcPr>
            <w:tcW w:type="dxa" w:w="5400"/>
          </w:tcPr>
          <w:p>
            <w:pPr>
              <w:spacing w:after="0" w:before="0" w:line="240" w:lineRule="auto"/>
              <w:jc w:val="left"/>
            </w:pPr>
            <w:r>
              <w:t>Ambiguous warranty</w:t>
            </w:r>
          </w:p>
        </w:tc>
        <w:tc>
          <w:tcPr>
            <w:tcW w:type="dxa" w:w="5400"/>
          </w:tcPr>
          <w:p>
            <w:pPr>
              <w:spacing w:after="0" w:before="0" w:line="240" w:lineRule="auto"/>
              <w:jc w:val="left"/>
            </w:pPr>
            <w:r>
              <w:t>Repair costs and disputes</w:t>
            </w:r>
          </w:p>
        </w:tc>
      </w:tr>
      <w:tr>
        <w:tc>
          <w:tcPr>
            <w:tcW w:type="dxa" w:w="5400"/>
          </w:tcPr>
          <w:p>
            <w:pPr>
              <w:spacing w:after="0" w:before="0" w:line="240" w:lineRule="auto"/>
              <w:jc w:val="left"/>
            </w:pPr>
            <w:r>
              <w:t>Missing source-code handover</w:t>
            </w:r>
          </w:p>
        </w:tc>
        <w:tc>
          <w:tcPr>
            <w:tcW w:type="dxa" w:w="5400"/>
          </w:tcPr>
          <w:p>
            <w:pPr>
              <w:spacing w:after="0" w:before="0" w:line="240" w:lineRule="auto"/>
              <w:jc w:val="left"/>
            </w:pPr>
            <w:r>
              <w:t>Reduced maintenance capability</w:t>
            </w:r>
          </w:p>
        </w:tc>
      </w:tr>
      <w:tr>
        <w:tc>
          <w:tcPr>
            <w:tcW w:type="dxa" w:w="5400"/>
          </w:tcPr>
          <w:p>
            <w:pPr>
              <w:spacing w:after="0" w:before="0" w:line="240" w:lineRule="auto"/>
              <w:jc w:val="left"/>
            </w:pPr>
            <w:r>
              <w:t>Uncontrolled substitutions</w:t>
            </w:r>
          </w:p>
        </w:tc>
        <w:tc>
          <w:tcPr>
            <w:tcW w:type="dxa" w:w="5400"/>
          </w:tcPr>
          <w:p>
            <w:pPr>
              <w:spacing w:after="0" w:before="0" w:line="240" w:lineRule="auto"/>
              <w:jc w:val="left"/>
            </w:pPr>
            <w:r>
              <w:t>Compatibility or safety problems</w:t>
            </w:r>
          </w:p>
        </w:tc>
      </w:tr>
      <w:tr>
        <w:tc>
          <w:tcPr>
            <w:tcW w:type="dxa" w:w="5400"/>
          </w:tcPr>
          <w:p>
            <w:pPr>
              <w:spacing w:after="0" w:before="0" w:line="240" w:lineRule="auto"/>
              <w:jc w:val="left"/>
            </w:pPr>
            <w:r>
              <w:t>Incorrect delivery location</w:t>
            </w:r>
          </w:p>
        </w:tc>
        <w:tc>
          <w:tcPr>
            <w:tcW w:type="dxa" w:w="5400"/>
          </w:tcPr>
          <w:p>
            <w:pPr>
              <w:spacing w:after="0" w:before="0" w:line="240" w:lineRule="auto"/>
              <w:jc w:val="left"/>
            </w:pPr>
            <w:r>
              <w:t>Logistics delays</w:t>
            </w:r>
          </w:p>
        </w:tc>
      </w:tr>
      <w:tr>
        <w:tc>
          <w:tcPr>
            <w:tcW w:type="dxa" w:w="5400"/>
          </w:tcPr>
          <w:p>
            <w:pPr>
              <w:spacing w:after="0" w:before="0" w:line="240" w:lineRule="auto"/>
              <w:jc w:val="left"/>
            </w:pPr>
            <w:r>
              <w:t>PO released without authorization</w:t>
            </w:r>
          </w:p>
        </w:tc>
        <w:tc>
          <w:tcPr>
            <w:tcW w:type="dxa" w:w="5400"/>
          </w:tcPr>
          <w:p>
            <w:pPr>
              <w:spacing w:after="0" w:before="0" w:line="240" w:lineRule="auto"/>
              <w:jc w:val="left"/>
            </w:pPr>
            <w:r>
              <w:t>Unauthorized financial commitment</w:t>
            </w:r>
          </w:p>
        </w:tc>
      </w:tr>
      <w:tr>
        <w:tc>
          <w:tcPr>
            <w:tcW w:type="dxa" w:w="5400"/>
          </w:tcPr>
          <w:p>
            <w:pPr>
              <w:spacing w:after="0" w:before="0" w:line="240" w:lineRule="auto"/>
              <w:jc w:val="left"/>
            </w:pPr>
            <w:r>
              <w:t>Conflicting documents</w:t>
            </w:r>
          </w:p>
        </w:tc>
        <w:tc>
          <w:tcPr>
            <w:tcW w:type="dxa" w:w="5400"/>
          </w:tcPr>
          <w:p>
            <w:pPr>
              <w:spacing w:after="0" w:before="0" w:line="240" w:lineRule="auto"/>
              <w:jc w:val="left"/>
            </w:pPr>
            <w:r>
              <w:t>Contractual disputes</w:t>
            </w:r>
          </w:p>
        </w:tc>
      </w:tr>
      <w:tr>
        <w:tc>
          <w:tcPr>
            <w:tcW w:type="dxa" w:w="5400"/>
          </w:tcPr>
          <w:p>
            <w:pPr>
              <w:spacing w:after="0" w:before="0" w:line="240" w:lineRule="auto"/>
              <w:jc w:val="left"/>
            </w:pPr>
            <w:r>
              <w:t>Uncontrolled revisions</w:t>
            </w:r>
          </w:p>
        </w:tc>
        <w:tc>
          <w:tcPr>
            <w:tcW w:type="dxa" w:w="5400"/>
          </w:tcPr>
          <w:p>
            <w:pPr>
              <w:spacing w:after="0" w:before="0" w:line="240" w:lineRule="auto"/>
              <w:jc w:val="left"/>
            </w:pPr>
            <w:r>
              <w:t>Supplier executes outdated requirements</w:t>
            </w:r>
          </w:p>
        </w:tc>
      </w:tr>
    </w:tbl>
    <w:p/>
    <w:p>
      <w:pPr>
        <w:pStyle w:val="Heading2"/>
      </w:pPr>
      <w:r>
        <w:t>20. Practical PO review checklist</w:t>
      </w:r>
    </w:p>
    <w:p>
      <w:pPr>
        <w:pStyle w:val="Heading3"/>
      </w:pPr>
      <w:r>
        <w:t>Commercial and administrative</w:t>
      </w:r>
    </w:p>
    <w:p>
      <w:pPr>
        <w:pStyle w:val="ListBullet"/>
      </w:pPr>
      <w:r>
        <w:t>Supplier legal entity and purchasing data are correct.</w:t>
      </w:r>
    </w:p>
    <w:p>
      <w:pPr>
        <w:pStyle w:val="ListBullet"/>
      </w:pPr>
      <w:r>
        <w:t>PO number, date, and project references are correct.</w:t>
      </w:r>
    </w:p>
    <w:p>
      <w:pPr>
        <w:pStyle w:val="ListBullet"/>
      </w:pPr>
      <w:r>
        <w:t>Price, currency, quantity, and units are verified.</w:t>
      </w:r>
    </w:p>
    <w:p>
      <w:pPr>
        <w:pStyle w:val="ListBullet"/>
      </w:pPr>
      <w:r>
        <w:t>Discounts, taxes, freight, and other charges are treated correctly.</w:t>
      </w:r>
    </w:p>
    <w:p>
      <w:pPr>
        <w:pStyle w:val="ListBullet"/>
      </w:pPr>
      <w:r>
        <w:t>Payment terms match the approved offer.</w:t>
      </w:r>
    </w:p>
    <w:p>
      <w:pPr>
        <w:pStyle w:val="ListBullet"/>
      </w:pPr>
      <w:r>
        <w:t>Delivery location and schedule are defined.</w:t>
      </w:r>
    </w:p>
    <w:p>
      <w:pPr>
        <w:pStyle w:val="ListBullet"/>
      </w:pPr>
      <w:r>
        <w:t>Required approvals are completed.</w:t>
      </w:r>
    </w:p>
    <w:p>
      <w:pPr>
        <w:pStyle w:val="Heading3"/>
      </w:pPr>
      <w:r>
        <w:t>Technical</w:t>
      </w:r>
    </w:p>
    <w:p>
      <w:pPr>
        <w:pStyle w:val="ListBullet"/>
      </w:pPr>
      <w:r>
        <w:t>Exact hardware models and part numbers are correct.</w:t>
      </w:r>
    </w:p>
    <w:p>
      <w:pPr>
        <w:pStyle w:val="ListBullet"/>
      </w:pPr>
      <w:r>
        <w:t>Scope of supply matches the approved quotation.</w:t>
      </w:r>
    </w:p>
    <w:p>
      <w:pPr>
        <w:pStyle w:val="ListBullet"/>
      </w:pPr>
      <w:r>
        <w:t>Technical specification and BOM revisions are correct.</w:t>
      </w:r>
    </w:p>
    <w:p>
      <w:pPr>
        <w:pStyle w:val="ListBullet"/>
      </w:pPr>
      <w:r>
        <w:t>Clarifications and accepted deviations are recorded.</w:t>
      </w:r>
    </w:p>
    <w:p>
      <w:pPr>
        <w:pStyle w:val="ListBullet"/>
      </w:pPr>
      <w:r>
        <w:t>Installation and commissioning scope is clear.</w:t>
      </w:r>
    </w:p>
    <w:p>
      <w:pPr>
        <w:pStyle w:val="ListBullet"/>
      </w:pPr>
      <w:r>
        <w:t>FAT, SAT, and acceptance criteria are defined where applicable.</w:t>
      </w:r>
    </w:p>
    <w:p>
      <w:pPr>
        <w:pStyle w:val="ListBullet"/>
      </w:pPr>
      <w:r>
        <w:t>Drawings, source code, backups, and other deliverables are specified.</w:t>
      </w:r>
    </w:p>
    <w:p>
      <w:pPr>
        <w:pStyle w:val="ListBullet"/>
      </w:pPr>
      <w:r>
        <w:t>Warranty and support conditions are documented.</w:t>
      </w:r>
    </w:p>
    <w:p>
      <w:pPr>
        <w:pStyle w:val="Heading3"/>
      </w:pPr>
      <w:r>
        <w:t>Release and execution</w:t>
      </w:r>
    </w:p>
    <w:p>
      <w:pPr>
        <w:pStyle w:val="ListBullet"/>
      </w:pPr>
      <w:r>
        <w:t>The PO is released through the authorized process.</w:t>
      </w:r>
    </w:p>
    <w:p>
      <w:pPr>
        <w:pStyle w:val="ListBullet"/>
      </w:pPr>
      <w:r>
        <w:t>The supplier receives the correct revision and attachments.</w:t>
      </w:r>
    </w:p>
    <w:p>
      <w:pPr>
        <w:pStyle w:val="ListBullet"/>
      </w:pPr>
      <w:r>
        <w:t>Supplier acknowledgment is obtained where required.</w:t>
      </w:r>
    </w:p>
    <w:p>
      <w:pPr>
        <w:pStyle w:val="ListBullet"/>
      </w:pPr>
      <w:r>
        <w:t>Delivery and engineering milestones are tracked.</w:t>
      </w:r>
    </w:p>
    <w:p>
      <w:pPr>
        <w:pStyle w:val="ListBullet"/>
      </w:pPr>
      <w:r>
        <w:t>Receipts and service entries are recorded accurately.</w:t>
      </w:r>
    </w:p>
    <w:p>
      <w:pPr>
        <w:pStyle w:val="ListBullet"/>
      </w:pPr>
      <w:r>
        <w:t>Changes are processed through formal revision control.</w:t>
      </w:r>
    </w:p>
    <w:p>
      <w:pPr>
        <w:pStyle w:val="ListBullet"/>
      </w:pPr>
      <w:r>
        <w:t>Final acceptance and closure records are retained.</w:t>
      </w:r>
    </w:p>
    <w:p>
      <w:pPr>
        <w:pStyle w:val="Heading2"/>
      </w:pPr>
      <w:r>
        <w:t>21. Interview questions and answers</w:t>
      </w:r>
    </w:p>
    <w:p>
      <w:r>
        <w:t>Q1. What is a purchase order?</w:t>
      </w:r>
    </w:p>
    <w:p>
      <w:r>
        <w:t>A PO is an authorized purchasing document issued to a supplier that defines the goods or services being purchased, quantities, prices, delivery, and applicable contractual conditions.</w:t>
      </w:r>
    </w:p>
    <w:p>
      <w:r>
        <w:t>Q2. What is the difference between a PR and a PO?</w:t>
      </w:r>
    </w:p>
    <w:p>
      <w:r>
        <w:t>A PR is an internal request for procurement. A PO is the formal order issued to the supplier after the required approvals.</w:t>
      </w:r>
    </w:p>
    <w:p>
      <w:r>
        <w:t>Q3. Why must technical specifications be referenced in the PO?</w:t>
      </w:r>
    </w:p>
    <w:p>
      <w:r>
        <w:t>They establish the required design, configuration, functionality, and acceptance basis, reducing ambiguity and disputes.</w:t>
      </w:r>
    </w:p>
    <w:p>
      <w:r>
        <w:t>Q4. What is a PO amendment?</w:t>
      </w:r>
    </w:p>
    <w:p>
      <w:r>
        <w:t>It is a formally authorized change to an existing PO, such as a revision to quantity, price, scope, delivery, or other terms.</w:t>
      </w:r>
    </w:p>
    <w:p>
      <w:r>
        <w:t>Q5. What is the purpose of FAT and SAT clauses?</w:t>
      </w:r>
    </w:p>
    <w:p>
      <w:r>
        <w:t>They define testing obligations, acceptance criteria, responsibilities, and the evidence required to demonstrate that the supplied system meets the agreed requirements.</w:t>
      </w:r>
    </w:p>
    <w:p>
      <w:r>
        <w:t>Q6. What should be included in a repair PO?</w:t>
      </w:r>
    </w:p>
    <w:p>
      <w:r>
        <w:t>Equipment identification, reported fault, authorized repair scope, approval for additional costs, functional testing, replaced-parts reporting, warranty, and delivery requirements.</w:t>
      </w:r>
    </w:p>
    <w:p>
      <w:r>
        <w:t>Q7. What is goods receipt in SAP?</w:t>
      </w:r>
    </w:p>
    <w:p>
      <w:r>
        <w:t>It is the transaction or process that records the receipt of ordered material, subject to the organization's purchasing and inventory procedures.</w:t>
      </w:r>
    </w:p>
    <w:p>
      <w:r>
        <w:t>Q8. How are engineering services recorded in an ERP purchasing process?</w:t>
      </w:r>
    </w:p>
    <w:p>
      <w:r>
        <w:t>They may be recorded through service items, service-entry records, acceptance evidence, and invoice verification, depending on the configured process.</w:t>
      </w:r>
    </w:p>
    <w:p>
      <w:r>
        <w:t>Q9. Why is document revision control important in a PO?</w:t>
      </w:r>
    </w:p>
    <w:p>
      <w:r>
        <w:t>It ensures that the supplier and buyer work to the correct approved specifications, drawings, BOMs, and other contractual documents.</w:t>
      </w:r>
    </w:p>
    <w:p>
      <w:r>
        <w:t>Q10. What should be checked before releasing a PO for a PLC retrofit?</w:t>
      </w:r>
    </w:p>
    <w:p>
      <w:r>
        <w:t>Verify the supplier approval, exact hardware and software scope, compatibility, program migration, commissioning, FAT/SAT, documentation, warranty, delivery, price, and required authorization.</w:t>
      </w:r>
    </w:p>
    <w:p>
      <w:pPr>
        <w:pStyle w:val="Heading2"/>
      </w:pPr>
      <w:r>
        <w:t>22. Key principles</w:t>
      </w:r>
    </w:p>
    <w:p>
      <w:pPr>
        <w:tabs>
          <w:tab w:pos="403" w:val="left"/>
        </w:tabs>
        <w:spacing w:after="40" w:line="276" w:lineRule="auto"/>
        <w:ind w:left="403" w:hanging="403"/>
        <w:jc w:val="left"/>
      </w:pPr>
      <w:r>
        <w:rPr>
          <w:color w:val="1A2E4A"/>
        </w:rPr>
        <w:t>1.</w:t>
        <w:tab/>
      </w:r>
      <w:r>
        <w:t>A PO must reflect the approved offer. Do not introduce unreviewed scope or commercial changes.</w:t>
      </w:r>
    </w:p>
    <w:p>
      <w:pPr>
        <w:tabs>
          <w:tab w:pos="403" w:val="left"/>
        </w:tabs>
        <w:spacing w:after="40" w:line="276" w:lineRule="auto"/>
        <w:ind w:left="403" w:hanging="403"/>
        <w:jc w:val="left"/>
      </w:pPr>
      <w:r>
        <w:rPr>
          <w:color w:val="1A2E4A"/>
        </w:rPr>
        <w:t>2.</w:t>
        <w:tab/>
      </w:r>
      <w:r>
        <w:t>Technical scope must be unambiguous. Use exact part numbers, specifications, revisions, and defined deliverables.</w:t>
      </w:r>
    </w:p>
    <w:p>
      <w:pPr>
        <w:tabs>
          <w:tab w:pos="403" w:val="left"/>
        </w:tabs>
        <w:spacing w:after="40" w:line="276" w:lineRule="auto"/>
        <w:ind w:left="403" w:hanging="403"/>
        <w:jc w:val="left"/>
      </w:pPr>
      <w:r>
        <w:rPr>
          <w:color w:val="1A2E4A"/>
        </w:rPr>
        <w:t>3.</w:t>
        <w:tab/>
      </w:r>
      <w:r>
        <w:t>Commercial conditions must be complete. Price, taxes, delivery, payment, and warranty should be consistent with the approved agreement.</w:t>
      </w:r>
    </w:p>
    <w:p>
      <w:pPr>
        <w:tabs>
          <w:tab w:pos="403" w:val="left"/>
        </w:tabs>
        <w:spacing w:after="40" w:line="276" w:lineRule="auto"/>
        <w:ind w:left="403" w:hanging="403"/>
        <w:jc w:val="left"/>
      </w:pPr>
      <w:r>
        <w:rPr>
          <w:color w:val="1A2E4A"/>
        </w:rPr>
        <w:t>4.</w:t>
        <w:tab/>
      </w:r>
      <w:r>
        <w:t>Acceptance must be measurable. Define testing, evidence, defect handling, and handover requirements.</w:t>
      </w:r>
    </w:p>
    <w:p>
      <w:pPr>
        <w:tabs>
          <w:tab w:pos="403" w:val="left"/>
        </w:tabs>
        <w:spacing w:after="40" w:line="276" w:lineRule="auto"/>
        <w:ind w:left="403" w:hanging="403"/>
        <w:jc w:val="left"/>
      </w:pPr>
      <w:r>
        <w:rPr>
          <w:color w:val="1A2E4A"/>
        </w:rPr>
        <w:t>5.</w:t>
        <w:tab/>
      </w:r>
      <w:r>
        <w:t>Changes must be controlled. Use formal amendments and preserve the revision history.</w:t>
      </w:r>
    </w:p>
    <w:p>
      <w:pPr>
        <w:tabs>
          <w:tab w:pos="403" w:val="left"/>
        </w:tabs>
        <w:spacing w:after="40" w:line="276" w:lineRule="auto"/>
        <w:ind w:left="403" w:hanging="403"/>
        <w:jc w:val="left"/>
      </w:pPr>
      <w:r>
        <w:rPr>
          <w:color w:val="1A2E4A"/>
        </w:rPr>
        <w:t>6.</w:t>
        <w:tab/>
      </w:r>
      <w:r>
        <w:t>Authorization must precede commitment. Follow the company's approval and release procedures.</w:t>
      </w:r>
    </w:p>
    <w:p>
      <w:r>
        <w:t>For an industrial automation engineer, a well-prepared PO is the bridge between engineering intent and supplier execution. It protects the plant from ambiguous scope, incorrect material, unplanned commissioning costs, incomplete documentation, and avoidable disputes.</w:t>
      </w:r>
    </w:p>
    <w:p>
      <w:pPr>
        <w:pStyle w:val="Heading2"/>
      </w:pPr>
      <w:r>
        <w:t>NEXT TOPIC</w:t>
      </w:r>
    </w:p>
    <w:p>
      <w:r>
        <w:rPr>
          <w:rFonts w:ascii="Consolas" w:hAnsi="Consolas"/>
          <w:color w:val="333333"/>
          <w:sz w:val="19"/>
          <w:shd w:val="clear" w:color="auto" w:fill="EFEFEF"/>
        </w:rPr>
        <w:t>02_PLAN_WISE_2026\02_INDUSTRY3_0\07_Lifecycle\03_Procurement\09_Vendor_Document_Review - Vendor document review</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02_PLAN_WISE_2026\02_INDUSTRY3_0\07_Lifecycle\03_Procurement\08_Purchase_Order - Purchase order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