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02_PLAN_WISE_2026\02_INDUSTRY3_0\07_Lifecycle\03_Procurement\09_Vendor_Document_Review - Vendor document review</w:t>
      </w:r>
    </w:p>
    <w:p>
      <w:pPr>
        <w:pStyle w:val="Heading2"/>
      </w:pPr>
      <w:r>
        <w:t>1. What is vendor document review?</w:t>
      </w:r>
    </w:p>
    <w:p>
      <w:r>
        <w:t>Vendor Document Review (VDR) is the systematic examination of technical, engineering, quality, safety, commercial, and project documents submitted by a supplier to verify that they meet the approved specifications, contractual requirements, applicable standards, and project expectations.</w:t>
      </w:r>
    </w:p>
    <w:p>
      <w:r>
        <w:t>In industrial automation, vendor documents may include electrical drawings, PLC and HMI hardware configurations, panel layouts, network architecture, datasheets, BOMs, control narratives, safety documents, test procedures, commissioning plans, and as-built documentation.</w:t>
      </w:r>
    </w:p>
    <w:p>
      <w:r>
        <w:t>The purpose is to identify errors, omissions, inconsistencies, interface problems, and noncompliance before they become expensive installation, commissioning, or maintenance problems.</w:t>
      </w:r>
    </w:p>
    <w:p>
      <w:r>
        <w:t>A vendor document review is not simply proofreading. It is an engineering verification activity that checks whether the proposed equipment and design can be safely integrated, commissioned, operated, and maintained.</w:t>
      </w:r>
    </w:p>
    <w:p>
      <w:pPr>
        <w:pStyle w:val="Heading2"/>
      </w:pPr>
      <w:r>
        <w:t>2. Why vendor document review matters</w:t>
      </w:r>
    </w:p>
    <w:p>
      <w:r>
        <w:t>Vendor documents often become the working basis for manufacturing, panel fabrication, procurement, programming, installation, and testing.</w:t>
      </w:r>
    </w:p>
    <w:p>
      <w:r>
        <w:t>An error in a drawing or configuration document can propagate through several stages.</w:t>
      </w:r>
    </w:p>
    <w:p>
      <w:r>
        <w:t>For example:</w:t>
      </w:r>
    </w:p>
    <w:p>
      <w:pPr>
        <w:pStyle w:val="ListBullet"/>
      </w:pPr>
      <w:r>
        <w:t>An incorrect PLC part number can lead to incompatible I/O modules.</w:t>
      </w:r>
    </w:p>
    <w:p>
      <w:pPr>
        <w:pStyle w:val="ListBullet"/>
      </w:pPr>
      <w:r>
        <w:t>A missing communication interface can delay machine integration.</w:t>
      </w:r>
    </w:p>
    <w:p>
      <w:pPr>
        <w:pStyle w:val="ListBullet"/>
      </w:pPr>
      <w:r>
        <w:t>An incorrect panel heat-load estimate can cause overheating.</w:t>
      </w:r>
    </w:p>
    <w:p>
      <w:pPr>
        <w:pStyle w:val="ListBullet"/>
      </w:pPr>
      <w:r>
        <w:t>An incomplete safety interface drawing can create unsafe assumptions.</w:t>
      </w:r>
    </w:p>
    <w:p>
      <w:pPr>
        <w:pStyle w:val="ListBullet"/>
      </w:pPr>
      <w:r>
        <w:t>An incorrect terminal number can cause wiring errors.</w:t>
      </w:r>
    </w:p>
    <w:p>
      <w:pPr>
        <w:pStyle w:val="ListBullet"/>
      </w:pPr>
      <w:r>
        <w:t>A missing software license can prevent engineering access during commissioning.</w:t>
      </w:r>
    </w:p>
    <w:p>
      <w:pPr>
        <w:pStyle w:val="ListBullet"/>
      </w:pPr>
      <w:r>
        <w:t>An incomplete backup or source-code deliverable can make future maintenance difficult.</w:t>
      </w:r>
    </w:p>
    <w:p>
      <w:r>
        <w:t>Reviewing documents early reduces rework, schedule delays, unplanned cost, and operational risk.</w:t>
      </w:r>
    </w:p>
    <w:p>
      <w:pPr>
        <w:pStyle w:val="Heading2"/>
      </w:pPr>
      <w:r>
        <w:t>3. Where vendor document review fits in the project lifecycle</w:t>
      </w:r>
    </w:p>
    <w:p>
      <w:pPr>
        <w:shd w:val="clear" w:color="auto" w:fill="F4F4F4"/>
        <w:spacing w:before="0" w:after="0" w:line="240" w:lineRule="auto"/>
        <w:ind w:left="216" w:right="216"/>
        <w:jc w:val="left"/>
      </w:pPr>
      <w:r>
        <w:rPr>
          <w:rFonts w:ascii="Consolas" w:hAnsi="Consolas"/>
          <w:color w:val="202020"/>
          <w:sz w:val="18"/>
        </w:rPr>
        <w:t>Approved URS and Technical Specification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Vendor Selection and Purchase Order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Vendor Prepares Technical Documents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Document Submission and Registration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Engineering Review</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Comments and Discrepancy Register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Vendor Revises Documents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Review of Revised Submission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Approval / Approved with Comments / Rejection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Controlled Release for Intended Use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Manufacturing / Installation / Commissioning</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As-Built Documents and Final Handover</w:t>
      </w:r>
    </w:p>
    <w:p/>
    <w:p>
      <w:r>
        <w:t>The exact sequence depends on the contract and project procedure. Some documents require approval before manufacturing, while others are submitted for information or reviewed after the relevant work.</w:t>
      </w:r>
    </w:p>
    <w:p>
      <w:r>
        <w:t>Document approval must be tied to a defined purpose. Approval of a drawing for manufacturing does not automatically establish that the completed machine is safe, fully tested, or accepted for production.</w:t>
      </w:r>
    </w:p>
    <w:p>
      <w:pPr>
        <w:pStyle w:val="Heading2"/>
      </w:pPr>
      <w:r>
        <w:t>4. Vendor document review versus related activities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Activity</w:t>
            </w:r>
          </w:p>
        </w:tc>
        <w:tc>
          <w:tcPr>
            <w:tcW w:type="dxa" w:w="3600"/>
            <w:shd w:val="clear" w:color="auto" w:fill="EEF2F7"/>
          </w:tcPr>
          <w:p>
            <w:pPr>
              <w:spacing w:after="0" w:before="0" w:line="240" w:lineRule="auto"/>
              <w:jc w:val="left"/>
            </w:pPr>
            <w:r>
              <w:rPr>
                <w:b/>
                <w:color w:val="1A2E4A"/>
              </w:rPr>
              <w:t>Purpose</w:t>
            </w:r>
          </w:p>
        </w:tc>
        <w:tc>
          <w:tcPr>
            <w:tcW w:type="dxa" w:w="3600"/>
            <w:shd w:val="clear" w:color="auto" w:fill="EEF2F7"/>
          </w:tcPr>
          <w:p>
            <w:pPr>
              <w:spacing w:after="0" w:before="0" w:line="240" w:lineRule="auto"/>
              <w:jc w:val="left"/>
            </w:pPr>
            <w:r>
              <w:rPr>
                <w:b/>
                <w:color w:val="1A2E4A"/>
              </w:rPr>
              <w:t>Typical output</w:t>
            </w:r>
          </w:p>
        </w:tc>
      </w:tr>
      <w:tr>
        <w:tc>
          <w:tcPr>
            <w:tcW w:type="dxa" w:w="3600"/>
          </w:tcPr>
          <w:p>
            <w:pPr>
              <w:spacing w:after="0" w:before="0" w:line="240" w:lineRule="auto"/>
              <w:jc w:val="left"/>
            </w:pPr>
            <w:r>
              <w:t>Vendor document review</w:t>
            </w:r>
          </w:p>
        </w:tc>
        <w:tc>
          <w:tcPr>
            <w:tcW w:type="dxa" w:w="3600"/>
          </w:tcPr>
          <w:p>
            <w:pPr>
              <w:spacing w:after="0" w:before="0" w:line="240" w:lineRule="auto"/>
              <w:jc w:val="left"/>
            </w:pPr>
            <w:r>
              <w:t>Verify submitted documents against requirements</w:t>
            </w:r>
          </w:p>
        </w:tc>
        <w:tc>
          <w:tcPr>
            <w:tcW w:type="dxa" w:w="3600"/>
          </w:tcPr>
          <w:p>
            <w:pPr>
              <w:spacing w:after="0" w:before="0" w:line="240" w:lineRule="auto"/>
              <w:jc w:val="left"/>
            </w:pPr>
            <w:r>
              <w:t>Review comments and document status</w:t>
            </w:r>
          </w:p>
        </w:tc>
      </w:tr>
      <w:tr>
        <w:tc>
          <w:tcPr>
            <w:tcW w:type="dxa" w:w="3600"/>
          </w:tcPr>
          <w:p>
            <w:pPr>
              <w:spacing w:after="0" w:before="0" w:line="240" w:lineRule="auto"/>
              <w:jc w:val="left"/>
            </w:pPr>
            <w:r>
              <w:t>Design verification</w:t>
            </w:r>
          </w:p>
        </w:tc>
        <w:tc>
          <w:tcPr>
            <w:tcW w:type="dxa" w:w="3600"/>
          </w:tcPr>
          <w:p>
            <w:pPr>
              <w:spacing w:after="0" w:before="0" w:line="240" w:lineRule="auto"/>
              <w:jc w:val="left"/>
            </w:pPr>
            <w:r>
              <w:t>Check whether the design satisfies specified requirements</w:t>
            </w:r>
          </w:p>
        </w:tc>
        <w:tc>
          <w:tcPr>
            <w:tcW w:type="dxa" w:w="3600"/>
          </w:tcPr>
          <w:p>
            <w:pPr>
              <w:spacing w:after="0" w:before="0" w:line="240" w:lineRule="auto"/>
              <w:jc w:val="left"/>
            </w:pPr>
            <w:r>
              <w:t>Verification records</w:t>
            </w:r>
          </w:p>
        </w:tc>
      </w:tr>
      <w:tr>
        <w:tc>
          <w:tcPr>
            <w:tcW w:type="dxa" w:w="3600"/>
          </w:tcPr>
          <w:p>
            <w:pPr>
              <w:spacing w:after="0" w:before="0" w:line="240" w:lineRule="auto"/>
              <w:jc w:val="left"/>
            </w:pPr>
            <w:r>
              <w:t>Design validation</w:t>
            </w:r>
          </w:p>
        </w:tc>
        <w:tc>
          <w:tcPr>
            <w:tcW w:type="dxa" w:w="3600"/>
          </w:tcPr>
          <w:p>
            <w:pPr>
              <w:spacing w:after="0" w:before="0" w:line="240" w:lineRule="auto"/>
              <w:jc w:val="left"/>
            </w:pPr>
            <w:r>
              <w:t>Establish whether the completed solution meets its intended use</w:t>
            </w:r>
          </w:p>
        </w:tc>
        <w:tc>
          <w:tcPr>
            <w:tcW w:type="dxa" w:w="3600"/>
          </w:tcPr>
          <w:p>
            <w:pPr>
              <w:spacing w:after="0" w:before="0" w:line="240" w:lineRule="auto"/>
              <w:jc w:val="left"/>
            </w:pPr>
            <w:r>
              <w:t>Validation evidence</w:t>
            </w:r>
          </w:p>
        </w:tc>
      </w:tr>
      <w:tr>
        <w:tc>
          <w:tcPr>
            <w:tcW w:type="dxa" w:w="3600"/>
          </w:tcPr>
          <w:p>
            <w:pPr>
              <w:spacing w:after="0" w:before="0" w:line="240" w:lineRule="auto"/>
              <w:jc w:val="left"/>
            </w:pPr>
            <w:r>
              <w:t>Inspection</w:t>
            </w:r>
          </w:p>
        </w:tc>
        <w:tc>
          <w:tcPr>
            <w:tcW w:type="dxa" w:w="3600"/>
          </w:tcPr>
          <w:p>
            <w:pPr>
              <w:spacing w:after="0" w:before="0" w:line="240" w:lineRule="auto"/>
              <w:jc w:val="left"/>
            </w:pPr>
            <w:r>
              <w:t>Examine actual material, construction, or workmanship</w:t>
            </w:r>
          </w:p>
        </w:tc>
        <w:tc>
          <w:tcPr>
            <w:tcW w:type="dxa" w:w="3600"/>
          </w:tcPr>
          <w:p>
            <w:pPr>
              <w:spacing w:after="0" w:before="0" w:line="240" w:lineRule="auto"/>
              <w:jc w:val="left"/>
            </w:pPr>
            <w:r>
              <w:t>Inspection report</w:t>
            </w:r>
          </w:p>
        </w:tc>
      </w:tr>
      <w:tr>
        <w:tc>
          <w:tcPr>
            <w:tcW w:type="dxa" w:w="3600"/>
          </w:tcPr>
          <w:p>
            <w:pPr>
              <w:spacing w:after="0" w:before="0" w:line="240" w:lineRule="auto"/>
              <w:jc w:val="left"/>
            </w:pPr>
            <w:r>
              <w:t>FAT</w:t>
            </w:r>
          </w:p>
        </w:tc>
        <w:tc>
          <w:tcPr>
            <w:tcW w:type="dxa" w:w="3600"/>
          </w:tcPr>
          <w:p>
            <w:pPr>
              <w:spacing w:after="0" w:before="0" w:line="240" w:lineRule="auto"/>
              <w:jc w:val="left"/>
            </w:pPr>
            <w:r>
              <w:t>Verify agreed functions before shipment or site installation</w:t>
            </w:r>
          </w:p>
        </w:tc>
        <w:tc>
          <w:tcPr>
            <w:tcW w:type="dxa" w:w="3600"/>
          </w:tcPr>
          <w:p>
            <w:pPr>
              <w:spacing w:after="0" w:before="0" w:line="240" w:lineRule="auto"/>
              <w:jc w:val="left"/>
            </w:pPr>
            <w:r>
              <w:t>FAT report</w:t>
            </w:r>
          </w:p>
        </w:tc>
      </w:tr>
      <w:tr>
        <w:tc>
          <w:tcPr>
            <w:tcW w:type="dxa" w:w="3600"/>
          </w:tcPr>
          <w:p>
            <w:pPr>
              <w:spacing w:after="0" w:before="0" w:line="240" w:lineRule="auto"/>
              <w:jc w:val="left"/>
            </w:pPr>
            <w:r>
              <w:t>SAT</w:t>
            </w:r>
          </w:p>
        </w:tc>
        <w:tc>
          <w:tcPr>
            <w:tcW w:type="dxa" w:w="3600"/>
          </w:tcPr>
          <w:p>
            <w:pPr>
              <w:spacing w:after="0" w:before="0" w:line="240" w:lineRule="auto"/>
              <w:jc w:val="left"/>
            </w:pPr>
            <w:r>
              <w:t>Verify the installed system at the site</w:t>
            </w:r>
          </w:p>
        </w:tc>
        <w:tc>
          <w:tcPr>
            <w:tcW w:type="dxa" w:w="3600"/>
          </w:tcPr>
          <w:p>
            <w:pPr>
              <w:spacing w:after="0" w:before="0" w:line="240" w:lineRule="auto"/>
              <w:jc w:val="left"/>
            </w:pPr>
            <w:r>
              <w:t>SAT report</w:t>
            </w:r>
          </w:p>
        </w:tc>
      </w:tr>
      <w:tr>
        <w:tc>
          <w:tcPr>
            <w:tcW w:type="dxa" w:w="3600"/>
          </w:tcPr>
          <w:p>
            <w:pPr>
              <w:spacing w:after="0" w:before="0" w:line="240" w:lineRule="auto"/>
              <w:jc w:val="left"/>
            </w:pPr>
            <w:r>
              <w:t>As-built verification</w:t>
            </w:r>
          </w:p>
        </w:tc>
        <w:tc>
          <w:tcPr>
            <w:tcW w:type="dxa" w:w="3600"/>
          </w:tcPr>
          <w:p>
            <w:pPr>
              <w:spacing w:after="0" w:before="0" w:line="240" w:lineRule="auto"/>
              <w:jc w:val="left"/>
            </w:pPr>
            <w:r>
              <w:t>Confirm final documents reflect the installed system</w:t>
            </w:r>
          </w:p>
        </w:tc>
        <w:tc>
          <w:tcPr>
            <w:tcW w:type="dxa" w:w="3600"/>
          </w:tcPr>
          <w:p>
            <w:pPr>
              <w:spacing w:after="0" w:before="0" w:line="240" w:lineRule="auto"/>
              <w:jc w:val="left"/>
            </w:pPr>
            <w:r>
              <w:t>Approved as-built package</w:t>
            </w:r>
          </w:p>
        </w:tc>
      </w:tr>
    </w:tbl>
    <w:p/>
    <w:p>
      <w:r>
        <w:t>Document review supports these activities but does not replace physical inspection, functional testing, or safety validation.</w:t>
      </w:r>
    </w:p>
    <w:p>
      <w:pPr>
        <w:pStyle w:val="Heading2"/>
      </w:pPr>
      <w:r>
        <w:t>5. Main categories of vendor documents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Document category</w:t>
            </w:r>
          </w:p>
        </w:tc>
        <w:tc>
          <w:tcPr>
            <w:tcW w:type="dxa" w:w="3600"/>
            <w:shd w:val="clear" w:color="auto" w:fill="EEF2F7"/>
          </w:tcPr>
          <w:p>
            <w:pPr>
              <w:spacing w:after="0" w:before="0" w:line="240" w:lineRule="auto"/>
              <w:jc w:val="left"/>
            </w:pPr>
            <w:r>
              <w:rPr>
                <w:b/>
                <w:color w:val="1A2E4A"/>
              </w:rPr>
              <w:t>Typical documents</w:t>
            </w:r>
          </w:p>
        </w:tc>
        <w:tc>
          <w:tcPr>
            <w:tcW w:type="dxa" w:w="3600"/>
            <w:shd w:val="clear" w:color="auto" w:fill="EEF2F7"/>
          </w:tcPr>
          <w:p>
            <w:pPr>
              <w:spacing w:after="0" w:before="0" w:line="240" w:lineRule="auto"/>
              <w:jc w:val="left"/>
            </w:pPr>
            <w:r>
              <w:rPr>
                <w:b/>
                <w:color w:val="1A2E4A"/>
              </w:rPr>
              <w:t>Main review objective</w:t>
            </w:r>
          </w:p>
        </w:tc>
      </w:tr>
      <w:tr>
        <w:tc>
          <w:tcPr>
            <w:tcW w:type="dxa" w:w="3600"/>
          </w:tcPr>
          <w:p>
            <w:pPr>
              <w:spacing w:after="0" w:before="0" w:line="240" w:lineRule="auto"/>
              <w:jc w:val="left"/>
            </w:pPr>
            <w:r>
              <w:t>Project management</w:t>
            </w:r>
          </w:p>
        </w:tc>
        <w:tc>
          <w:tcPr>
            <w:tcW w:type="dxa" w:w="3600"/>
          </w:tcPr>
          <w:p>
            <w:pPr>
              <w:spacing w:after="0" w:before="0" w:line="240" w:lineRule="auto"/>
              <w:jc w:val="left"/>
            </w:pPr>
            <w:r>
              <w:t>Document schedule, project plan, milestone plan</w:t>
            </w:r>
          </w:p>
        </w:tc>
        <w:tc>
          <w:tcPr>
            <w:tcW w:type="dxa" w:w="3600"/>
          </w:tcPr>
          <w:p>
            <w:pPr>
              <w:spacing w:after="0" w:before="0" w:line="240" w:lineRule="auto"/>
              <w:jc w:val="left"/>
            </w:pPr>
            <w:r>
              <w:t>Confirm scope, timing, and deliverables</w:t>
            </w:r>
          </w:p>
        </w:tc>
      </w:tr>
      <w:tr>
        <w:tc>
          <w:tcPr>
            <w:tcW w:type="dxa" w:w="3600"/>
          </w:tcPr>
          <w:p>
            <w:pPr>
              <w:spacing w:after="0" w:before="0" w:line="240" w:lineRule="auto"/>
              <w:jc w:val="left"/>
            </w:pPr>
            <w:r>
              <w:t>Technical design</w:t>
            </w:r>
          </w:p>
        </w:tc>
        <w:tc>
          <w:tcPr>
            <w:tcW w:type="dxa" w:w="3600"/>
          </w:tcPr>
          <w:p>
            <w:pPr>
              <w:spacing w:after="0" w:before="0" w:line="240" w:lineRule="auto"/>
              <w:jc w:val="left"/>
            </w:pPr>
            <w:r>
              <w:t>Technical proposal, design basis, architecture</w:t>
            </w:r>
          </w:p>
        </w:tc>
        <w:tc>
          <w:tcPr>
            <w:tcW w:type="dxa" w:w="3600"/>
          </w:tcPr>
          <w:p>
            <w:pPr>
              <w:spacing w:after="0" w:before="0" w:line="240" w:lineRule="auto"/>
              <w:jc w:val="left"/>
            </w:pPr>
            <w:r>
              <w:t>Confirm compliance and design intent</w:t>
            </w:r>
          </w:p>
        </w:tc>
      </w:tr>
      <w:tr>
        <w:tc>
          <w:tcPr>
            <w:tcW w:type="dxa" w:w="3600"/>
          </w:tcPr>
          <w:p>
            <w:pPr>
              <w:spacing w:after="0" w:before="0" w:line="240" w:lineRule="auto"/>
              <w:jc w:val="left"/>
            </w:pPr>
            <w:r>
              <w:t>Electrical engineering</w:t>
            </w:r>
          </w:p>
        </w:tc>
        <w:tc>
          <w:tcPr>
            <w:tcW w:type="dxa" w:w="3600"/>
          </w:tcPr>
          <w:p>
            <w:pPr>
              <w:spacing w:after="0" w:before="0" w:line="240" w:lineRule="auto"/>
              <w:jc w:val="left"/>
            </w:pPr>
            <w:r>
              <w:t>Schematics, wiring diagrams, panel layouts</w:t>
            </w:r>
          </w:p>
        </w:tc>
        <w:tc>
          <w:tcPr>
            <w:tcW w:type="dxa" w:w="3600"/>
          </w:tcPr>
          <w:p>
            <w:pPr>
              <w:spacing w:after="0" w:before="0" w:line="240" w:lineRule="auto"/>
              <w:jc w:val="left"/>
            </w:pPr>
            <w:r>
              <w:t>Confirm electrical correctness and buildability</w:t>
            </w:r>
          </w:p>
        </w:tc>
      </w:tr>
      <w:tr>
        <w:tc>
          <w:tcPr>
            <w:tcW w:type="dxa" w:w="3600"/>
          </w:tcPr>
          <w:p>
            <w:pPr>
              <w:spacing w:after="0" w:before="0" w:line="240" w:lineRule="auto"/>
              <w:jc w:val="left"/>
            </w:pPr>
            <w:r>
              <w:t>Automation hardware</w:t>
            </w:r>
          </w:p>
        </w:tc>
        <w:tc>
          <w:tcPr>
            <w:tcW w:type="dxa" w:w="3600"/>
          </w:tcPr>
          <w:p>
            <w:pPr>
              <w:spacing w:after="0" w:before="0" w:line="240" w:lineRule="auto"/>
              <w:jc w:val="left"/>
            </w:pPr>
            <w:r>
              <w:t>PLC configuration, I/O list, BOM</w:t>
            </w:r>
          </w:p>
        </w:tc>
        <w:tc>
          <w:tcPr>
            <w:tcW w:type="dxa" w:w="3600"/>
          </w:tcPr>
          <w:p>
            <w:pPr>
              <w:spacing w:after="0" w:before="0" w:line="240" w:lineRule="auto"/>
              <w:jc w:val="left"/>
            </w:pPr>
            <w:r>
              <w:t>Confirm compatibility and capacity</w:t>
            </w:r>
          </w:p>
        </w:tc>
      </w:tr>
      <w:tr>
        <w:tc>
          <w:tcPr>
            <w:tcW w:type="dxa" w:w="3600"/>
          </w:tcPr>
          <w:p>
            <w:pPr>
              <w:spacing w:after="0" w:before="0" w:line="240" w:lineRule="auto"/>
              <w:jc w:val="left"/>
            </w:pPr>
            <w:r>
              <w:t>Software engineering</w:t>
            </w:r>
          </w:p>
        </w:tc>
        <w:tc>
          <w:tcPr>
            <w:tcW w:type="dxa" w:w="3600"/>
          </w:tcPr>
          <w:p>
            <w:pPr>
              <w:spacing w:after="0" w:before="0" w:line="240" w:lineRule="auto"/>
              <w:jc w:val="left"/>
            </w:pPr>
            <w:r>
              <w:t>Software design, tag list, sequence description</w:t>
            </w:r>
          </w:p>
        </w:tc>
        <w:tc>
          <w:tcPr>
            <w:tcW w:type="dxa" w:w="3600"/>
          </w:tcPr>
          <w:p>
            <w:pPr>
              <w:spacing w:after="0" w:before="0" w:line="240" w:lineRule="auto"/>
              <w:jc w:val="left"/>
            </w:pPr>
            <w:r>
              <w:t>Confirm functional coverage and maintainability</w:t>
            </w:r>
          </w:p>
        </w:tc>
      </w:tr>
      <w:tr>
        <w:tc>
          <w:tcPr>
            <w:tcW w:type="dxa" w:w="3600"/>
          </w:tcPr>
          <w:p>
            <w:pPr>
              <w:spacing w:after="0" w:before="0" w:line="240" w:lineRule="auto"/>
              <w:jc w:val="left"/>
            </w:pPr>
            <w:r>
              <w:t>Industrial networks</w:t>
            </w:r>
          </w:p>
        </w:tc>
        <w:tc>
          <w:tcPr>
            <w:tcW w:type="dxa" w:w="3600"/>
          </w:tcPr>
          <w:p>
            <w:pPr>
              <w:spacing w:after="0" w:before="0" w:line="240" w:lineRule="auto"/>
              <w:jc w:val="left"/>
            </w:pPr>
            <w:r>
              <w:t>Network topology, IP plan, communication mapping</w:t>
            </w:r>
          </w:p>
        </w:tc>
        <w:tc>
          <w:tcPr>
            <w:tcW w:type="dxa" w:w="3600"/>
          </w:tcPr>
          <w:p>
            <w:pPr>
              <w:spacing w:after="0" w:before="0" w:line="240" w:lineRule="auto"/>
              <w:jc w:val="left"/>
            </w:pPr>
            <w:r>
              <w:t>Confirm connectivity, segmentation, and interfaces</w:t>
            </w:r>
          </w:p>
        </w:tc>
      </w:tr>
      <w:tr>
        <w:tc>
          <w:tcPr>
            <w:tcW w:type="dxa" w:w="3600"/>
          </w:tcPr>
          <w:p>
            <w:pPr>
              <w:spacing w:after="0" w:before="0" w:line="240" w:lineRule="auto"/>
              <w:jc w:val="left"/>
            </w:pPr>
            <w:r>
              <w:t>Safety</w:t>
            </w:r>
          </w:p>
        </w:tc>
        <w:tc>
          <w:tcPr>
            <w:tcW w:type="dxa" w:w="3600"/>
          </w:tcPr>
          <w:p>
            <w:pPr>
              <w:spacing w:after="0" w:before="0" w:line="240" w:lineRule="auto"/>
              <w:jc w:val="left"/>
            </w:pPr>
            <w:r>
              <w:t>Risk assessment inputs, safety architecture, safety I/O</w:t>
            </w:r>
          </w:p>
        </w:tc>
        <w:tc>
          <w:tcPr>
            <w:tcW w:type="dxa" w:w="3600"/>
          </w:tcPr>
          <w:p>
            <w:pPr>
              <w:spacing w:after="0" w:before="0" w:line="240" w:lineRule="auto"/>
              <w:jc w:val="left"/>
            </w:pPr>
            <w:r>
              <w:t>Confirm safety requirements are addressed</w:t>
            </w:r>
          </w:p>
        </w:tc>
      </w:tr>
      <w:tr>
        <w:tc>
          <w:tcPr>
            <w:tcW w:type="dxa" w:w="3600"/>
          </w:tcPr>
          <w:p>
            <w:pPr>
              <w:spacing w:after="0" w:before="0" w:line="240" w:lineRule="auto"/>
              <w:jc w:val="left"/>
            </w:pPr>
            <w:r>
              <w:t>Mechanical interfaces</w:t>
            </w:r>
          </w:p>
        </w:tc>
        <w:tc>
          <w:tcPr>
            <w:tcW w:type="dxa" w:w="3600"/>
          </w:tcPr>
          <w:p>
            <w:pPr>
              <w:spacing w:after="0" w:before="0" w:line="240" w:lineRule="auto"/>
              <w:jc w:val="left"/>
            </w:pPr>
            <w:r>
              <w:t>Layouts, mounting details, interface drawings</w:t>
            </w:r>
          </w:p>
        </w:tc>
        <w:tc>
          <w:tcPr>
            <w:tcW w:type="dxa" w:w="3600"/>
          </w:tcPr>
          <w:p>
            <w:pPr>
              <w:spacing w:after="0" w:before="0" w:line="240" w:lineRule="auto"/>
              <w:jc w:val="left"/>
            </w:pPr>
            <w:r>
              <w:t>Confirm physical fit and interfaces</w:t>
            </w:r>
          </w:p>
        </w:tc>
      </w:tr>
      <w:tr>
        <w:tc>
          <w:tcPr>
            <w:tcW w:type="dxa" w:w="3600"/>
          </w:tcPr>
          <w:p>
            <w:pPr>
              <w:spacing w:after="0" w:before="0" w:line="240" w:lineRule="auto"/>
              <w:jc w:val="left"/>
            </w:pPr>
            <w:r>
              <w:t>Quality</w:t>
            </w:r>
          </w:p>
        </w:tc>
        <w:tc>
          <w:tcPr>
            <w:tcW w:type="dxa" w:w="3600"/>
          </w:tcPr>
          <w:p>
            <w:pPr>
              <w:spacing w:after="0" w:before="0" w:line="240" w:lineRule="auto"/>
              <w:jc w:val="left"/>
            </w:pPr>
            <w:r>
              <w:t>Inspection plan, test procedures, quality records</w:t>
            </w:r>
          </w:p>
        </w:tc>
        <w:tc>
          <w:tcPr>
            <w:tcW w:type="dxa" w:w="3600"/>
          </w:tcPr>
          <w:p>
            <w:pPr>
              <w:spacing w:after="0" w:before="0" w:line="240" w:lineRule="auto"/>
              <w:jc w:val="left"/>
            </w:pPr>
            <w:r>
              <w:t>Confirm verification and acceptance evidence</w:t>
            </w:r>
          </w:p>
        </w:tc>
      </w:tr>
      <w:tr>
        <w:tc>
          <w:tcPr>
            <w:tcW w:type="dxa" w:w="3600"/>
          </w:tcPr>
          <w:p>
            <w:pPr>
              <w:spacing w:after="0" w:before="0" w:line="240" w:lineRule="auto"/>
              <w:jc w:val="left"/>
            </w:pPr>
            <w:r>
              <w:t>Testing</w:t>
            </w:r>
          </w:p>
        </w:tc>
        <w:tc>
          <w:tcPr>
            <w:tcW w:type="dxa" w:w="3600"/>
          </w:tcPr>
          <w:p>
            <w:pPr>
              <w:spacing w:after="0" w:before="0" w:line="240" w:lineRule="auto"/>
              <w:jc w:val="left"/>
            </w:pPr>
            <w:r>
              <w:t>FAT and SAT procedures, test cases</w:t>
            </w:r>
          </w:p>
        </w:tc>
        <w:tc>
          <w:tcPr>
            <w:tcW w:type="dxa" w:w="3600"/>
          </w:tcPr>
          <w:p>
            <w:pPr>
              <w:spacing w:after="0" w:before="0" w:line="240" w:lineRule="auto"/>
              <w:jc w:val="left"/>
            </w:pPr>
            <w:r>
              <w:t>Confirm requirements are testable</w:t>
            </w:r>
          </w:p>
        </w:tc>
      </w:tr>
      <w:tr>
        <w:tc>
          <w:tcPr>
            <w:tcW w:type="dxa" w:w="3600"/>
          </w:tcPr>
          <w:p>
            <w:pPr>
              <w:spacing w:after="0" w:before="0" w:line="240" w:lineRule="auto"/>
              <w:jc w:val="left"/>
            </w:pPr>
            <w:r>
              <w:t>Installation</w:t>
            </w:r>
          </w:p>
        </w:tc>
        <w:tc>
          <w:tcPr>
            <w:tcW w:type="dxa" w:w="3600"/>
          </w:tcPr>
          <w:p>
            <w:pPr>
              <w:spacing w:after="0" w:before="0" w:line="240" w:lineRule="auto"/>
              <w:jc w:val="left"/>
            </w:pPr>
            <w:r>
              <w:t>Installation instructions, cable schedules</w:t>
            </w:r>
          </w:p>
        </w:tc>
        <w:tc>
          <w:tcPr>
            <w:tcW w:type="dxa" w:w="3600"/>
          </w:tcPr>
          <w:p>
            <w:pPr>
              <w:spacing w:after="0" w:before="0" w:line="240" w:lineRule="auto"/>
              <w:jc w:val="left"/>
            </w:pPr>
            <w:r>
              <w:t>Confirm installation requirements</w:t>
            </w:r>
          </w:p>
        </w:tc>
      </w:tr>
      <w:tr>
        <w:tc>
          <w:tcPr>
            <w:tcW w:type="dxa" w:w="3600"/>
          </w:tcPr>
          <w:p>
            <w:pPr>
              <w:spacing w:after="0" w:before="0" w:line="240" w:lineRule="auto"/>
              <w:jc w:val="left"/>
            </w:pPr>
            <w:r>
              <w:t>Maintenance</w:t>
            </w:r>
          </w:p>
        </w:tc>
        <w:tc>
          <w:tcPr>
            <w:tcW w:type="dxa" w:w="3600"/>
          </w:tcPr>
          <w:p>
            <w:pPr>
              <w:spacing w:after="0" w:before="0" w:line="240" w:lineRule="auto"/>
              <w:jc w:val="left"/>
            </w:pPr>
            <w:r>
              <w:t>Manuals, spare-parts lists, troubleshooting procedures</w:t>
            </w:r>
          </w:p>
        </w:tc>
        <w:tc>
          <w:tcPr>
            <w:tcW w:type="dxa" w:w="3600"/>
          </w:tcPr>
          <w:p>
            <w:pPr>
              <w:spacing w:after="0" w:before="0" w:line="240" w:lineRule="auto"/>
              <w:jc w:val="left"/>
            </w:pPr>
            <w:r>
              <w:t>Confirm serviceability and support</w:t>
            </w:r>
          </w:p>
        </w:tc>
      </w:tr>
      <w:tr>
        <w:tc>
          <w:tcPr>
            <w:tcW w:type="dxa" w:w="3600"/>
          </w:tcPr>
          <w:p>
            <w:pPr>
              <w:spacing w:after="0" w:before="0" w:line="240" w:lineRule="auto"/>
              <w:jc w:val="left"/>
            </w:pPr>
            <w:r>
              <w:t>Handover</w:t>
            </w:r>
          </w:p>
        </w:tc>
        <w:tc>
          <w:tcPr>
            <w:tcW w:type="dxa" w:w="3600"/>
          </w:tcPr>
          <w:p>
            <w:pPr>
              <w:spacing w:after="0" w:before="0" w:line="240" w:lineRule="auto"/>
              <w:jc w:val="left"/>
            </w:pPr>
            <w:r>
              <w:t>As-built drawings, backups, source files, final BOM</w:t>
            </w:r>
          </w:p>
        </w:tc>
        <w:tc>
          <w:tcPr>
            <w:tcW w:type="dxa" w:w="3600"/>
          </w:tcPr>
          <w:p>
            <w:pPr>
              <w:spacing w:after="0" w:before="0" w:line="240" w:lineRule="auto"/>
              <w:jc w:val="left"/>
            </w:pPr>
            <w:r>
              <w:t>Confirm complete and usable final deliverables</w:t>
            </w:r>
          </w:p>
        </w:tc>
      </w:tr>
    </w:tbl>
    <w:p/>
    <w:p>
      <w:r>
        <w:t>The required document list should be defined in the contract or project document schedule rather than relying on a generic list alone.</w:t>
      </w:r>
    </w:p>
    <w:p>
      <w:pPr>
        <w:pStyle w:val="Heading2"/>
      </w:pPr>
      <w:r>
        <w:t>6. Establish the review basis before reviewing</w:t>
      </w:r>
    </w:p>
    <w:p>
      <w:r>
        <w:t>Before examining a vendor document, identify the approved requirements against which it must be checked.</w:t>
      </w:r>
    </w:p>
    <w:p>
      <w:r>
        <w:t>Typical references include:</w:t>
      </w:r>
    </w:p>
    <w:p>
      <w:pPr>
        <w:pStyle w:val="ListBullet"/>
      </w:pPr>
      <w:r>
        <w:t>User Requirements Specification (URS).</w:t>
      </w:r>
    </w:p>
    <w:p>
      <w:pPr>
        <w:pStyle w:val="ListBullet"/>
      </w:pPr>
      <w:r>
        <w:t>Functional requirements.</w:t>
      </w:r>
    </w:p>
    <w:p>
      <w:pPr>
        <w:pStyle w:val="ListBullet"/>
      </w:pPr>
      <w:r>
        <w:t>Technical specification.</w:t>
      </w:r>
    </w:p>
    <w:p>
      <w:pPr>
        <w:pStyle w:val="ListBullet"/>
      </w:pPr>
      <w:r>
        <w:t>Control philosophy.</w:t>
      </w:r>
    </w:p>
    <w:p>
      <w:pPr>
        <w:pStyle w:val="ListBullet"/>
      </w:pPr>
      <w:r>
        <w:t>Sequence description.</w:t>
      </w:r>
    </w:p>
    <w:p>
      <w:pPr>
        <w:pStyle w:val="ListBullet"/>
      </w:pPr>
      <w:r>
        <w:t>Approved automation architecture.</w:t>
      </w:r>
    </w:p>
    <w:p>
      <w:pPr>
        <w:pStyle w:val="ListBullet"/>
      </w:pPr>
      <w:r>
        <w:t>I/O estimation and I/O list.</w:t>
      </w:r>
    </w:p>
    <w:p>
      <w:pPr>
        <w:pStyle w:val="ListBullet"/>
      </w:pPr>
      <w:r>
        <w:t>Hardware selection and BOM.</w:t>
      </w:r>
    </w:p>
    <w:p>
      <w:pPr>
        <w:pStyle w:val="ListBullet"/>
      </w:pPr>
      <w:r>
        <w:t>Electrical drawings.</w:t>
      </w:r>
    </w:p>
    <w:p>
      <w:pPr>
        <w:pStyle w:val="ListBullet"/>
      </w:pPr>
      <w:r>
        <w:t>Network architecture.</w:t>
      </w:r>
    </w:p>
    <w:p>
      <w:pPr>
        <w:pStyle w:val="ListBullet"/>
      </w:pPr>
      <w:r>
        <w:t>Safety concept.</w:t>
      </w:r>
    </w:p>
    <w:p>
      <w:pPr>
        <w:pStyle w:val="ListBullet"/>
      </w:pPr>
      <w:r>
        <w:t>Approved RFQ and PO.</w:t>
      </w:r>
    </w:p>
    <w:p>
      <w:pPr>
        <w:pStyle w:val="ListBullet"/>
      </w:pPr>
      <w:r>
        <w:t>Technical clarification responses.</w:t>
      </w:r>
    </w:p>
    <w:p>
      <w:pPr>
        <w:pStyle w:val="ListBullet"/>
      </w:pPr>
      <w:r>
        <w:t>Approved deviations.</w:t>
      </w:r>
    </w:p>
    <w:p>
      <w:pPr>
        <w:pStyle w:val="ListBullet"/>
      </w:pPr>
      <w:r>
        <w:t>Applicable standards and site engineering practices.</w:t>
      </w:r>
    </w:p>
    <w:p>
      <w:r>
        <w:t>For each reference, verify its document number, revision, and approval status.</w:t>
      </w:r>
    </w:p>
    <w:p>
      <w:r>
        <w:t>If the supplier has used an obsolete drawing or an unapproved specification revision, record the issue before reviewing the technical details.</w:t>
      </w:r>
    </w:p>
    <w:p>
      <w:pPr>
        <w:pStyle w:val="Heading2"/>
      </w:pPr>
      <w:r>
        <w:t>7. Document control and submission management</w:t>
      </w:r>
    </w:p>
    <w:p>
      <w:r>
        <w:t>Vendor document review requires reliable document identification and revision control.</w:t>
      </w:r>
    </w:p>
    <w:p>
      <w:r>
        <w:t>A document register should track:</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Field</w:t>
            </w:r>
          </w:p>
        </w:tc>
        <w:tc>
          <w:tcPr>
            <w:tcW w:type="dxa" w:w="5400"/>
            <w:shd w:val="clear" w:color="auto" w:fill="EEF2F7"/>
          </w:tcPr>
          <w:p>
            <w:pPr>
              <w:spacing w:after="0" w:before="0" w:line="240" w:lineRule="auto"/>
              <w:jc w:val="left"/>
            </w:pPr>
            <w:r>
              <w:rPr>
                <w:b/>
                <w:color w:val="1A2E4A"/>
              </w:rPr>
              <w:t>Purpose</w:t>
            </w:r>
          </w:p>
        </w:tc>
      </w:tr>
      <w:tr>
        <w:tc>
          <w:tcPr>
            <w:tcW w:type="dxa" w:w="5400"/>
          </w:tcPr>
          <w:p>
            <w:pPr>
              <w:spacing w:after="0" w:before="0" w:line="240" w:lineRule="auto"/>
              <w:jc w:val="left"/>
            </w:pPr>
            <w:r>
              <w:t>Document number</w:t>
            </w:r>
          </w:p>
        </w:tc>
        <w:tc>
          <w:tcPr>
            <w:tcW w:type="dxa" w:w="5400"/>
          </w:tcPr>
          <w:p>
            <w:pPr>
              <w:spacing w:after="0" w:before="0" w:line="240" w:lineRule="auto"/>
              <w:jc w:val="left"/>
            </w:pPr>
            <w:r>
              <w:t>Unique document identifier</w:t>
            </w:r>
          </w:p>
        </w:tc>
      </w:tr>
      <w:tr>
        <w:tc>
          <w:tcPr>
            <w:tcW w:type="dxa" w:w="5400"/>
          </w:tcPr>
          <w:p>
            <w:pPr>
              <w:spacing w:after="0" w:before="0" w:line="240" w:lineRule="auto"/>
              <w:jc w:val="left"/>
            </w:pPr>
            <w:r>
              <w:t>Document title</w:t>
            </w:r>
          </w:p>
        </w:tc>
        <w:tc>
          <w:tcPr>
            <w:tcW w:type="dxa" w:w="5400"/>
          </w:tcPr>
          <w:p>
            <w:pPr>
              <w:spacing w:after="0" w:before="0" w:line="240" w:lineRule="auto"/>
              <w:jc w:val="left"/>
            </w:pPr>
            <w:r>
              <w:t>Identifies the subject</w:t>
            </w:r>
          </w:p>
        </w:tc>
      </w:tr>
      <w:tr>
        <w:tc>
          <w:tcPr>
            <w:tcW w:type="dxa" w:w="5400"/>
          </w:tcPr>
          <w:p>
            <w:pPr>
              <w:spacing w:after="0" w:before="0" w:line="240" w:lineRule="auto"/>
              <w:jc w:val="left"/>
            </w:pPr>
            <w:r>
              <w:t>Supplier</w:t>
            </w:r>
          </w:p>
        </w:tc>
        <w:tc>
          <w:tcPr>
            <w:tcW w:type="dxa" w:w="5400"/>
          </w:tcPr>
          <w:p>
            <w:pPr>
              <w:spacing w:after="0" w:before="0" w:line="240" w:lineRule="auto"/>
              <w:jc w:val="left"/>
            </w:pPr>
            <w:r>
              <w:t>Identifies the submitting organization</w:t>
            </w:r>
          </w:p>
        </w:tc>
      </w:tr>
      <w:tr>
        <w:tc>
          <w:tcPr>
            <w:tcW w:type="dxa" w:w="5400"/>
          </w:tcPr>
          <w:p>
            <w:pPr>
              <w:spacing w:after="0" w:before="0" w:line="240" w:lineRule="auto"/>
              <w:jc w:val="left"/>
            </w:pPr>
            <w:r>
              <w:t>Project or PO number</w:t>
            </w:r>
          </w:p>
        </w:tc>
        <w:tc>
          <w:tcPr>
            <w:tcW w:type="dxa" w:w="5400"/>
          </w:tcPr>
          <w:p>
            <w:pPr>
              <w:spacing w:after="0" w:before="0" w:line="240" w:lineRule="auto"/>
              <w:jc w:val="left"/>
            </w:pPr>
            <w:r>
              <w:t>Links the document to the procurement</w:t>
            </w:r>
          </w:p>
        </w:tc>
      </w:tr>
      <w:tr>
        <w:tc>
          <w:tcPr>
            <w:tcW w:type="dxa" w:w="5400"/>
          </w:tcPr>
          <w:p>
            <w:pPr>
              <w:spacing w:after="0" w:before="0" w:line="240" w:lineRule="auto"/>
              <w:jc w:val="left"/>
            </w:pPr>
            <w:r>
              <w:t>Revision</w:t>
            </w:r>
          </w:p>
        </w:tc>
        <w:tc>
          <w:tcPr>
            <w:tcW w:type="dxa" w:w="5400"/>
          </w:tcPr>
          <w:p>
            <w:pPr>
              <w:spacing w:after="0" w:before="0" w:line="240" w:lineRule="auto"/>
              <w:jc w:val="left"/>
            </w:pPr>
            <w:r>
              <w:t>Identifies the submitted version</w:t>
            </w:r>
          </w:p>
        </w:tc>
      </w:tr>
      <w:tr>
        <w:tc>
          <w:tcPr>
            <w:tcW w:type="dxa" w:w="5400"/>
          </w:tcPr>
          <w:p>
            <w:pPr>
              <w:spacing w:after="0" w:before="0" w:line="240" w:lineRule="auto"/>
              <w:jc w:val="left"/>
            </w:pPr>
            <w:r>
              <w:t>Submission date</w:t>
            </w:r>
          </w:p>
        </w:tc>
        <w:tc>
          <w:tcPr>
            <w:tcW w:type="dxa" w:w="5400"/>
          </w:tcPr>
          <w:p>
            <w:pPr>
              <w:spacing w:after="0" w:before="0" w:line="240" w:lineRule="auto"/>
              <w:jc w:val="left"/>
            </w:pPr>
            <w:r>
              <w:t>Records when the document was received</w:t>
            </w:r>
          </w:p>
        </w:tc>
      </w:tr>
      <w:tr>
        <w:tc>
          <w:tcPr>
            <w:tcW w:type="dxa" w:w="5400"/>
          </w:tcPr>
          <w:p>
            <w:pPr>
              <w:spacing w:after="0" w:before="0" w:line="240" w:lineRule="auto"/>
              <w:jc w:val="left"/>
            </w:pPr>
            <w:r>
              <w:t>Review owner</w:t>
            </w:r>
          </w:p>
        </w:tc>
        <w:tc>
          <w:tcPr>
            <w:tcW w:type="dxa" w:w="5400"/>
          </w:tcPr>
          <w:p>
            <w:pPr>
              <w:spacing w:after="0" w:before="0" w:line="240" w:lineRule="auto"/>
              <w:jc w:val="left"/>
            </w:pPr>
            <w:r>
              <w:t>Identifies the responsible reviewer</w:t>
            </w:r>
          </w:p>
        </w:tc>
      </w:tr>
      <w:tr>
        <w:tc>
          <w:tcPr>
            <w:tcW w:type="dxa" w:w="5400"/>
          </w:tcPr>
          <w:p>
            <w:pPr>
              <w:spacing w:after="0" w:before="0" w:line="240" w:lineRule="auto"/>
              <w:jc w:val="left"/>
            </w:pPr>
            <w:r>
              <w:t>Review due date</w:t>
            </w:r>
          </w:p>
        </w:tc>
        <w:tc>
          <w:tcPr>
            <w:tcW w:type="dxa" w:w="5400"/>
          </w:tcPr>
          <w:p>
            <w:pPr>
              <w:spacing w:after="0" w:before="0" w:line="240" w:lineRule="auto"/>
              <w:jc w:val="left"/>
            </w:pPr>
            <w:r>
              <w:t>Supports schedule management</w:t>
            </w:r>
          </w:p>
        </w:tc>
      </w:tr>
      <w:tr>
        <w:tc>
          <w:tcPr>
            <w:tcW w:type="dxa" w:w="5400"/>
          </w:tcPr>
          <w:p>
            <w:pPr>
              <w:spacing w:after="0" w:before="0" w:line="240" w:lineRule="auto"/>
              <w:jc w:val="left"/>
            </w:pPr>
            <w:r>
              <w:t>Review status</w:t>
            </w:r>
          </w:p>
        </w:tc>
        <w:tc>
          <w:tcPr>
            <w:tcW w:type="dxa" w:w="5400"/>
          </w:tcPr>
          <w:p>
            <w:pPr>
              <w:spacing w:after="0" w:before="0" w:line="240" w:lineRule="auto"/>
              <w:jc w:val="left"/>
            </w:pPr>
            <w:r>
              <w:t>Shows the current disposition</w:t>
            </w:r>
          </w:p>
        </w:tc>
      </w:tr>
      <w:tr>
        <w:tc>
          <w:tcPr>
            <w:tcW w:type="dxa" w:w="5400"/>
          </w:tcPr>
          <w:p>
            <w:pPr>
              <w:spacing w:after="0" w:before="0" w:line="240" w:lineRule="auto"/>
              <w:jc w:val="left"/>
            </w:pPr>
            <w:r>
              <w:t>Comment reference</w:t>
            </w:r>
          </w:p>
        </w:tc>
        <w:tc>
          <w:tcPr>
            <w:tcW w:type="dxa" w:w="5400"/>
          </w:tcPr>
          <w:p>
            <w:pPr>
              <w:spacing w:after="0" w:before="0" w:line="240" w:lineRule="auto"/>
              <w:jc w:val="left"/>
            </w:pPr>
            <w:r>
              <w:t>Links the review comments</w:t>
            </w:r>
          </w:p>
        </w:tc>
      </w:tr>
      <w:tr>
        <w:tc>
          <w:tcPr>
            <w:tcW w:type="dxa" w:w="5400"/>
          </w:tcPr>
          <w:p>
            <w:pPr>
              <w:spacing w:after="0" w:before="0" w:line="240" w:lineRule="auto"/>
              <w:jc w:val="left"/>
            </w:pPr>
            <w:r>
              <w:t>Resubmission date</w:t>
            </w:r>
          </w:p>
        </w:tc>
        <w:tc>
          <w:tcPr>
            <w:tcW w:type="dxa" w:w="5400"/>
          </w:tcPr>
          <w:p>
            <w:pPr>
              <w:spacing w:after="0" w:before="0" w:line="240" w:lineRule="auto"/>
              <w:jc w:val="left"/>
            </w:pPr>
            <w:r>
              <w:t>Tracks corrected submissions</w:t>
            </w:r>
          </w:p>
        </w:tc>
      </w:tr>
      <w:tr>
        <w:tc>
          <w:tcPr>
            <w:tcW w:type="dxa" w:w="5400"/>
          </w:tcPr>
          <w:p>
            <w:pPr>
              <w:spacing w:after="0" w:before="0" w:line="240" w:lineRule="auto"/>
              <w:jc w:val="left"/>
            </w:pPr>
            <w:r>
              <w:t>Final status</w:t>
            </w:r>
          </w:p>
        </w:tc>
        <w:tc>
          <w:tcPr>
            <w:tcW w:type="dxa" w:w="5400"/>
          </w:tcPr>
          <w:p>
            <w:pPr>
              <w:spacing w:after="0" w:before="0" w:line="240" w:lineRule="auto"/>
              <w:jc w:val="left"/>
            </w:pPr>
            <w:r>
              <w:t>Establishes the latest accepted disposition</w:t>
            </w:r>
          </w:p>
        </w:tc>
      </w:tr>
    </w:tbl>
    <w:p/>
    <w:p>
      <w:r>
        <w:t>A practical document naming convention could be:</w:t>
      </w:r>
    </w:p>
    <w:p>
      <w:r>
        <w:rPr>
          <w:rFonts w:ascii="Consolas" w:hAnsi="Consolas"/>
          <w:color w:val="333333"/>
          <w:sz w:val="19"/>
          <w:shd w:val="clear" w:color="auto" w:fill="EFEFEF"/>
        </w:rPr>
        <w:t>PROJECT-DISCIPLINE-DOCUMENTTYPE-SEQUENCE-REVISION</w:t>
      </w:r>
    </w:p>
    <w:p>
      <w:r>
        <w:t xml:space="preserve">For example, </w:t>
      </w:r>
      <w:r>
        <w:rPr>
          <w:rFonts w:ascii="Consolas" w:hAnsi="Consolas"/>
          <w:color w:val="333333"/>
          <w:sz w:val="19"/>
          <w:shd w:val="clear" w:color="auto" w:fill="EFEFEF"/>
        </w:rPr>
        <w:t>LINE01-EL-SCH-001-REV02</w:t>
      </w:r>
      <w:r>
        <w:t xml:space="preserve"> could represent a hypothetical electrical schematic. The project should define its actual naming convention.</w:t>
      </w:r>
    </w:p>
    <w:p>
      <w:r>
        <w:t>Do not treat a filename alone as proof that a document is approved. Its status must be recorded in the controlled document register or approved document-management system.</w:t>
      </w:r>
    </w:p>
    <w:p>
      <w:pPr>
        <w:pStyle w:val="Heading2"/>
      </w:pPr>
      <w:r>
        <w:t>8. Common review statuses</w:t>
      </w:r>
    </w:p>
    <w:p>
      <w:r>
        <w:t>Organizations use different status codes, so the project procedure must define the exact meanings and permitted uses.</w:t>
      </w:r>
    </w:p>
    <w:p>
      <w:r>
        <w:t>A generic system may use: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Status</w:t>
            </w:r>
          </w:p>
        </w:tc>
        <w:tc>
          <w:tcPr>
            <w:tcW w:type="dxa" w:w="3600"/>
            <w:shd w:val="clear" w:color="auto" w:fill="EEF2F7"/>
          </w:tcPr>
          <w:p>
            <w:pPr>
              <w:spacing w:after="0" w:before="0" w:line="240" w:lineRule="auto"/>
              <w:jc w:val="left"/>
            </w:pPr>
            <w:r>
              <w:rPr>
                <w:b/>
                <w:color w:val="1A2E4A"/>
              </w:rPr>
              <w:t>Meaning</w:t>
            </w:r>
          </w:p>
        </w:tc>
        <w:tc>
          <w:tcPr>
            <w:tcW w:type="dxa" w:w="3600"/>
            <w:shd w:val="clear" w:color="auto" w:fill="EEF2F7"/>
          </w:tcPr>
          <w:p>
            <w:pPr>
              <w:spacing w:after="0" w:before="0" w:line="240" w:lineRule="auto"/>
              <w:jc w:val="left"/>
            </w:pPr>
            <w:r>
              <w:rPr>
                <w:b/>
                <w:color w:val="1A2E4A"/>
              </w:rPr>
              <w:t>Typical action</w:t>
            </w:r>
          </w:p>
        </w:tc>
      </w:tr>
      <w:tr>
        <w:tc>
          <w:tcPr>
            <w:tcW w:type="dxa" w:w="3600"/>
          </w:tcPr>
          <w:p>
            <w:pPr>
              <w:spacing w:after="0" w:before="0" w:line="240" w:lineRule="auto"/>
              <w:jc w:val="left"/>
            </w:pPr>
            <w:r>
              <w:t>Approved</w:t>
            </w:r>
          </w:p>
        </w:tc>
        <w:tc>
          <w:tcPr>
            <w:tcW w:type="dxa" w:w="3600"/>
          </w:tcPr>
          <w:p>
            <w:pPr>
              <w:spacing w:after="0" w:before="0" w:line="240" w:lineRule="auto"/>
              <w:jc w:val="left"/>
            </w:pPr>
            <w:r>
              <w:t>Accepted for the defined purpose</w:t>
            </w:r>
          </w:p>
        </w:tc>
        <w:tc>
          <w:tcPr>
            <w:tcW w:type="dxa" w:w="3600"/>
          </w:tcPr>
          <w:p>
            <w:pPr>
              <w:spacing w:after="0" w:before="0" w:line="240" w:lineRule="auto"/>
              <w:jc w:val="left"/>
            </w:pPr>
            <w:r>
              <w:t>Proceed within the stated scope</w:t>
            </w:r>
          </w:p>
        </w:tc>
      </w:tr>
      <w:tr>
        <w:tc>
          <w:tcPr>
            <w:tcW w:type="dxa" w:w="3600"/>
          </w:tcPr>
          <w:p>
            <w:pPr>
              <w:spacing w:after="0" w:before="0" w:line="240" w:lineRule="auto"/>
              <w:jc w:val="left"/>
            </w:pPr>
            <w:r>
              <w:t>Approved with comments</w:t>
            </w:r>
          </w:p>
        </w:tc>
        <w:tc>
          <w:tcPr>
            <w:tcW w:type="dxa" w:w="3600"/>
          </w:tcPr>
          <w:p>
            <w:pPr>
              <w:spacing w:after="0" w:before="0" w:line="240" w:lineRule="auto"/>
              <w:jc w:val="left"/>
            </w:pPr>
            <w:r>
              <w:t>Accepted subject to specified comments or conditions</w:t>
            </w:r>
          </w:p>
        </w:tc>
        <w:tc>
          <w:tcPr>
            <w:tcW w:type="dxa" w:w="3600"/>
          </w:tcPr>
          <w:p>
            <w:pPr>
              <w:spacing w:after="0" w:before="0" w:line="240" w:lineRule="auto"/>
              <w:jc w:val="left"/>
            </w:pPr>
            <w:r>
              <w:t>Close comments as required by the procedure</w:t>
            </w:r>
          </w:p>
        </w:tc>
      </w:tr>
      <w:tr>
        <w:tc>
          <w:tcPr>
            <w:tcW w:type="dxa" w:w="3600"/>
          </w:tcPr>
          <w:p>
            <w:pPr>
              <w:spacing w:after="0" w:before="0" w:line="240" w:lineRule="auto"/>
              <w:jc w:val="left"/>
            </w:pPr>
            <w:r>
              <w:t>Revise and resubmit</w:t>
            </w:r>
          </w:p>
        </w:tc>
        <w:tc>
          <w:tcPr>
            <w:tcW w:type="dxa" w:w="3600"/>
          </w:tcPr>
          <w:p>
            <w:pPr>
              <w:spacing w:after="0" w:before="0" w:line="240" w:lineRule="auto"/>
              <w:jc w:val="left"/>
            </w:pPr>
            <w:r>
              <w:t>Changes are required before the document can be accepted for the intended use</w:t>
            </w:r>
          </w:p>
        </w:tc>
        <w:tc>
          <w:tcPr>
            <w:tcW w:type="dxa" w:w="3600"/>
          </w:tcPr>
          <w:p>
            <w:pPr>
              <w:spacing w:after="0" w:before="0" w:line="240" w:lineRule="auto"/>
              <w:jc w:val="left"/>
            </w:pPr>
            <w:r>
              <w:t>Vendor revises and resubmits</w:t>
            </w:r>
          </w:p>
        </w:tc>
      </w:tr>
      <w:tr>
        <w:tc>
          <w:tcPr>
            <w:tcW w:type="dxa" w:w="3600"/>
          </w:tcPr>
          <w:p>
            <w:pPr>
              <w:spacing w:after="0" w:before="0" w:line="240" w:lineRule="auto"/>
              <w:jc w:val="left"/>
            </w:pPr>
            <w:r>
              <w:t>Rejected</w:t>
            </w:r>
          </w:p>
        </w:tc>
        <w:tc>
          <w:tcPr>
            <w:tcW w:type="dxa" w:w="3600"/>
          </w:tcPr>
          <w:p>
            <w:pPr>
              <w:spacing w:after="0" w:before="0" w:line="240" w:lineRule="auto"/>
              <w:jc w:val="left"/>
            </w:pPr>
            <w:r>
              <w:t>Submission does not meet the required criteria</w:t>
            </w:r>
          </w:p>
        </w:tc>
        <w:tc>
          <w:tcPr>
            <w:tcW w:type="dxa" w:w="3600"/>
          </w:tcPr>
          <w:p>
            <w:pPr>
              <w:spacing w:after="0" w:before="0" w:line="240" w:lineRule="auto"/>
              <w:jc w:val="left"/>
            </w:pPr>
            <w:r>
              <w:t>Correct and resubmit</w:t>
            </w:r>
          </w:p>
        </w:tc>
      </w:tr>
      <w:tr>
        <w:tc>
          <w:tcPr>
            <w:tcW w:type="dxa" w:w="3600"/>
          </w:tcPr>
          <w:p>
            <w:pPr>
              <w:spacing w:after="0" w:before="0" w:line="240" w:lineRule="auto"/>
              <w:jc w:val="left"/>
            </w:pPr>
            <w:r>
              <w:t>For information</w:t>
            </w:r>
          </w:p>
        </w:tc>
        <w:tc>
          <w:tcPr>
            <w:tcW w:type="dxa" w:w="3600"/>
          </w:tcPr>
          <w:p>
            <w:pPr>
              <w:spacing w:after="0" w:before="0" w:line="240" w:lineRule="auto"/>
              <w:jc w:val="left"/>
            </w:pPr>
            <w:r>
              <w:t>Submitted for reference, not approval</w:t>
            </w:r>
          </w:p>
        </w:tc>
        <w:tc>
          <w:tcPr>
            <w:tcW w:type="dxa" w:w="3600"/>
          </w:tcPr>
          <w:p>
            <w:pPr>
              <w:spacing w:after="0" w:before="0" w:line="240" w:lineRule="auto"/>
              <w:jc w:val="left"/>
            </w:pPr>
            <w:r>
              <w:t>Record and distribute as appropriate</w:t>
            </w:r>
          </w:p>
        </w:tc>
      </w:tr>
      <w:tr>
        <w:tc>
          <w:tcPr>
            <w:tcW w:type="dxa" w:w="3600"/>
          </w:tcPr>
          <w:p>
            <w:pPr>
              <w:spacing w:after="0" w:before="0" w:line="240" w:lineRule="auto"/>
              <w:jc w:val="left"/>
            </w:pPr>
            <w:r>
              <w:t>Superseded</w:t>
            </w:r>
          </w:p>
        </w:tc>
        <w:tc>
          <w:tcPr>
            <w:tcW w:type="dxa" w:w="3600"/>
          </w:tcPr>
          <w:p>
            <w:pPr>
              <w:spacing w:after="0" w:before="0" w:line="240" w:lineRule="auto"/>
              <w:jc w:val="left"/>
            </w:pPr>
            <w:r>
              <w:t>Replaced by a later revision</w:t>
            </w:r>
          </w:p>
        </w:tc>
        <w:tc>
          <w:tcPr>
            <w:tcW w:type="dxa" w:w="3600"/>
          </w:tcPr>
          <w:p>
            <w:pPr>
              <w:spacing w:after="0" w:before="0" w:line="240" w:lineRule="auto"/>
              <w:jc w:val="left"/>
            </w:pPr>
            <w:r>
              <w:t>Retain for traceability; do not use for new work</w:t>
            </w:r>
          </w:p>
        </w:tc>
      </w:tr>
    </w:tbl>
    <w:p/>
    <w:p>
      <w:r>
        <w:t>The project procedure must explain whether a document marked "approved with comments" may be used for procurement, fabrication, installation, or another specific activity.</w:t>
      </w:r>
    </w:p>
    <w:p>
      <w:r>
        <w:t>Never assume that a status permits work beyond its explicitly defined purpose.</w:t>
      </w:r>
    </w:p>
    <w:p>
      <w:pPr>
        <w:pStyle w:val="Heading2"/>
      </w:pPr>
      <w:r>
        <w:t>9. Review workflow</w:t>
      </w:r>
    </w:p>
    <w:p>
      <w:r>
        <w:t>A controlled review process can follow these steps:</w:t>
      </w:r>
    </w:p>
    <w:p>
      <w:pPr>
        <w:tabs>
          <w:tab w:pos="403" w:val="left"/>
        </w:tabs>
        <w:spacing w:after="40" w:line="276" w:lineRule="auto"/>
        <w:ind w:left="403" w:hanging="403"/>
        <w:jc w:val="left"/>
      </w:pPr>
      <w:r>
        <w:rPr>
          <w:color w:val="1A2E4A"/>
        </w:rPr>
        <w:t>1.</w:t>
        <w:tab/>
      </w:r>
      <w:r>
        <w:t>Receive the document through the approved submission channel.</w:t>
      </w:r>
    </w:p>
    <w:p>
      <w:pPr>
        <w:tabs>
          <w:tab w:pos="403" w:val="left"/>
        </w:tabs>
        <w:spacing w:after="40" w:line="276" w:lineRule="auto"/>
        <w:ind w:left="403" w:hanging="403"/>
        <w:jc w:val="left"/>
      </w:pPr>
      <w:r>
        <w:rPr>
          <w:color w:val="1A2E4A"/>
        </w:rPr>
        <w:t>2.</w:t>
        <w:tab/>
      </w:r>
      <w:r>
        <w:t>Register the document number, revision, date, and supplier.</w:t>
      </w:r>
    </w:p>
    <w:p>
      <w:pPr>
        <w:tabs>
          <w:tab w:pos="403" w:val="left"/>
        </w:tabs>
        <w:spacing w:after="40" w:line="276" w:lineRule="auto"/>
        <w:ind w:left="403" w:hanging="403"/>
        <w:jc w:val="left"/>
      </w:pPr>
      <w:r>
        <w:rPr>
          <w:color w:val="1A2E4A"/>
        </w:rPr>
        <w:t>3.</w:t>
        <w:tab/>
      </w:r>
      <w:r>
        <w:t>Verify that required attachments and referenced documents are present.</w:t>
      </w:r>
    </w:p>
    <w:p>
      <w:pPr>
        <w:tabs>
          <w:tab w:pos="403" w:val="left"/>
        </w:tabs>
        <w:spacing w:after="40" w:line="276" w:lineRule="auto"/>
        <w:ind w:left="403" w:hanging="403"/>
        <w:jc w:val="left"/>
      </w:pPr>
      <w:r>
        <w:rPr>
          <w:color w:val="1A2E4A"/>
        </w:rPr>
        <w:t>4.</w:t>
        <w:tab/>
      </w:r>
      <w:r>
        <w:t>Confirm that the submitted revision is the one required for review.</w:t>
      </w:r>
    </w:p>
    <w:p>
      <w:pPr>
        <w:tabs>
          <w:tab w:pos="403" w:val="left"/>
        </w:tabs>
        <w:spacing w:after="40" w:line="276" w:lineRule="auto"/>
        <w:ind w:left="403" w:hanging="403"/>
        <w:jc w:val="left"/>
      </w:pPr>
      <w:r>
        <w:rPr>
          <w:color w:val="1A2E4A"/>
        </w:rPr>
        <w:t>5.</w:t>
        <w:tab/>
      </w:r>
      <w:r>
        <w:t>Assign the document to the appropriate discipline reviewer.</w:t>
      </w:r>
    </w:p>
    <w:p>
      <w:pPr>
        <w:tabs>
          <w:tab w:pos="403" w:val="left"/>
        </w:tabs>
        <w:spacing w:after="40" w:line="276" w:lineRule="auto"/>
        <w:ind w:left="403" w:hanging="403"/>
        <w:jc w:val="left"/>
      </w:pPr>
      <w:r>
        <w:rPr>
          <w:color w:val="1A2E4A"/>
        </w:rPr>
        <w:t>6.</w:t>
        <w:tab/>
      </w:r>
      <w:r>
        <w:t>Compare the document with the applicable approved requirements.</w:t>
      </w:r>
    </w:p>
    <w:p>
      <w:pPr>
        <w:tabs>
          <w:tab w:pos="403" w:val="left"/>
        </w:tabs>
        <w:spacing w:after="40" w:line="276" w:lineRule="auto"/>
        <w:ind w:left="403" w:hanging="403"/>
        <w:jc w:val="left"/>
      </w:pPr>
      <w:r>
        <w:rPr>
          <w:color w:val="1A2E4A"/>
        </w:rPr>
        <w:t>7.</w:t>
        <w:tab/>
      </w:r>
      <w:r>
        <w:t>Check interfaces with related documents and systems.</w:t>
      </w:r>
    </w:p>
    <w:p>
      <w:pPr>
        <w:tabs>
          <w:tab w:pos="403" w:val="left"/>
        </w:tabs>
        <w:spacing w:after="40" w:line="276" w:lineRule="auto"/>
        <w:ind w:left="403" w:hanging="403"/>
        <w:jc w:val="left"/>
      </w:pPr>
      <w:r>
        <w:rPr>
          <w:color w:val="1A2E4A"/>
        </w:rPr>
        <w:t>8.</w:t>
        <w:tab/>
      </w:r>
      <w:r>
        <w:t>Record each comment with a unique identifier and clear reference.</w:t>
      </w:r>
    </w:p>
    <w:p>
      <w:pPr>
        <w:tabs>
          <w:tab w:pos="403" w:val="left"/>
        </w:tabs>
        <w:spacing w:after="40" w:line="276" w:lineRule="auto"/>
        <w:ind w:left="403" w:hanging="403"/>
        <w:jc w:val="left"/>
      </w:pPr>
      <w:r>
        <w:rPr>
          <w:color w:val="1A2E4A"/>
        </w:rPr>
        <w:t>9.</w:t>
        <w:tab/>
      </w:r>
      <w:r>
        <w:t>Issue the consolidated review response through the controlled process.</w:t>
      </w:r>
    </w:p>
    <w:p>
      <w:pPr>
        <w:tabs>
          <w:tab w:pos="403" w:val="left"/>
        </w:tabs>
        <w:spacing w:after="40" w:line="276" w:lineRule="auto"/>
        <w:ind w:left="403" w:hanging="403"/>
        <w:jc w:val="left"/>
      </w:pPr>
      <w:r>
        <w:rPr>
          <w:color w:val="1A2E4A"/>
        </w:rPr>
        <w:t>10.</w:t>
        <w:tab/>
      </w:r>
      <w:r>
        <w:t>Receive and register the revised submission.</w:t>
      </w:r>
    </w:p>
    <w:p>
      <w:pPr>
        <w:tabs>
          <w:tab w:pos="403" w:val="left"/>
        </w:tabs>
        <w:spacing w:after="40" w:line="276" w:lineRule="auto"/>
        <w:ind w:left="403" w:hanging="403"/>
        <w:jc w:val="left"/>
      </w:pPr>
      <w:r>
        <w:rPr>
          <w:color w:val="1A2E4A"/>
        </w:rPr>
        <w:t>11.</w:t>
        <w:tab/>
      </w:r>
      <w:r>
        <w:t>Verify that comments have been addressed.</w:t>
      </w:r>
    </w:p>
    <w:p>
      <w:pPr>
        <w:tabs>
          <w:tab w:pos="403" w:val="left"/>
        </w:tabs>
        <w:spacing w:after="40" w:line="276" w:lineRule="auto"/>
        <w:ind w:left="403" w:hanging="403"/>
        <w:jc w:val="left"/>
      </w:pPr>
      <w:r>
        <w:rPr>
          <w:color w:val="1A2E4A"/>
        </w:rPr>
        <w:t>12.</w:t>
        <w:tab/>
      </w:r>
      <w:r>
        <w:t>Close comments, retain unresolved items, and assign the final status.</w:t>
      </w:r>
    </w:p>
    <w:p>
      <w:pPr>
        <w:tabs>
          <w:tab w:pos="403" w:val="left"/>
        </w:tabs>
        <w:spacing w:after="40" w:line="276" w:lineRule="auto"/>
        <w:ind w:left="403" w:hanging="403"/>
        <w:jc w:val="left"/>
      </w:pPr>
      <w:r>
        <w:rPr>
          <w:color w:val="1A2E4A"/>
        </w:rPr>
        <w:t>13.</w:t>
        <w:tab/>
      </w:r>
      <w:r>
        <w:t>Update the document register and distribute the accepted revision.</w:t>
      </w:r>
    </w:p>
    <w:p>
      <w:r>
        <w:t>For multidisciplinary automation projects, electrical, controls, mechanical, safety, IT/OT, quality, and maintenance reviewers may all need to contribute.</w:t>
      </w:r>
    </w:p>
    <w:p>
      <w:pPr>
        <w:pStyle w:val="Heading2"/>
      </w:pPr>
      <w:r>
        <w:t>10. Technical review of electrical drawings</w:t>
      </w:r>
    </w:p>
    <w:p>
      <w:r>
        <w:t>Electrical documents should be reviewed for correctness, safety, buildability, maintainability, and consistency with the approved design.</w:t>
      </w:r>
    </w:p>
    <w:p>
      <w:pPr>
        <w:pStyle w:val="Heading3"/>
      </w:pPr>
      <w:r>
        <w:t>10.1 Electrical schematics</w:t>
      </w:r>
    </w:p>
    <w:p>
      <w:r>
        <w:t>Check:</w:t>
      </w:r>
    </w:p>
    <w:p>
      <w:pPr>
        <w:pStyle w:val="ListBullet"/>
      </w:pPr>
      <w:r>
        <w:t>Correct component tags and part numbers.</w:t>
      </w:r>
    </w:p>
    <w:p>
      <w:pPr>
        <w:pStyle w:val="ListBullet"/>
      </w:pPr>
      <w:r>
        <w:t>Correct voltage levels and power supplies.</w:t>
      </w:r>
    </w:p>
    <w:p>
      <w:pPr>
        <w:pStyle w:val="ListBullet"/>
      </w:pPr>
      <w:r>
        <w:t>Protection-device selection and coordination.</w:t>
      </w:r>
    </w:p>
    <w:p>
      <w:pPr>
        <w:pStyle w:val="ListBullet"/>
      </w:pPr>
      <w:r>
        <w:t>Control-circuit logic and interlocks.</w:t>
      </w:r>
    </w:p>
    <w:p>
      <w:pPr>
        <w:pStyle w:val="ListBullet"/>
      </w:pPr>
      <w:r>
        <w:t>Wire numbers and terminal references.</w:t>
      </w:r>
    </w:p>
    <w:p>
      <w:pPr>
        <w:pStyle w:val="ListBullet"/>
      </w:pPr>
      <w:r>
        <w:t>Cross-references between pages.</w:t>
      </w:r>
    </w:p>
    <w:p>
      <w:pPr>
        <w:pStyle w:val="ListBullet"/>
      </w:pPr>
      <w:r>
        <w:t>Connection points and connector pin assignments.</w:t>
      </w:r>
    </w:p>
    <w:p>
      <w:pPr>
        <w:pStyle w:val="ListBullet"/>
      </w:pPr>
      <w:r>
        <w:t>Earthing and protective bonding.</w:t>
      </w:r>
    </w:p>
    <w:p>
      <w:pPr>
        <w:pStyle w:val="ListBullet"/>
      </w:pPr>
      <w:r>
        <w:t>Separation of power, control, and communication wiring where required.</w:t>
      </w:r>
    </w:p>
    <w:p>
      <w:pPr>
        <w:pStyle w:val="ListBullet"/>
      </w:pPr>
      <w:r>
        <w:t>Compliance with applicable electrical standards and site requirements.</w:t>
      </w:r>
    </w:p>
    <w:p>
      <w:pPr>
        <w:pStyle w:val="Heading3"/>
      </w:pPr>
      <w:r>
        <w:t>10.2 Control-panel layout</w:t>
      </w:r>
    </w:p>
    <w:p>
      <w:r>
        <w:t>Check:</w:t>
      </w:r>
    </w:p>
    <w:p>
      <w:pPr>
        <w:pStyle w:val="ListBullet"/>
      </w:pPr>
      <w:r>
        <w:t>Panel dimensions and mounting arrangements.</w:t>
      </w:r>
    </w:p>
    <w:p>
      <w:pPr>
        <w:pStyle w:val="ListBullet"/>
      </w:pPr>
      <w:r>
        <w:t>Component clearances.</w:t>
      </w:r>
    </w:p>
    <w:p>
      <w:pPr>
        <w:pStyle w:val="ListBullet"/>
      </w:pPr>
      <w:r>
        <w:t>Heat dissipation and ventilation.</w:t>
      </w:r>
    </w:p>
    <w:p>
      <w:pPr>
        <w:pStyle w:val="ListBullet"/>
      </w:pPr>
      <w:r>
        <w:t>Access for maintenance.</w:t>
      </w:r>
    </w:p>
    <w:p>
      <w:pPr>
        <w:pStyle w:val="ListBullet"/>
      </w:pPr>
      <w:r>
        <w:t>Separation of power and signal wiring.</w:t>
      </w:r>
    </w:p>
    <w:p>
      <w:pPr>
        <w:pStyle w:val="ListBullet"/>
      </w:pPr>
      <w:r>
        <w:t>Cable entry and routing.</w:t>
      </w:r>
    </w:p>
    <w:p>
      <w:pPr>
        <w:pStyle w:val="ListBullet"/>
      </w:pPr>
      <w:r>
        <w:t>Earthing and shielding arrangements.</w:t>
      </w:r>
    </w:p>
    <w:p>
      <w:pPr>
        <w:pStyle w:val="ListBullet"/>
      </w:pPr>
      <w:r>
        <w:t>Space for approved spare capacity.</w:t>
      </w:r>
    </w:p>
    <w:p>
      <w:pPr>
        <w:pStyle w:val="ListBullet"/>
      </w:pPr>
      <w:r>
        <w:t>Environmental protection requirements.</w:t>
      </w:r>
    </w:p>
    <w:p>
      <w:pPr>
        <w:pStyle w:val="ListBullet"/>
      </w:pPr>
      <w:r>
        <w:t>Maintainable access to terminals, fuses, and isolators.</w:t>
      </w:r>
    </w:p>
    <w:p>
      <w:pPr>
        <w:pStyle w:val="Heading3"/>
      </w:pPr>
      <w:r>
        <w:t>10.3 Terminal and cable schedules</w:t>
      </w:r>
    </w:p>
    <w:p>
      <w:r>
        <w:t>Check:</w:t>
      </w:r>
    </w:p>
    <w:p>
      <w:pPr>
        <w:pStyle w:val="ListBullet"/>
      </w:pPr>
      <w:r>
        <w:t>Terminal numbering.</w:t>
      </w:r>
    </w:p>
    <w:p>
      <w:pPr>
        <w:pStyle w:val="ListBullet"/>
      </w:pPr>
      <w:r>
        <w:t>Wire references and cross-references.</w:t>
      </w:r>
    </w:p>
    <w:p>
      <w:pPr>
        <w:pStyle w:val="ListBullet"/>
      </w:pPr>
      <w:r>
        <w:t>Cable identification.</w:t>
      </w:r>
    </w:p>
    <w:p>
      <w:pPr>
        <w:pStyle w:val="ListBullet"/>
      </w:pPr>
      <w:r>
        <w:t>Conductor sizes and types.</w:t>
      </w:r>
    </w:p>
    <w:p>
      <w:pPr>
        <w:pStyle w:val="ListBullet"/>
      </w:pPr>
      <w:r>
        <w:t>Shield termination requirements.</w:t>
      </w:r>
    </w:p>
    <w:p>
      <w:pPr>
        <w:pStyle w:val="ListBullet"/>
      </w:pPr>
      <w:r>
        <w:t>Connector and pin details.</w:t>
      </w:r>
    </w:p>
    <w:p>
      <w:pPr>
        <w:pStyle w:val="ListBullet"/>
      </w:pPr>
      <w:r>
        <w:t>Cable routing and segregation.</w:t>
      </w:r>
    </w:p>
    <w:p>
      <w:pPr>
        <w:pStyle w:val="ListBullet"/>
      </w:pPr>
      <w:r>
        <w:t>Consistency with PLC I/O and field-device drawings.</w:t>
      </w:r>
    </w:p>
    <w:p>
      <w:r>
        <w:t>A drawing can look visually complete while containing a single terminal-number mismatch that prevents commissioning. Check connectivity, not merely presentation.</w:t>
      </w:r>
    </w:p>
    <w:p>
      <w:pPr>
        <w:pStyle w:val="Heading2"/>
      </w:pPr>
      <w:r>
        <w:t>11. PLC hardware configuration and BOM review</w:t>
      </w:r>
    </w:p>
    <w:p>
      <w:r>
        <w:t>The PLC configuration should be checked against the approved hardware requirements, I/O list, network architecture, and supplier proposal.</w:t>
      </w:r>
    </w:p>
    <w:p>
      <w:r>
        <w:t>Review:</w:t>
      </w:r>
    </w:p>
    <w:p>
      <w:pPr>
        <w:pStyle w:val="ListBullet"/>
      </w:pPr>
      <w:r>
        <w:t>CPU model and performance.</w:t>
      </w:r>
    </w:p>
    <w:p>
      <w:pPr>
        <w:pStyle w:val="ListBullet"/>
      </w:pPr>
      <w:r>
        <w:t>Firmware and engineering software compatibility.</w:t>
      </w:r>
    </w:p>
    <w:p>
      <w:pPr>
        <w:pStyle w:val="ListBullet"/>
      </w:pPr>
      <w:r>
        <w:t>Power supply and load requirements.</w:t>
      </w:r>
    </w:p>
    <w:p>
      <w:pPr>
        <w:pStyle w:val="ListBullet"/>
      </w:pPr>
      <w:r>
        <w:t>Local and remote I/O modules.</w:t>
      </w:r>
    </w:p>
    <w:p>
      <w:pPr>
        <w:pStyle w:val="ListBullet"/>
      </w:pPr>
      <w:r>
        <w:t>Digital and analog signal types.</w:t>
      </w:r>
    </w:p>
    <w:p>
      <w:pPr>
        <w:pStyle w:val="ListBullet"/>
      </w:pPr>
      <w:r>
        <w:t>Channel counts and spare capacity.</w:t>
      </w:r>
    </w:p>
    <w:p>
      <w:pPr>
        <w:pStyle w:val="ListBullet"/>
      </w:pPr>
      <w:r>
        <w:t>Communication modules.</w:t>
      </w:r>
    </w:p>
    <w:p>
      <w:pPr>
        <w:pStyle w:val="ListBullet"/>
      </w:pPr>
      <w:r>
        <w:t>Network adapters and switches.</w:t>
      </w:r>
    </w:p>
    <w:p>
      <w:pPr>
        <w:pStyle w:val="ListBullet"/>
      </w:pPr>
      <w:r>
        <w:t>Memory requirements.</w:t>
      </w:r>
    </w:p>
    <w:p>
      <w:pPr>
        <w:pStyle w:val="ListBullet"/>
      </w:pPr>
      <w:r>
        <w:t>Redundancy, where required.</w:t>
      </w:r>
    </w:p>
    <w:p>
      <w:pPr>
        <w:pStyle w:val="ListBullet"/>
      </w:pPr>
      <w:r>
        <w:t>Environmental ratings.</w:t>
      </w:r>
    </w:p>
    <w:p>
      <w:pPr>
        <w:pStyle w:val="ListBullet"/>
      </w:pPr>
      <w:r>
        <w:t>Approved manufacturer and part numbers.</w:t>
      </w:r>
    </w:p>
    <w:p>
      <w:pPr>
        <w:pStyle w:val="ListBullet"/>
      </w:pPr>
      <w:r>
        <w:t>Availability of required accessories.</w:t>
      </w:r>
    </w:p>
    <w:p>
      <w:pPr>
        <w:pStyle w:val="ListBullet"/>
      </w:pPr>
      <w:r>
        <w:t>Compatibility with existing equipment.</w:t>
      </w:r>
    </w:p>
    <w:p>
      <w:pPr>
        <w:pStyle w:val="Heading3"/>
      </w:pPr>
      <w:r>
        <w:t>I/O capacity verification</w:t>
      </w:r>
    </w:p>
    <w:p>
      <w:r>
        <w:t>Suppose a proposed system requires 72 digital inputs and 48 digital outputs.</w:t>
      </w:r>
    </w:p>
    <w:p>
      <w:r>
        <w:t>If each selected input module provides 16 channels and each output module provides 16 channels:</w:t>
      </w:r>
    </w:p>
    <w:p>
      <w:pPr>
        <w:spacing w:before="120" w:after="160"/>
        <w:jc w:val="center"/>
      </w:pPr>
      <m:oMathPara>
        <m:oMath>
          <m:sSub>
            <m:e>
              <m:r>
                <m:t>N</m:t>
              </m:r>
            </m:e>
            <m:sub>
              <m:r>
                <m:t>DI</m:t>
              </m:r>
            </m:sub>
          </m:sSub>
          <m:r>
            <m:t>=</m:t>
          </m:r>
          <m:d>
            <m:dPr>
              <m:begChr m:val="⌈"/>
              <m:sepChr m:val=""/>
              <m:endChr m:val="⌉"/>
            </m:dPr>
            <m:e>
              <m:f>
                <m:fPr>
                  <m:type m:val="bar"/>
                </m:fPr>
                <m:num>
                  <m:r>
                    <m:t>72</m:t>
                  </m:r>
                </m:num>
                <m:den>
                  <m:r>
                    <m:t>16</m:t>
                  </m:r>
                </m:den>
              </m:f>
            </m:e>
          </m:d>
          <m:r>
            <m:t>=5</m:t>
          </m:r>
        </m:oMath>
      </m:oMathPara>
    </w:p>
    <w:p>
      <w:pPr>
        <w:spacing w:before="120" w:after="160"/>
        <w:jc w:val="center"/>
      </w:pPr>
      <m:oMathPara>
        <m:oMath>
          <m:sSub>
            <m:e>
              <m:r>
                <m:t>N</m:t>
              </m:r>
            </m:e>
            <m:sub>
              <m:r>
                <m:t>DO</m:t>
              </m:r>
            </m:sub>
          </m:sSub>
          <m:r>
            <m:t>=</m:t>
          </m:r>
          <m:d>
            <m:dPr>
              <m:begChr m:val="⌈"/>
              <m:sepChr m:val=""/>
              <m:endChr m:val="⌉"/>
            </m:dPr>
            <m:e>
              <m:f>
                <m:fPr>
                  <m:type m:val="bar"/>
                </m:fPr>
                <m:num>
                  <m:r>
                    <m:t>48</m:t>
                  </m:r>
                </m:num>
                <m:den>
                  <m:r>
                    <m:t>16</m:t>
                  </m:r>
                </m:den>
              </m:f>
            </m:e>
          </m:d>
          <m:r>
            <m:t>=3</m:t>
          </m:r>
        </m:oMath>
      </m:oMathPara>
    </w:p>
    <w:p>
      <w:r>
        <w:t>The resulting configuration requires five digital-input modules and three digital-output modules, before considering any additional spare-capacity requirement, safety I/O, channel restrictions, or architecture-specific constraints.</w:t>
      </w:r>
    </w:p>
    <w:p>
      <w:r>
        <w:t>The calculation is only an initial channel-count check. Verify actual module compatibility, electrical characteristics, terminal arrangements, and system limitations before accepting the BOM.</w:t>
      </w:r>
    </w:p>
    <w:p>
      <w:pPr>
        <w:pStyle w:val="Heading3"/>
      </w:pPr>
      <w:r>
        <w:t>BOM review</w:t>
      </w:r>
    </w:p>
    <w:p>
      <w:r>
        <w:t>A complete BOM should distinguish:</w:t>
      </w:r>
    </w:p>
    <w:p>
      <w:pPr>
        <w:pStyle w:val="ListBullet"/>
      </w:pPr>
      <w:r>
        <w:t>Manufacturer.</w:t>
      </w:r>
    </w:p>
    <w:p>
      <w:pPr>
        <w:pStyle w:val="ListBullet"/>
      </w:pPr>
      <w:r>
        <w:t>Exact part number.</w:t>
      </w:r>
    </w:p>
    <w:p>
      <w:pPr>
        <w:pStyle w:val="ListBullet"/>
      </w:pPr>
      <w:r>
        <w:t>Description.</w:t>
      </w:r>
    </w:p>
    <w:p>
      <w:pPr>
        <w:pStyle w:val="ListBullet"/>
      </w:pPr>
      <w:r>
        <w:t>Quantity.</w:t>
      </w:r>
    </w:p>
    <w:p>
      <w:pPr>
        <w:pStyle w:val="ListBullet"/>
      </w:pPr>
      <w:r>
        <w:t>Unit of measure.</w:t>
      </w:r>
    </w:p>
    <w:p>
      <w:pPr>
        <w:pStyle w:val="ListBullet"/>
      </w:pPr>
      <w:r>
        <w:t>Hardware revision where applicable.</w:t>
      </w:r>
    </w:p>
    <w:p>
      <w:pPr>
        <w:pStyle w:val="ListBullet"/>
      </w:pPr>
      <w:r>
        <w:t>Approved alternatives, if permitted.</w:t>
      </w:r>
    </w:p>
    <w:p>
      <w:pPr>
        <w:pStyle w:val="ListBullet"/>
      </w:pPr>
      <w:r>
        <w:t>Required accessories.</w:t>
      </w:r>
    </w:p>
    <w:p>
      <w:pPr>
        <w:pStyle w:val="ListBullet"/>
      </w:pPr>
      <w:r>
        <w:t>Technical document references.</w:t>
      </w:r>
    </w:p>
    <w:p>
      <w:r>
        <w:t>Cross-check the BOM against the schematic, panel layout, PLC configuration, and commercial offer.</w:t>
      </w:r>
    </w:p>
    <w:p>
      <w:pPr>
        <w:pStyle w:val="Heading2"/>
      </w:pPr>
      <w:r>
        <w:t>12. HMI, SCADA, and software document review</w:t>
      </w:r>
    </w:p>
    <w:p>
      <w:r>
        <w:t>Software-related submissions must establish what the system will do and how it can be maintained.</w:t>
      </w:r>
    </w:p>
    <w:p>
      <w:r>
        <w:t>Review the following:</w:t>
      </w:r>
    </w:p>
    <w:p>
      <w:pPr>
        <w:pStyle w:val="ListBullet"/>
      </w:pPr>
      <w:r>
        <w:t>Screen list and navigation structure.</w:t>
      </w:r>
    </w:p>
    <w:p>
      <w:pPr>
        <w:pStyle w:val="ListBullet"/>
      </w:pPr>
      <w:r>
        <w:t>Tag list and tag naming.</w:t>
      </w:r>
    </w:p>
    <w:p>
      <w:pPr>
        <w:pStyle w:val="ListBullet"/>
      </w:pPr>
      <w:r>
        <w:t>Alarm definitions and priorities.</w:t>
      </w:r>
    </w:p>
    <w:p>
      <w:pPr>
        <w:pStyle w:val="ListBullet"/>
      </w:pPr>
      <w:r>
        <w:t>Trend and historical-data requirements.</w:t>
      </w:r>
    </w:p>
    <w:p>
      <w:pPr>
        <w:pStyle w:val="ListBullet"/>
      </w:pPr>
      <w:r>
        <w:t>User roles and access permissions.</w:t>
      </w:r>
    </w:p>
    <w:p>
      <w:pPr>
        <w:pStyle w:val="ListBullet"/>
      </w:pPr>
      <w:r>
        <w:t>Recipe or parameter management.</w:t>
      </w:r>
    </w:p>
    <w:p>
      <w:pPr>
        <w:pStyle w:val="ListBullet"/>
      </w:pPr>
      <w:r>
        <w:t>Manual and automatic operating modes.</w:t>
      </w:r>
    </w:p>
    <w:p>
      <w:pPr>
        <w:pStyle w:val="ListBullet"/>
      </w:pPr>
      <w:r>
        <w:t>Interlocks and permissives.</w:t>
      </w:r>
    </w:p>
    <w:p>
      <w:pPr>
        <w:pStyle w:val="ListBullet"/>
      </w:pPr>
      <w:r>
        <w:t>Fault recovery behavior.</w:t>
      </w:r>
    </w:p>
    <w:p>
      <w:pPr>
        <w:pStyle w:val="ListBullet"/>
      </w:pPr>
      <w:r>
        <w:t>Communication-loss handling.</w:t>
      </w:r>
    </w:p>
    <w:p>
      <w:pPr>
        <w:pStyle w:val="ListBullet"/>
      </w:pPr>
      <w:r>
        <w:t>PLC-HMI data mapping.</w:t>
      </w:r>
    </w:p>
    <w:p>
      <w:pPr>
        <w:pStyle w:val="ListBullet"/>
      </w:pPr>
      <w:r>
        <w:t>Software versions and licenses.</w:t>
      </w:r>
    </w:p>
    <w:p>
      <w:pPr>
        <w:pStyle w:val="ListBullet"/>
      </w:pPr>
      <w:r>
        <w:t>Backup and restore procedures.</w:t>
      </w:r>
    </w:p>
    <w:p>
      <w:pPr>
        <w:pStyle w:val="ListBullet"/>
      </w:pPr>
      <w:r>
        <w:t>Source-code and editable-project deliverables.</w:t>
      </w:r>
    </w:p>
    <w:p>
      <w:pPr>
        <w:pStyle w:val="ListBullet"/>
      </w:pPr>
      <w:r>
        <w:t>Required diagnostics and maintenance screens.</w:t>
      </w:r>
    </w:p>
    <w:p>
      <w:r>
        <w:t>For SCADA projects, also review historian requirements, data retention, network interfaces, redundancy, time synchronization, and approved integration with plant systems.</w:t>
      </w:r>
    </w:p>
    <w:p>
      <w:pPr>
        <w:pStyle w:val="Heading3"/>
      </w:pPr>
      <w:r>
        <w:t>Sequence-description consistency</w:t>
      </w:r>
    </w:p>
    <w:p>
      <w:r>
        <w:t>The sequence description should agree with the functional requirements, control philosophy, and intended machine behavior.</w:t>
      </w:r>
    </w:p>
    <w:p>
      <w:r>
        <w:t>For each step, verify:</w:t>
      </w:r>
    </w:p>
    <w:p>
      <w:pPr>
        <w:pStyle w:val="ListBullet"/>
      </w:pPr>
      <w:r>
        <w:t>Entry conditions.</w:t>
      </w:r>
    </w:p>
    <w:p>
      <w:pPr>
        <w:pStyle w:val="ListBullet"/>
      </w:pPr>
      <w:r>
        <w:t>Required outputs or commands.</w:t>
      </w:r>
    </w:p>
    <w:p>
      <w:pPr>
        <w:pStyle w:val="ListBullet"/>
      </w:pPr>
      <w:r>
        <w:t>Completion conditions.</w:t>
      </w:r>
    </w:p>
    <w:p>
      <w:pPr>
        <w:pStyle w:val="ListBullet"/>
      </w:pPr>
      <w:r>
        <w:t>Timeout behavior.</w:t>
      </w:r>
    </w:p>
    <w:p>
      <w:pPr>
        <w:pStyle w:val="ListBullet"/>
      </w:pPr>
      <w:r>
        <w:t>Fault handling.</w:t>
      </w:r>
    </w:p>
    <w:p>
      <w:pPr>
        <w:pStyle w:val="ListBullet"/>
      </w:pPr>
      <w:r>
        <w:t>Reset conditions.</w:t>
      </w:r>
    </w:p>
    <w:p>
      <w:pPr>
        <w:pStyle w:val="ListBullet"/>
      </w:pPr>
      <w:r>
        <w:t>Recovery behavior.</w:t>
      </w:r>
    </w:p>
    <w:p>
      <w:pPr>
        <w:pStyle w:val="ListBullet"/>
      </w:pPr>
      <w:r>
        <w:t>Operator messages.</w:t>
      </w:r>
    </w:p>
    <w:p>
      <w:pPr>
        <w:pStyle w:val="ListBullet"/>
      </w:pPr>
      <w:r>
        <w:t>Interlocks preventing unsafe or invalid transitions.</w:t>
      </w:r>
    </w:p>
    <w:p>
      <w:r>
        <w:t>If the document describes a robot starting before the PLC receives the required safety and ready indications, the sequence must be reviewed and corrected before implementation.</w:t>
      </w:r>
    </w:p>
    <w:p>
      <w:pPr>
        <w:pStyle w:val="Heading2"/>
      </w:pPr>
      <w:r>
        <w:t>13. Industrial network and interface review</w:t>
      </w:r>
    </w:p>
    <w:p>
      <w:r>
        <w:t>Network documents should describe the intended communication architecture sufficiently for engineering, commissioning, and maintenance.</w:t>
      </w:r>
    </w:p>
    <w:p>
      <w:r>
        <w:t>Review:</w:t>
      </w:r>
    </w:p>
    <w:p>
      <w:pPr>
        <w:pStyle w:val="ListBullet"/>
      </w:pPr>
      <w:r>
        <w:t>Network topology.</w:t>
      </w:r>
    </w:p>
    <w:p>
      <w:pPr>
        <w:pStyle w:val="ListBullet"/>
      </w:pPr>
      <w:r>
        <w:t>Device names and IP addresses.</w:t>
      </w:r>
    </w:p>
    <w:p>
      <w:pPr>
        <w:pStyle w:val="ListBullet"/>
      </w:pPr>
      <w:r>
        <w:t>VLANs and segmentation where applicable.</w:t>
      </w:r>
    </w:p>
    <w:p>
      <w:pPr>
        <w:pStyle w:val="ListBullet"/>
      </w:pPr>
      <w:r>
        <w:t>Protocols and communication ports.</w:t>
      </w:r>
    </w:p>
    <w:p>
      <w:pPr>
        <w:pStyle w:val="ListBullet"/>
      </w:pPr>
      <w:r>
        <w:t>Switch models and port allocation.</w:t>
      </w:r>
    </w:p>
    <w:p>
      <w:pPr>
        <w:pStyle w:val="ListBullet"/>
      </w:pPr>
      <w:r>
        <w:t>PLC, HMI, robot, CNC, and drive interfaces.</w:t>
      </w:r>
    </w:p>
    <w:p>
      <w:pPr>
        <w:pStyle w:val="ListBullet"/>
      </w:pPr>
      <w:r>
        <w:t>Remote I/O connections.</w:t>
      </w:r>
    </w:p>
    <w:p>
      <w:pPr>
        <w:pStyle w:val="ListBullet"/>
      </w:pPr>
      <w:r>
        <w:t>Redundancy and recovery arrangements.</w:t>
      </w:r>
    </w:p>
    <w:p>
      <w:pPr>
        <w:pStyle w:val="ListBullet"/>
      </w:pPr>
      <w:r>
        <w:t>Time synchronization.</w:t>
      </w:r>
    </w:p>
    <w:p>
      <w:pPr>
        <w:pStyle w:val="ListBullet"/>
      </w:pPr>
      <w:r>
        <w:t>Remote-access arrangements.</w:t>
      </w:r>
    </w:p>
    <w:p>
      <w:pPr>
        <w:pStyle w:val="ListBullet"/>
      </w:pPr>
      <w:r>
        <w:t>Network diagnostics.</w:t>
      </w:r>
    </w:p>
    <w:p>
      <w:pPr>
        <w:pStyle w:val="ListBullet"/>
      </w:pPr>
      <w:r>
        <w:t>Cybersecurity requirements.</w:t>
      </w:r>
    </w:p>
    <w:p>
      <w:pPr>
        <w:pStyle w:val="Heading3"/>
      </w:pPr>
      <w:r>
        <w:t>Interface matrix</w:t>
      </w:r>
    </w:p>
    <w:p>
      <w:r>
        <w:t>An interface matrix can clarify which systems exchange data.</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2700"/>
        <w:gridCol w:w="2700"/>
        <w:gridCol w:w="2700"/>
        <w:gridCol w:w="2700"/>
      </w:tblGrid>
      <w:tr>
        <w:trPr>
          <w:tblHeader w:val="true"/>
        </w:trPr>
        <w:tc>
          <w:tcPr>
            <w:tcW w:type="dxa" w:w="2700"/>
            <w:shd w:val="clear" w:color="auto" w:fill="EEF2F7"/>
          </w:tcPr>
          <w:p>
            <w:pPr>
              <w:spacing w:after="0" w:before="0" w:line="240" w:lineRule="auto"/>
              <w:jc w:val="left"/>
            </w:pPr>
            <w:r>
              <w:rPr>
                <w:b/>
                <w:color w:val="1A2E4A"/>
              </w:rPr>
              <w:t>Source</w:t>
            </w:r>
          </w:p>
        </w:tc>
        <w:tc>
          <w:tcPr>
            <w:tcW w:type="dxa" w:w="2700"/>
            <w:shd w:val="clear" w:color="auto" w:fill="EEF2F7"/>
          </w:tcPr>
          <w:p>
            <w:pPr>
              <w:spacing w:after="0" w:before="0" w:line="240" w:lineRule="auto"/>
              <w:jc w:val="left"/>
            </w:pPr>
            <w:r>
              <w:rPr>
                <w:b/>
                <w:color w:val="1A2E4A"/>
              </w:rPr>
              <w:t>Destination</w:t>
            </w:r>
          </w:p>
        </w:tc>
        <w:tc>
          <w:tcPr>
            <w:tcW w:type="dxa" w:w="2700"/>
            <w:shd w:val="clear" w:color="auto" w:fill="EEF2F7"/>
          </w:tcPr>
          <w:p>
            <w:pPr>
              <w:spacing w:after="0" w:before="0" w:line="240" w:lineRule="auto"/>
              <w:jc w:val="left"/>
            </w:pPr>
            <w:r>
              <w:rPr>
                <w:b/>
                <w:color w:val="1A2E4A"/>
              </w:rPr>
              <w:t>Data exchanged</w:t>
            </w:r>
          </w:p>
        </w:tc>
        <w:tc>
          <w:tcPr>
            <w:tcW w:type="dxa" w:w="2700"/>
            <w:shd w:val="clear" w:color="auto" w:fill="EEF2F7"/>
          </w:tcPr>
          <w:p>
            <w:pPr>
              <w:spacing w:after="0" w:before="0" w:line="240" w:lineRule="auto"/>
              <w:jc w:val="left"/>
            </w:pPr>
            <w:r>
              <w:rPr>
                <w:b/>
                <w:color w:val="1A2E4A"/>
              </w:rPr>
              <w:t>Verification</w:t>
            </w:r>
          </w:p>
        </w:tc>
      </w:tr>
      <w:tr>
        <w:tc>
          <w:tcPr>
            <w:tcW w:type="dxa" w:w="2700"/>
          </w:tcPr>
          <w:p>
            <w:pPr>
              <w:spacing w:after="0" w:before="0" w:line="240" w:lineRule="auto"/>
              <w:jc w:val="left"/>
            </w:pPr>
            <w:r>
              <w:t>PLC</w:t>
            </w:r>
          </w:p>
        </w:tc>
        <w:tc>
          <w:tcPr>
            <w:tcW w:type="dxa" w:w="2700"/>
          </w:tcPr>
          <w:p>
            <w:pPr>
              <w:spacing w:after="0" w:before="0" w:line="240" w:lineRule="auto"/>
              <w:jc w:val="left"/>
            </w:pPr>
            <w:r>
              <w:t>HMI</w:t>
            </w:r>
          </w:p>
        </w:tc>
        <w:tc>
          <w:tcPr>
            <w:tcW w:type="dxa" w:w="2700"/>
          </w:tcPr>
          <w:p>
            <w:pPr>
              <w:spacing w:after="0" w:before="0" w:line="240" w:lineRule="auto"/>
              <w:jc w:val="left"/>
            </w:pPr>
            <w:r>
              <w:t>Commands, status, alarms</w:t>
            </w:r>
          </w:p>
        </w:tc>
        <w:tc>
          <w:tcPr>
            <w:tcW w:type="dxa" w:w="2700"/>
          </w:tcPr>
          <w:p>
            <w:pPr>
              <w:spacing w:after="0" w:before="0" w:line="240" w:lineRule="auto"/>
              <w:jc w:val="left"/>
            </w:pPr>
            <w:r>
              <w:t>Tag mapping and functional test</w:t>
            </w:r>
          </w:p>
        </w:tc>
      </w:tr>
      <w:tr>
        <w:tc>
          <w:tcPr>
            <w:tcW w:type="dxa" w:w="2700"/>
          </w:tcPr>
          <w:p>
            <w:pPr>
              <w:spacing w:after="0" w:before="0" w:line="240" w:lineRule="auto"/>
              <w:jc w:val="left"/>
            </w:pPr>
            <w:r>
              <w:t>PLC</w:t>
            </w:r>
          </w:p>
        </w:tc>
        <w:tc>
          <w:tcPr>
            <w:tcW w:type="dxa" w:w="2700"/>
          </w:tcPr>
          <w:p>
            <w:pPr>
              <w:spacing w:after="0" w:before="0" w:line="240" w:lineRule="auto"/>
              <w:jc w:val="left"/>
            </w:pPr>
            <w:r>
              <w:t>Drive</w:t>
            </w:r>
          </w:p>
        </w:tc>
        <w:tc>
          <w:tcPr>
            <w:tcW w:type="dxa" w:w="2700"/>
          </w:tcPr>
          <w:p>
            <w:pPr>
              <w:spacing w:after="0" w:before="0" w:line="240" w:lineRule="auto"/>
              <w:jc w:val="left"/>
            </w:pPr>
            <w:r>
              <w:t>Control word, speed reference</w:t>
            </w:r>
          </w:p>
        </w:tc>
        <w:tc>
          <w:tcPr>
            <w:tcW w:type="dxa" w:w="2700"/>
          </w:tcPr>
          <w:p>
            <w:pPr>
              <w:spacing w:after="0" w:before="0" w:line="240" w:lineRule="auto"/>
              <w:jc w:val="left"/>
            </w:pPr>
            <w:r>
              <w:t>Command and feedback test</w:t>
            </w:r>
          </w:p>
        </w:tc>
      </w:tr>
      <w:tr>
        <w:tc>
          <w:tcPr>
            <w:tcW w:type="dxa" w:w="2700"/>
          </w:tcPr>
          <w:p>
            <w:pPr>
              <w:spacing w:after="0" w:before="0" w:line="240" w:lineRule="auto"/>
              <w:jc w:val="left"/>
            </w:pPr>
            <w:r>
              <w:t>PLC</w:t>
            </w:r>
          </w:p>
        </w:tc>
        <w:tc>
          <w:tcPr>
            <w:tcW w:type="dxa" w:w="2700"/>
          </w:tcPr>
          <w:p>
            <w:pPr>
              <w:spacing w:after="0" w:before="0" w:line="240" w:lineRule="auto"/>
              <w:jc w:val="left"/>
            </w:pPr>
            <w:r>
              <w:t>Robot controller</w:t>
            </w:r>
          </w:p>
        </w:tc>
        <w:tc>
          <w:tcPr>
            <w:tcW w:type="dxa" w:w="2700"/>
          </w:tcPr>
          <w:p>
            <w:pPr>
              <w:spacing w:after="0" w:before="0" w:line="240" w:lineRule="auto"/>
              <w:jc w:val="left"/>
            </w:pPr>
            <w:r>
              <w:t>Start request, ready, fault, program selection</w:t>
            </w:r>
          </w:p>
        </w:tc>
        <w:tc>
          <w:tcPr>
            <w:tcW w:type="dxa" w:w="2700"/>
          </w:tcPr>
          <w:p>
            <w:pPr>
              <w:spacing w:after="0" w:before="0" w:line="240" w:lineRule="auto"/>
              <w:jc w:val="left"/>
            </w:pPr>
            <w:r>
              <w:t>Handshake and timeout test</w:t>
            </w:r>
          </w:p>
        </w:tc>
      </w:tr>
      <w:tr>
        <w:tc>
          <w:tcPr>
            <w:tcW w:type="dxa" w:w="2700"/>
          </w:tcPr>
          <w:p>
            <w:pPr>
              <w:spacing w:after="0" w:before="0" w:line="240" w:lineRule="auto"/>
              <w:jc w:val="left"/>
            </w:pPr>
            <w:r>
              <w:t>PLC</w:t>
            </w:r>
          </w:p>
        </w:tc>
        <w:tc>
          <w:tcPr>
            <w:tcW w:type="dxa" w:w="2700"/>
          </w:tcPr>
          <w:p>
            <w:pPr>
              <w:spacing w:after="0" w:before="0" w:line="240" w:lineRule="auto"/>
              <w:jc w:val="left"/>
            </w:pPr>
            <w:r>
              <w:t>CNC/PMC</w:t>
            </w:r>
          </w:p>
        </w:tc>
        <w:tc>
          <w:tcPr>
            <w:tcW w:type="dxa" w:w="2700"/>
          </w:tcPr>
          <w:p>
            <w:pPr>
              <w:spacing w:after="0" w:before="0" w:line="240" w:lineRule="auto"/>
              <w:jc w:val="left"/>
            </w:pPr>
            <w:r>
              <w:t>Machine status, cycle requests, acknowledgments</w:t>
            </w:r>
          </w:p>
        </w:tc>
        <w:tc>
          <w:tcPr>
            <w:tcW w:type="dxa" w:w="2700"/>
          </w:tcPr>
          <w:p>
            <w:pPr>
              <w:spacing w:after="0" w:before="0" w:line="240" w:lineRule="auto"/>
              <w:jc w:val="left"/>
            </w:pPr>
            <w:r>
              <w:t>Signal mapping and sequence test</w:t>
            </w:r>
          </w:p>
        </w:tc>
      </w:tr>
      <w:tr>
        <w:tc>
          <w:tcPr>
            <w:tcW w:type="dxa" w:w="2700"/>
          </w:tcPr>
          <w:p>
            <w:pPr>
              <w:spacing w:after="0" w:before="0" w:line="240" w:lineRule="auto"/>
              <w:jc w:val="left"/>
            </w:pPr>
            <w:r>
              <w:t>PLC</w:t>
            </w:r>
          </w:p>
        </w:tc>
        <w:tc>
          <w:tcPr>
            <w:tcW w:type="dxa" w:w="2700"/>
          </w:tcPr>
          <w:p>
            <w:pPr>
              <w:spacing w:after="0" w:before="0" w:line="240" w:lineRule="auto"/>
              <w:jc w:val="left"/>
            </w:pPr>
            <w:r>
              <w:t>SCADA</w:t>
            </w:r>
          </w:p>
        </w:tc>
        <w:tc>
          <w:tcPr>
            <w:tcW w:type="dxa" w:w="2700"/>
          </w:tcPr>
          <w:p>
            <w:pPr>
              <w:spacing w:after="0" w:before="0" w:line="240" w:lineRule="auto"/>
              <w:jc w:val="left"/>
            </w:pPr>
            <w:r>
              <w:t>Production status and selected process data</w:t>
            </w:r>
          </w:p>
        </w:tc>
        <w:tc>
          <w:tcPr>
            <w:tcW w:type="dxa" w:w="2700"/>
          </w:tcPr>
          <w:p>
            <w:pPr>
              <w:spacing w:after="0" w:before="0" w:line="240" w:lineRule="auto"/>
              <w:jc w:val="left"/>
            </w:pPr>
            <w:r>
              <w:t>Tag and communication test</w:t>
            </w:r>
          </w:p>
        </w:tc>
      </w:tr>
    </w:tbl>
    <w:p/>
    <w:p>
      <w:r>
        <w:t>The exact data and interfaces must match the approved system architecture.</w:t>
      </w:r>
    </w:p>
    <w:p>
      <w:r>
        <w:t>Check both the normal operating path and failure behavior, including loss of communication, stale data, invalid values, timeout handling, and recovery.</w:t>
      </w:r>
    </w:p>
    <w:p>
      <w:pPr>
        <w:pStyle w:val="Heading2"/>
      </w:pPr>
      <w:r>
        <w:t>14. Safety document review</w:t>
      </w:r>
    </w:p>
    <w:p>
      <w:r>
        <w:t>Safety-related documents require review by competent personnel and the appropriate safety authority.</w:t>
      </w:r>
    </w:p>
    <w:p>
      <w:r>
        <w:t>Check that the submission addresses:</w:t>
      </w:r>
    </w:p>
    <w:p>
      <w:pPr>
        <w:pStyle w:val="ListBullet"/>
      </w:pPr>
      <w:r>
        <w:t>Applicable risk-assessment requirements.</w:t>
      </w:r>
    </w:p>
    <w:p>
      <w:pPr>
        <w:pStyle w:val="ListBullet"/>
      </w:pPr>
      <w:r>
        <w:t>Required safety functions.</w:t>
      </w:r>
    </w:p>
    <w:p>
      <w:pPr>
        <w:pStyle w:val="ListBullet"/>
      </w:pPr>
      <w:r>
        <w:t>Emergency-stop architecture.</w:t>
      </w:r>
    </w:p>
    <w:p>
      <w:pPr>
        <w:pStyle w:val="ListBullet"/>
      </w:pPr>
      <w:r>
        <w:t>Guard and door interlocks.</w:t>
      </w:r>
    </w:p>
    <w:p>
      <w:pPr>
        <w:pStyle w:val="ListBullet"/>
      </w:pPr>
      <w:r>
        <w:t>Safety PLC or relay arrangements.</w:t>
      </w:r>
    </w:p>
    <w:p>
      <w:pPr>
        <w:pStyle w:val="ListBullet"/>
      </w:pPr>
      <w:r>
        <w:t>Safety I/O.</w:t>
      </w:r>
    </w:p>
    <w:p>
      <w:pPr>
        <w:pStyle w:val="ListBullet"/>
      </w:pPr>
      <w:r>
        <w:t>Robot safety zones and interfaces.</w:t>
      </w:r>
    </w:p>
    <w:p>
      <w:pPr>
        <w:pStyle w:val="ListBullet"/>
      </w:pPr>
      <w:r>
        <w:t>Drive safety functions, where applicable.</w:t>
      </w:r>
    </w:p>
    <w:p>
      <w:pPr>
        <w:pStyle w:val="ListBullet"/>
      </w:pPr>
      <w:r>
        <w:t>Reset and restart behavior.</w:t>
      </w:r>
    </w:p>
    <w:p>
      <w:pPr>
        <w:pStyle w:val="ListBullet"/>
      </w:pPr>
      <w:r>
        <w:t>Safe response to communication failure.</w:t>
      </w:r>
    </w:p>
    <w:p>
      <w:pPr>
        <w:pStyle w:val="ListBullet"/>
      </w:pPr>
      <w:r>
        <w:t>Required validation evidence.</w:t>
      </w:r>
    </w:p>
    <w:p>
      <w:pPr>
        <w:pStyle w:val="ListBullet"/>
      </w:pPr>
      <w:r>
        <w:t>Responsibility for testing and approval.</w:t>
      </w:r>
    </w:p>
    <w:p>
      <w:pPr>
        <w:pStyle w:val="ListBullet"/>
      </w:pPr>
      <w:r>
        <w:t>Required safety documentation.</w:t>
      </w:r>
    </w:p>
    <w:p>
      <w:r>
        <w:t>A normal PLC status bit must not be treated as a safety-rated signal unless the architecture and required safety integrity have been appropriately established.</w:t>
      </w:r>
    </w:p>
    <w:p>
      <w:r>
        <w:t>Document review alone does not prove that a safety function meets its required performance. The implemented system must be verified and validated according to the applicable standards, risk assessment, and project procedure.</w:t>
      </w:r>
    </w:p>
    <w:p>
      <w:pPr>
        <w:pStyle w:val="Heading2"/>
      </w:pPr>
      <w:r>
        <w:t>15. Quality documents and test procedures</w:t>
      </w:r>
    </w:p>
    <w:p>
      <w:r>
        <w:t>Vendor quality documents should demonstrate how the supplier intends to verify the supplied product or system.</w:t>
      </w:r>
    </w:p>
    <w:p>
      <w:r>
        <w:t>Typical documents include:</w:t>
      </w:r>
    </w:p>
    <w:p>
      <w:pPr>
        <w:pStyle w:val="ListBullet"/>
      </w:pPr>
      <w:r>
        <w:t>Inspection and Test Plan (ITP).</w:t>
      </w:r>
    </w:p>
    <w:p>
      <w:pPr>
        <w:pStyle w:val="ListBullet"/>
      </w:pPr>
      <w:r>
        <w:t>Quality plan.</w:t>
      </w:r>
    </w:p>
    <w:p>
      <w:pPr>
        <w:pStyle w:val="ListBullet"/>
      </w:pPr>
      <w:r>
        <w:t>Factory Acceptance Test (FAT) procedure.</w:t>
      </w:r>
    </w:p>
    <w:p>
      <w:pPr>
        <w:pStyle w:val="ListBullet"/>
      </w:pPr>
      <w:r>
        <w:t>Site Acceptance Test (SAT) procedure.</w:t>
      </w:r>
    </w:p>
    <w:p>
      <w:pPr>
        <w:pStyle w:val="ListBullet"/>
      </w:pPr>
      <w:r>
        <w:t>Inspection checklists.</w:t>
      </w:r>
    </w:p>
    <w:p>
      <w:pPr>
        <w:pStyle w:val="ListBullet"/>
      </w:pPr>
      <w:r>
        <w:t>Calibration records where applicable.</w:t>
      </w:r>
    </w:p>
    <w:p>
      <w:pPr>
        <w:pStyle w:val="ListBullet"/>
      </w:pPr>
      <w:r>
        <w:t>Test reports.</w:t>
      </w:r>
    </w:p>
    <w:p>
      <w:pPr>
        <w:pStyle w:val="ListBullet"/>
      </w:pPr>
      <w:r>
        <w:t>Nonconformance records.</w:t>
      </w:r>
    </w:p>
    <w:p>
      <w:pPr>
        <w:pStyle w:val="ListBullet"/>
      </w:pPr>
      <w:r>
        <w:t>Corrective-action records.</w:t>
      </w:r>
    </w:p>
    <w:p>
      <w:pPr>
        <w:pStyle w:val="ListBullet"/>
      </w:pPr>
      <w:r>
        <w:t>Material certificates where required.</w:t>
      </w:r>
    </w:p>
    <w:p>
      <w:pPr>
        <w:pStyle w:val="ListBullet"/>
      </w:pPr>
      <w:r>
        <w:t>Final inspection and release documentation.</w:t>
      </w:r>
    </w:p>
    <w:p>
      <w:pPr>
        <w:pStyle w:val="Heading3"/>
      </w:pPr>
      <w:r>
        <w:t>FAT/SAT review</w:t>
      </w:r>
    </w:p>
    <w:p>
      <w:r>
        <w:t>Check that each test has:</w:t>
      </w:r>
    </w:p>
    <w:p>
      <w:pPr>
        <w:pStyle w:val="ListBullet"/>
      </w:pPr>
      <w:r>
        <w:t>A clear test ID.</w:t>
      </w:r>
    </w:p>
    <w:p>
      <w:pPr>
        <w:pStyle w:val="ListBullet"/>
      </w:pPr>
      <w:r>
        <w:t>A requirement reference.</w:t>
      </w:r>
    </w:p>
    <w:p>
      <w:pPr>
        <w:pStyle w:val="ListBullet"/>
      </w:pPr>
      <w:r>
        <w:t>Defined preconditions.</w:t>
      </w:r>
    </w:p>
    <w:p>
      <w:pPr>
        <w:pStyle w:val="ListBullet"/>
      </w:pPr>
      <w:r>
        <w:t>Test steps.</w:t>
      </w:r>
    </w:p>
    <w:p>
      <w:pPr>
        <w:pStyle w:val="ListBullet"/>
      </w:pPr>
      <w:r>
        <w:t>Expected results.</w:t>
      </w:r>
    </w:p>
    <w:p>
      <w:pPr>
        <w:pStyle w:val="ListBullet"/>
      </w:pPr>
      <w:r>
        <w:t>Acceptance criteria.</w:t>
      </w:r>
    </w:p>
    <w:p>
      <w:pPr>
        <w:pStyle w:val="ListBullet"/>
      </w:pPr>
      <w:r>
        <w:t>Recorded actual results.</w:t>
      </w:r>
    </w:p>
    <w:p>
      <w:pPr>
        <w:pStyle w:val="ListBullet"/>
      </w:pPr>
      <w:r>
        <w:t>Pass/fail disposition.</w:t>
      </w:r>
    </w:p>
    <w:p>
      <w:pPr>
        <w:pStyle w:val="ListBullet"/>
      </w:pPr>
      <w:r>
        <w:t>Defect handling and retest rules.</w:t>
      </w:r>
    </w:p>
    <w:p>
      <w:pPr>
        <w:pStyle w:val="ListBullet"/>
      </w:pPr>
      <w:r>
        <w:t>Required witness and approval fields.</w:t>
      </w:r>
    </w:p>
    <w:p>
      <w:r>
        <w:t>A FAT procedure that says "verify all PLC functions" is not sufficiently specific for a complex machine. The tests should identify the actual sequences, I/O, alarms, interlocks, interfaces, and relevant fault conditions to be verified.</w:t>
      </w:r>
    </w:p>
    <w:p>
      <w:pPr>
        <w:pStyle w:val="Heading2"/>
      </w:pPr>
      <w:r>
        <w:t>16. Review comments and discrepancy management</w:t>
      </w:r>
    </w:p>
    <w:p>
      <w:r>
        <w:t>A review comment should be clear, traceable, and actionable.</w:t>
      </w:r>
    </w:p>
    <w:p>
      <w:r>
        <w:t>A useful comment includes:</w:t>
      </w:r>
    </w:p>
    <w:p>
      <w:pPr>
        <w:pStyle w:val="ListBullet"/>
      </w:pPr>
      <w:r>
        <w:t>Comment ID.</w:t>
      </w:r>
    </w:p>
    <w:p>
      <w:pPr>
        <w:pStyle w:val="ListBullet"/>
      </w:pPr>
      <w:r>
        <w:t>Document number and revision.</w:t>
      </w:r>
    </w:p>
    <w:p>
      <w:pPr>
        <w:pStyle w:val="ListBullet"/>
      </w:pPr>
      <w:r>
        <w:t>Page, sheet, section, or component reference.</w:t>
      </w:r>
    </w:p>
    <w:p>
      <w:pPr>
        <w:pStyle w:val="ListBullet"/>
      </w:pPr>
      <w:r>
        <w:t>Requirement reference.</w:t>
      </w:r>
    </w:p>
    <w:p>
      <w:pPr>
        <w:pStyle w:val="ListBullet"/>
      </w:pPr>
      <w:r>
        <w:t>Observed issue.</w:t>
      </w:r>
    </w:p>
    <w:p>
      <w:pPr>
        <w:pStyle w:val="ListBullet"/>
      </w:pPr>
      <w:r>
        <w:t>Required correction or information.</w:t>
      </w:r>
    </w:p>
    <w:p>
      <w:pPr>
        <w:pStyle w:val="ListBullet"/>
      </w:pPr>
      <w:r>
        <w:t>Responsible party.</w:t>
      </w:r>
    </w:p>
    <w:p>
      <w:pPr>
        <w:pStyle w:val="ListBullet"/>
      </w:pPr>
      <w:r>
        <w:t>Severity or priority, where defined.</w:t>
      </w:r>
    </w:p>
    <w:p>
      <w:pPr>
        <w:pStyle w:val="ListBullet"/>
      </w:pPr>
      <w:r>
        <w:t>Response and closure status.</w:t>
      </w:r>
    </w:p>
    <w:p>
      <w:pPr>
        <w:pStyle w:val="Heading3"/>
      </w:pPr>
      <w:r>
        <w:t>Example review comment</w:t>
      </w:r>
    </w:p>
    <w:p>
      <w:r>
        <w:t>Document: PLC Hardware Configuration</w:t>
      </w:r>
    </w:p>
    <w:p>
      <w:r>
        <w:t>Reference: Remote I/O station 2</w:t>
      </w:r>
    </w:p>
    <w:p>
      <w:r>
        <w:t>Observation: The proposed BOM lists the remote I/O adapter but does not identify the communication interface required by the approved network architecture.</w:t>
      </w:r>
    </w:p>
    <w:p>
      <w:r>
        <w:t>Required action: Confirm the exact adapter model, supported protocol, and required network connection. Update the BOM and network drawing to show the approved configuration.</w:t>
      </w:r>
    </w:p>
    <w:p>
      <w:r>
        <w:t>Closure evidence: Revised BOM and network drawing with consistent part numbers and interfaces.</w:t>
      </w:r>
    </w:p>
    <w:p>
      <w:r>
        <w:t>Avoid vague comments such as "check and correct" unless the exact issue is already clearly identified elsewhere in the review record.</w:t>
      </w:r>
    </w:p>
    <w:p>
      <w:pPr>
        <w:pStyle w:val="Heading2"/>
      </w:pPr>
      <w:r>
        <w:t>17. Comment classification and closure</w:t>
      </w:r>
    </w:p>
    <w:p>
      <w:r>
        <w:t>Review comments may be categorized according to their impact.</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Category</w:t>
            </w:r>
          </w:p>
        </w:tc>
        <w:tc>
          <w:tcPr>
            <w:tcW w:type="dxa" w:w="3600"/>
            <w:shd w:val="clear" w:color="auto" w:fill="EEF2F7"/>
          </w:tcPr>
          <w:p>
            <w:pPr>
              <w:spacing w:after="0" w:before="0" w:line="240" w:lineRule="auto"/>
              <w:jc w:val="left"/>
            </w:pPr>
            <w:r>
              <w:rPr>
                <w:b/>
                <w:color w:val="1A2E4A"/>
              </w:rPr>
              <w:t>Typical meaning</w:t>
            </w:r>
          </w:p>
        </w:tc>
        <w:tc>
          <w:tcPr>
            <w:tcW w:type="dxa" w:w="3600"/>
            <w:shd w:val="clear" w:color="auto" w:fill="EEF2F7"/>
          </w:tcPr>
          <w:p>
            <w:pPr>
              <w:spacing w:after="0" w:before="0" w:line="240" w:lineRule="auto"/>
              <w:jc w:val="left"/>
            </w:pPr>
            <w:r>
              <w:rPr>
                <w:b/>
                <w:color w:val="1A2E4A"/>
              </w:rPr>
              <w:t>Expected handling</w:t>
            </w:r>
          </w:p>
        </w:tc>
      </w:tr>
      <w:tr>
        <w:tc>
          <w:tcPr>
            <w:tcW w:type="dxa" w:w="3600"/>
          </w:tcPr>
          <w:p>
            <w:pPr>
              <w:spacing w:after="0" w:before="0" w:line="240" w:lineRule="auto"/>
              <w:jc w:val="left"/>
            </w:pPr>
            <w:r>
              <w:t>Critical</w:t>
            </w:r>
          </w:p>
        </w:tc>
        <w:tc>
          <w:tcPr>
            <w:tcW w:type="dxa" w:w="3600"/>
          </w:tcPr>
          <w:p>
            <w:pPr>
              <w:spacing w:after="0" w:before="0" w:line="240" w:lineRule="auto"/>
              <w:jc w:val="left"/>
            </w:pPr>
            <w:r>
              <w:t>Potential safety, major compliance, or fundamental design issue</w:t>
            </w:r>
          </w:p>
        </w:tc>
        <w:tc>
          <w:tcPr>
            <w:tcW w:type="dxa" w:w="3600"/>
          </w:tcPr>
          <w:p>
            <w:pPr>
              <w:spacing w:after="0" w:before="0" w:line="240" w:lineRule="auto"/>
              <w:jc w:val="left"/>
            </w:pPr>
            <w:r>
              <w:t>Resolve before the affected work proceeds</w:t>
            </w:r>
          </w:p>
        </w:tc>
      </w:tr>
      <w:tr>
        <w:tc>
          <w:tcPr>
            <w:tcW w:type="dxa" w:w="3600"/>
          </w:tcPr>
          <w:p>
            <w:pPr>
              <w:spacing w:after="0" w:before="0" w:line="240" w:lineRule="auto"/>
              <w:jc w:val="left"/>
            </w:pPr>
            <w:r>
              <w:t>Major</w:t>
            </w:r>
          </w:p>
        </w:tc>
        <w:tc>
          <w:tcPr>
            <w:tcW w:type="dxa" w:w="3600"/>
          </w:tcPr>
          <w:p>
            <w:pPr>
              <w:spacing w:after="0" w:before="0" w:line="240" w:lineRule="auto"/>
              <w:jc w:val="left"/>
            </w:pPr>
            <w:r>
              <w:t>Significant technical or functional deficiency</w:t>
            </w:r>
          </w:p>
        </w:tc>
        <w:tc>
          <w:tcPr>
            <w:tcW w:type="dxa" w:w="3600"/>
          </w:tcPr>
          <w:p>
            <w:pPr>
              <w:spacing w:after="0" w:before="0" w:line="240" w:lineRule="auto"/>
              <w:jc w:val="left"/>
            </w:pPr>
            <w:r>
              <w:t>Correct before the defined approval or work stage</w:t>
            </w:r>
          </w:p>
        </w:tc>
      </w:tr>
      <w:tr>
        <w:tc>
          <w:tcPr>
            <w:tcW w:type="dxa" w:w="3600"/>
          </w:tcPr>
          <w:p>
            <w:pPr>
              <w:spacing w:after="0" w:before="0" w:line="240" w:lineRule="auto"/>
              <w:jc w:val="left"/>
            </w:pPr>
            <w:r>
              <w:t>Minor</w:t>
            </w:r>
          </w:p>
        </w:tc>
        <w:tc>
          <w:tcPr>
            <w:tcW w:type="dxa" w:w="3600"/>
          </w:tcPr>
          <w:p>
            <w:pPr>
              <w:spacing w:after="0" w:before="0" w:line="240" w:lineRule="auto"/>
              <w:jc w:val="left"/>
            </w:pPr>
            <w:r>
              <w:t>Limited issue that still requires correction or clarification</w:t>
            </w:r>
          </w:p>
        </w:tc>
        <w:tc>
          <w:tcPr>
            <w:tcW w:type="dxa" w:w="3600"/>
          </w:tcPr>
          <w:p>
            <w:pPr>
              <w:spacing w:after="0" w:before="0" w:line="240" w:lineRule="auto"/>
              <w:jc w:val="left"/>
            </w:pPr>
            <w:r>
              <w:t>Close according to the document procedure</w:t>
            </w:r>
          </w:p>
        </w:tc>
      </w:tr>
      <w:tr>
        <w:tc>
          <w:tcPr>
            <w:tcW w:type="dxa" w:w="3600"/>
          </w:tcPr>
          <w:p>
            <w:pPr>
              <w:spacing w:after="0" w:before="0" w:line="240" w:lineRule="auto"/>
              <w:jc w:val="left"/>
            </w:pPr>
            <w:r>
              <w:t>Editorial</w:t>
            </w:r>
          </w:p>
        </w:tc>
        <w:tc>
          <w:tcPr>
            <w:tcW w:type="dxa" w:w="3600"/>
          </w:tcPr>
          <w:p>
            <w:pPr>
              <w:spacing w:after="0" w:before="0" w:line="240" w:lineRule="auto"/>
              <w:jc w:val="left"/>
            </w:pPr>
            <w:r>
              <w:t>Formatting, naming, or document-quality issue</w:t>
            </w:r>
          </w:p>
        </w:tc>
        <w:tc>
          <w:tcPr>
            <w:tcW w:type="dxa" w:w="3600"/>
          </w:tcPr>
          <w:p>
            <w:pPr>
              <w:spacing w:after="0" w:before="0" w:line="240" w:lineRule="auto"/>
              <w:jc w:val="left"/>
            </w:pPr>
            <w:r>
              <w:t>Correct without changing technical intent</w:t>
            </w:r>
          </w:p>
        </w:tc>
      </w:tr>
      <w:tr>
        <w:tc>
          <w:tcPr>
            <w:tcW w:type="dxa" w:w="3600"/>
          </w:tcPr>
          <w:p>
            <w:pPr>
              <w:spacing w:after="0" w:before="0" w:line="240" w:lineRule="auto"/>
              <w:jc w:val="left"/>
            </w:pPr>
            <w:r>
              <w:t>Informational</w:t>
            </w:r>
          </w:p>
        </w:tc>
        <w:tc>
          <w:tcPr>
            <w:tcW w:type="dxa" w:w="3600"/>
          </w:tcPr>
          <w:p>
            <w:pPr>
              <w:spacing w:after="0" w:before="0" w:line="240" w:lineRule="auto"/>
              <w:jc w:val="left"/>
            </w:pPr>
            <w:r>
              <w:t>Clarification or note that does not necessarily require a design change</w:t>
            </w:r>
          </w:p>
        </w:tc>
        <w:tc>
          <w:tcPr>
            <w:tcW w:type="dxa" w:w="3600"/>
          </w:tcPr>
          <w:p>
            <w:pPr>
              <w:spacing w:after="0" w:before="0" w:line="240" w:lineRule="auto"/>
              <w:jc w:val="left"/>
            </w:pPr>
            <w:r>
              <w:t>Record and handle according to the procedure</w:t>
            </w:r>
          </w:p>
        </w:tc>
      </w:tr>
    </w:tbl>
    <w:p/>
    <w:p>
      <w:r>
        <w:t>These categories are examples. The project should define the actual classification and the conditions that prevent work from proceeding.</w:t>
      </w:r>
    </w:p>
    <w:p>
      <w:pPr>
        <w:pStyle w:val="Heading3"/>
      </w:pPr>
      <w:r>
        <w:t>Comment closure process</w:t>
      </w:r>
    </w:p>
    <w:p>
      <w:pPr>
        <w:tabs>
          <w:tab w:pos="403" w:val="left"/>
        </w:tabs>
        <w:spacing w:after="40" w:line="276" w:lineRule="auto"/>
        <w:ind w:left="403" w:hanging="403"/>
        <w:jc w:val="left"/>
      </w:pPr>
      <w:r>
        <w:rPr>
          <w:color w:val="1A2E4A"/>
        </w:rPr>
        <w:t>1.</w:t>
        <w:tab/>
      </w:r>
      <w:r>
        <w:t>The reviewer records the issue and the required action.</w:t>
      </w:r>
    </w:p>
    <w:p>
      <w:pPr>
        <w:tabs>
          <w:tab w:pos="403" w:val="left"/>
        </w:tabs>
        <w:spacing w:after="40" w:line="276" w:lineRule="auto"/>
        <w:ind w:left="403" w:hanging="403"/>
        <w:jc w:val="left"/>
      </w:pPr>
      <w:r>
        <w:rPr>
          <w:color w:val="1A2E4A"/>
        </w:rPr>
        <w:t>2.</w:t>
        <w:tab/>
      </w:r>
      <w:r>
        <w:t>The supplier provides a response and revised document where necessary.</w:t>
      </w:r>
    </w:p>
    <w:p>
      <w:pPr>
        <w:tabs>
          <w:tab w:pos="403" w:val="left"/>
        </w:tabs>
        <w:spacing w:after="40" w:line="276" w:lineRule="auto"/>
        <w:ind w:left="403" w:hanging="403"/>
        <w:jc w:val="left"/>
      </w:pPr>
      <w:r>
        <w:rPr>
          <w:color w:val="1A2E4A"/>
        </w:rPr>
        <w:t>3.</w:t>
        <w:tab/>
      </w:r>
      <w:r>
        <w:t>The reviewer checks whether the response addresses the actual issue.</w:t>
      </w:r>
    </w:p>
    <w:p>
      <w:pPr>
        <w:tabs>
          <w:tab w:pos="403" w:val="left"/>
        </w:tabs>
        <w:spacing w:after="40" w:line="276" w:lineRule="auto"/>
        <w:ind w:left="403" w:hanging="403"/>
        <w:jc w:val="left"/>
      </w:pPr>
      <w:r>
        <w:rPr>
          <w:color w:val="1A2E4A"/>
        </w:rPr>
        <w:t>4.</w:t>
        <w:tab/>
      </w:r>
      <w:r>
        <w:t>Related documents are checked for consistency.</w:t>
      </w:r>
    </w:p>
    <w:p>
      <w:pPr>
        <w:tabs>
          <w:tab w:pos="403" w:val="left"/>
        </w:tabs>
        <w:spacing w:after="40" w:line="276" w:lineRule="auto"/>
        <w:ind w:left="403" w:hanging="403"/>
        <w:jc w:val="left"/>
      </w:pPr>
      <w:r>
        <w:rPr>
          <w:color w:val="1A2E4A"/>
        </w:rPr>
        <w:t>5.</w:t>
        <w:tab/>
      </w:r>
      <w:r>
        <w:t>The comment is closed only when the required evidence is acceptable.</w:t>
      </w:r>
    </w:p>
    <w:p>
      <w:pPr>
        <w:tabs>
          <w:tab w:pos="403" w:val="left"/>
        </w:tabs>
        <w:spacing w:after="40" w:line="276" w:lineRule="auto"/>
        <w:ind w:left="403" w:hanging="403"/>
        <w:jc w:val="left"/>
      </w:pPr>
      <w:r>
        <w:rPr>
          <w:color w:val="1A2E4A"/>
        </w:rPr>
        <w:t>6.</w:t>
        <w:tab/>
      </w:r>
      <w:r>
        <w:t>Unresolved comments remain visible in the register and are escalated according to severity.</w:t>
      </w:r>
    </w:p>
    <w:p>
      <w:r>
        <w:t>A supplier's statement that a comment is "noted" does not prove that the underlying design problem has been corrected.</w:t>
      </w:r>
    </w:p>
    <w:p>
      <w:pPr>
        <w:pStyle w:val="Heading2"/>
      </w:pPr>
      <w:r>
        <w:t>18. Interdisciplinary document coordination</w:t>
      </w:r>
    </w:p>
    <w:p>
      <w:r>
        <w:t>Automation systems involve multiple engineering disciplines. A change in one document can affect several others.</w:t>
      </w:r>
    </w:p>
    <w:p>
      <w:r>
        <w:t>For example, changing a PLC CPU may affect:</w:t>
      </w:r>
    </w:p>
    <w:p>
      <w:pPr>
        <w:pStyle w:val="ListBullet"/>
      </w:pPr>
      <w:r>
        <w:t>Hardware configuration.</w:t>
      </w:r>
    </w:p>
    <w:p>
      <w:pPr>
        <w:pStyle w:val="ListBullet"/>
      </w:pPr>
      <w:r>
        <w:t>I/O capacity.</w:t>
      </w:r>
    </w:p>
    <w:p>
      <w:pPr>
        <w:pStyle w:val="ListBullet"/>
      </w:pPr>
      <w:r>
        <w:t>Power consumption.</w:t>
      </w:r>
    </w:p>
    <w:p>
      <w:pPr>
        <w:pStyle w:val="ListBullet"/>
      </w:pPr>
      <w:r>
        <w:t>Network topology.</w:t>
      </w:r>
    </w:p>
    <w:p>
      <w:pPr>
        <w:pStyle w:val="ListBullet"/>
      </w:pPr>
      <w:r>
        <w:t>Panel layout.</w:t>
      </w:r>
    </w:p>
    <w:p>
      <w:pPr>
        <w:pStyle w:val="ListBullet"/>
      </w:pPr>
      <w:r>
        <w:t>Software version compatibility.</w:t>
      </w:r>
    </w:p>
    <w:p>
      <w:pPr>
        <w:pStyle w:val="ListBullet"/>
      </w:pPr>
      <w:r>
        <w:t>Engineering licenses.</w:t>
      </w:r>
    </w:p>
    <w:p>
      <w:pPr>
        <w:pStyle w:val="ListBullet"/>
      </w:pPr>
      <w:r>
        <w:t>Spare-parts lists.</w:t>
      </w:r>
    </w:p>
    <w:p>
      <w:pPr>
        <w:pStyle w:val="ListBullet"/>
      </w:pPr>
      <w:r>
        <w:t>Commissioning and FAT procedures.</w:t>
      </w:r>
    </w:p>
    <w:p>
      <w:r>
        <w:t>Similarly, changing a sensor model may affect voltage compatibility, input type, cable arrangement, mounting, diagnostic behavior, and PLC scaling.</w:t>
      </w:r>
    </w:p>
    <w:p>
      <w:r>
        <w:t>Use cross-document consistency checks to ensure that the same component tags, part numbers, signal names, and interfaces appear consistently across the document set.</w:t>
      </w:r>
    </w:p>
    <w:p>
      <w:pPr>
        <w:pStyle w:val="Heading3"/>
      </w:pPr>
      <w:r>
        <w:t>Cross-document consistency matrix</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Information</w:t>
            </w:r>
          </w:p>
        </w:tc>
        <w:tc>
          <w:tcPr>
            <w:tcW w:type="dxa" w:w="5400"/>
            <w:shd w:val="clear" w:color="auto" w:fill="EEF2F7"/>
          </w:tcPr>
          <w:p>
            <w:pPr>
              <w:spacing w:after="0" w:before="0" w:line="240" w:lineRule="auto"/>
              <w:jc w:val="left"/>
            </w:pPr>
            <w:r>
              <w:rPr>
                <w:b/>
                <w:color w:val="1A2E4A"/>
              </w:rPr>
              <w:t>Documents to compare</w:t>
            </w:r>
          </w:p>
        </w:tc>
      </w:tr>
      <w:tr>
        <w:tc>
          <w:tcPr>
            <w:tcW w:type="dxa" w:w="5400"/>
          </w:tcPr>
          <w:p>
            <w:pPr>
              <w:spacing w:after="0" w:before="0" w:line="240" w:lineRule="auto"/>
              <w:jc w:val="left"/>
            </w:pPr>
            <w:r>
              <w:t>Component tag</w:t>
            </w:r>
          </w:p>
        </w:tc>
        <w:tc>
          <w:tcPr>
            <w:tcW w:type="dxa" w:w="5400"/>
          </w:tcPr>
          <w:p>
            <w:pPr>
              <w:spacing w:after="0" w:before="0" w:line="240" w:lineRule="auto"/>
              <w:jc w:val="left"/>
            </w:pPr>
            <w:r>
              <w:t>Schematics, BOM, layout, I/O list</w:t>
            </w:r>
          </w:p>
        </w:tc>
      </w:tr>
      <w:tr>
        <w:tc>
          <w:tcPr>
            <w:tcW w:type="dxa" w:w="5400"/>
          </w:tcPr>
          <w:p>
            <w:pPr>
              <w:spacing w:after="0" w:before="0" w:line="240" w:lineRule="auto"/>
              <w:jc w:val="left"/>
            </w:pPr>
            <w:r>
              <w:t>PLC I/O address</w:t>
            </w:r>
          </w:p>
        </w:tc>
        <w:tc>
          <w:tcPr>
            <w:tcW w:type="dxa" w:w="5400"/>
          </w:tcPr>
          <w:p>
            <w:pPr>
              <w:spacing w:after="0" w:before="0" w:line="240" w:lineRule="auto"/>
              <w:jc w:val="left"/>
            </w:pPr>
            <w:r>
              <w:t>I/O list, electrical drawings, software tag mapping</w:t>
            </w:r>
          </w:p>
        </w:tc>
      </w:tr>
      <w:tr>
        <w:tc>
          <w:tcPr>
            <w:tcW w:type="dxa" w:w="5400"/>
          </w:tcPr>
          <w:p>
            <w:pPr>
              <w:spacing w:after="0" w:before="0" w:line="240" w:lineRule="auto"/>
              <w:jc w:val="left"/>
            </w:pPr>
            <w:r>
              <w:t>Network address</w:t>
            </w:r>
          </w:p>
        </w:tc>
        <w:tc>
          <w:tcPr>
            <w:tcW w:type="dxa" w:w="5400"/>
          </w:tcPr>
          <w:p>
            <w:pPr>
              <w:spacing w:after="0" w:before="0" w:line="240" w:lineRule="auto"/>
              <w:jc w:val="left"/>
            </w:pPr>
            <w:r>
              <w:t>Network topology, device configuration, commissioning plan</w:t>
            </w:r>
          </w:p>
        </w:tc>
      </w:tr>
      <w:tr>
        <w:tc>
          <w:tcPr>
            <w:tcW w:type="dxa" w:w="5400"/>
          </w:tcPr>
          <w:p>
            <w:pPr>
              <w:spacing w:after="0" w:before="0" w:line="240" w:lineRule="auto"/>
              <w:jc w:val="left"/>
            </w:pPr>
            <w:r>
              <w:t>Part number</w:t>
            </w:r>
          </w:p>
        </w:tc>
        <w:tc>
          <w:tcPr>
            <w:tcW w:type="dxa" w:w="5400"/>
          </w:tcPr>
          <w:p>
            <w:pPr>
              <w:spacing w:after="0" w:before="0" w:line="240" w:lineRule="auto"/>
              <w:jc w:val="left"/>
            </w:pPr>
            <w:r>
              <w:t>BOM, quotation, hardware configuration</w:t>
            </w:r>
          </w:p>
        </w:tc>
      </w:tr>
      <w:tr>
        <w:tc>
          <w:tcPr>
            <w:tcW w:type="dxa" w:w="5400"/>
          </w:tcPr>
          <w:p>
            <w:pPr>
              <w:spacing w:after="0" w:before="0" w:line="240" w:lineRule="auto"/>
              <w:jc w:val="left"/>
            </w:pPr>
            <w:r>
              <w:t>Safety signal</w:t>
            </w:r>
          </w:p>
        </w:tc>
        <w:tc>
          <w:tcPr>
            <w:tcW w:type="dxa" w:w="5400"/>
          </w:tcPr>
          <w:p>
            <w:pPr>
              <w:spacing w:after="0" w:before="0" w:line="240" w:lineRule="auto"/>
              <w:jc w:val="left"/>
            </w:pPr>
            <w:r>
              <w:t>Safety architecture, schematics, I/O list, validation procedure</w:t>
            </w:r>
          </w:p>
        </w:tc>
      </w:tr>
      <w:tr>
        <w:tc>
          <w:tcPr>
            <w:tcW w:type="dxa" w:w="5400"/>
          </w:tcPr>
          <w:p>
            <w:pPr>
              <w:spacing w:after="0" w:before="0" w:line="240" w:lineRule="auto"/>
              <w:jc w:val="left"/>
            </w:pPr>
            <w:r>
              <w:t>Test requirement</w:t>
            </w:r>
          </w:p>
        </w:tc>
        <w:tc>
          <w:tcPr>
            <w:tcW w:type="dxa" w:w="5400"/>
          </w:tcPr>
          <w:p>
            <w:pPr>
              <w:spacing w:after="0" w:before="0" w:line="240" w:lineRule="auto"/>
              <w:jc w:val="left"/>
            </w:pPr>
            <w:r>
              <w:t>Specification, FAT, SAT, acceptance records</w:t>
            </w:r>
          </w:p>
        </w:tc>
      </w:tr>
      <w:tr>
        <w:tc>
          <w:tcPr>
            <w:tcW w:type="dxa" w:w="5400"/>
          </w:tcPr>
          <w:p>
            <w:pPr>
              <w:spacing w:after="0" w:before="0" w:line="240" w:lineRule="auto"/>
              <w:jc w:val="left"/>
            </w:pPr>
            <w:r>
              <w:t>Deliverable</w:t>
            </w:r>
          </w:p>
        </w:tc>
        <w:tc>
          <w:tcPr>
            <w:tcW w:type="dxa" w:w="5400"/>
          </w:tcPr>
          <w:p>
            <w:pPr>
              <w:spacing w:after="0" w:before="0" w:line="240" w:lineRule="auto"/>
              <w:jc w:val="left"/>
            </w:pPr>
            <w:r>
              <w:t>PO, document schedule, handover checklist</w:t>
            </w:r>
          </w:p>
        </w:tc>
      </w:tr>
    </w:tbl>
    <w:p/>
    <w:p>
      <w:pPr>
        <w:pStyle w:val="Heading2"/>
      </w:pPr>
      <w:r>
        <w:t>19. As-built documents and final handover</w:t>
      </w:r>
    </w:p>
    <w:p>
      <w:r>
        <w:t>As-built documentation records the final installed configuration rather than merely the original design intention.</w:t>
      </w:r>
    </w:p>
    <w:p>
      <w:r>
        <w:t>The final document package may include:</w:t>
      </w:r>
    </w:p>
    <w:p>
      <w:pPr>
        <w:pStyle w:val="ListBullet"/>
      </w:pPr>
      <w:r>
        <w:t>Updated electrical schematics.</w:t>
      </w:r>
    </w:p>
    <w:p>
      <w:pPr>
        <w:pStyle w:val="ListBullet"/>
      </w:pPr>
      <w:r>
        <w:t>Final panel layouts.</w:t>
      </w:r>
    </w:p>
    <w:p>
      <w:pPr>
        <w:pStyle w:val="ListBullet"/>
      </w:pPr>
      <w:r>
        <w:t>Final BOM.</w:t>
      </w:r>
    </w:p>
    <w:p>
      <w:pPr>
        <w:pStyle w:val="ListBullet"/>
      </w:pPr>
      <w:r>
        <w:t>Cable and terminal schedules.</w:t>
      </w:r>
    </w:p>
    <w:p>
      <w:pPr>
        <w:pStyle w:val="ListBullet"/>
      </w:pPr>
      <w:r>
        <w:t>Final PLC and HMI configuration.</w:t>
      </w:r>
    </w:p>
    <w:p>
      <w:pPr>
        <w:pStyle w:val="ListBullet"/>
      </w:pPr>
      <w:r>
        <w:t>Editable software project files.</w:t>
      </w:r>
    </w:p>
    <w:p>
      <w:pPr>
        <w:pStyle w:val="ListBullet"/>
      </w:pPr>
      <w:r>
        <w:t>Final I/O list.</w:t>
      </w:r>
    </w:p>
    <w:p>
      <w:pPr>
        <w:pStyle w:val="ListBullet"/>
      </w:pPr>
      <w:r>
        <w:t>Network diagrams and approved addressing records.</w:t>
      </w:r>
    </w:p>
    <w:p>
      <w:pPr>
        <w:pStyle w:val="ListBullet"/>
      </w:pPr>
      <w:r>
        <w:t>Safety documents and validation records.</w:t>
      </w:r>
    </w:p>
    <w:p>
      <w:pPr>
        <w:pStyle w:val="ListBullet"/>
      </w:pPr>
      <w:r>
        <w:t>FAT and SAT reports.</w:t>
      </w:r>
    </w:p>
    <w:p>
      <w:pPr>
        <w:pStyle w:val="ListBullet"/>
      </w:pPr>
      <w:r>
        <w:t>Manuals and maintenance instructions.</w:t>
      </w:r>
    </w:p>
    <w:p>
      <w:pPr>
        <w:pStyle w:val="ListBullet"/>
      </w:pPr>
      <w:r>
        <w:t>Spare-parts list.</w:t>
      </w:r>
    </w:p>
    <w:p>
      <w:pPr>
        <w:pStyle w:val="ListBullet"/>
      </w:pPr>
      <w:r>
        <w:t>Backup and restoration instructions.</w:t>
      </w:r>
    </w:p>
    <w:p>
      <w:pPr>
        <w:pStyle w:val="ListBullet"/>
      </w:pPr>
      <w:r>
        <w:t>Training records.</w:t>
      </w:r>
    </w:p>
    <w:p>
      <w:pPr>
        <w:pStyle w:val="ListBullet"/>
      </w:pPr>
      <w:r>
        <w:t>Open-item and deviation closure records.</w:t>
      </w:r>
    </w:p>
    <w:p>
      <w:r>
        <w:t>For software-driven equipment, a usable handover should identify the correct final project version and the tools or licenses required to open, edit, restore, and maintain it.</w:t>
      </w:r>
    </w:p>
    <w:p>
      <w:r>
        <w:t>Do not accept a generic software backup as proof that the final installed configuration has been captured correctly. The handover process should verify that the supplied files correspond to the accepted system and can be restored using the documented procedure where required.</w:t>
      </w:r>
    </w:p>
    <w:p>
      <w:pPr>
        <w:pStyle w:val="Heading2"/>
      </w:pPr>
      <w:r>
        <w:t>20. Common vendor document review mistakes</w:t>
      </w:r>
    </w:p>
    <w:p>
      <w:pPr>
        <w:pStyle w:val="ListBullet"/>
      </w:pPr>
      <w:r>
        <w:t>Reviewing against an obsolete specification revision.</w:t>
      </w:r>
    </w:p>
    <w:p>
      <w:pPr>
        <w:pStyle w:val="ListBullet"/>
      </w:pPr>
      <w:r>
        <w:t>Accepting documents without checking their identifiers and revision status.</w:t>
      </w:r>
    </w:p>
    <w:p>
      <w:pPr>
        <w:pStyle w:val="ListBullet"/>
      </w:pPr>
      <w:r>
        <w:t>Reviewing individual drawings without checking interfaces.</w:t>
      </w:r>
    </w:p>
    <w:p>
      <w:pPr>
        <w:pStyle w:val="ListBullet"/>
      </w:pPr>
      <w:r>
        <w:t>Failing to compare BOM part numbers against the hardware configuration.</w:t>
      </w:r>
    </w:p>
    <w:p>
      <w:pPr>
        <w:pStyle w:val="ListBullet"/>
      </w:pPr>
      <w:r>
        <w:t>Ignoring spare-capacity requirements.</w:t>
      </w:r>
    </w:p>
    <w:p>
      <w:pPr>
        <w:pStyle w:val="ListBullet"/>
      </w:pPr>
      <w:r>
        <w:t>Accepting vague FAT/SAT procedures.</w:t>
      </w:r>
    </w:p>
    <w:p>
      <w:pPr>
        <w:pStyle w:val="ListBullet"/>
      </w:pPr>
      <w:r>
        <w:t>Failing to assess cybersecurity and software licensing.</w:t>
      </w:r>
    </w:p>
    <w:p>
      <w:pPr>
        <w:pStyle w:val="ListBullet"/>
      </w:pPr>
      <w:r>
        <w:t>Treating normal PLC signals as safety-rated signals without justification.</w:t>
      </w:r>
    </w:p>
    <w:p>
      <w:pPr>
        <w:pStyle w:val="ListBullet"/>
      </w:pPr>
      <w:r>
        <w:t>Closing comments without verifying the revised document.</w:t>
      </w:r>
    </w:p>
    <w:p>
      <w:pPr>
        <w:pStyle w:val="ListBullet"/>
      </w:pPr>
      <w:r>
        <w:t>Allowing contradictory comments from different reviewers to reach the supplier.</w:t>
      </w:r>
    </w:p>
    <w:p>
      <w:pPr>
        <w:pStyle w:val="ListBullet"/>
      </w:pPr>
      <w:r>
        <w:t>Failing to track overdue submissions.</w:t>
      </w:r>
    </w:p>
    <w:p>
      <w:pPr>
        <w:pStyle w:val="ListBullet"/>
      </w:pPr>
      <w:r>
        <w:t>Using documents with unresolved critical issues for fabrication or installation.</w:t>
      </w:r>
    </w:p>
    <w:p>
      <w:pPr>
        <w:pStyle w:val="ListBullet"/>
      </w:pPr>
      <w:r>
        <w:t>Failing to retain the original review history.</w:t>
      </w:r>
    </w:p>
    <w:p>
      <w:pPr>
        <w:pStyle w:val="ListBullet"/>
      </w:pPr>
      <w:r>
        <w:t>Accepting incomplete as-built drawings or software backups.</w:t>
      </w:r>
    </w:p>
    <w:p>
      <w:pPr>
        <w:pStyle w:val="ListBullet"/>
      </w:pPr>
      <w:r>
        <w:t>Treating document approval as proof of physical or functional acceptance.</w:t>
      </w:r>
    </w:p>
    <w:p>
      <w:pPr>
        <w:pStyle w:val="Heading2"/>
      </w:pPr>
      <w:r>
        <w:t>21. Practical vendor document review checklist</w:t>
      </w:r>
    </w:p>
    <w:p>
      <w:pPr>
        <w:pStyle w:val="Heading3"/>
      </w:pPr>
      <w:r>
        <w:t>Document control</w:t>
      </w:r>
    </w:p>
    <w:p>
      <w:pPr>
        <w:pStyle w:val="ListBullet"/>
      </w:pPr>
      <w:r>
        <w:t>Document number, title, supplier, and revision are correct.</w:t>
      </w:r>
    </w:p>
    <w:p>
      <w:pPr>
        <w:pStyle w:val="ListBullet"/>
      </w:pPr>
      <w:r>
        <w:t>Submission is registered.</w:t>
      </w:r>
    </w:p>
    <w:p>
      <w:pPr>
        <w:pStyle w:val="ListBullet"/>
      </w:pPr>
      <w:r>
        <w:t>Applicable approved references are identified.</w:t>
      </w:r>
    </w:p>
    <w:p>
      <w:pPr>
        <w:pStyle w:val="ListBullet"/>
      </w:pPr>
      <w:r>
        <w:t>Required attachments are present.</w:t>
      </w:r>
    </w:p>
    <w:p>
      <w:pPr>
        <w:pStyle w:val="ListBullet"/>
      </w:pPr>
      <w:r>
        <w:t>Review responsibilities and deadlines are assigned.</w:t>
      </w:r>
    </w:p>
    <w:p>
      <w:pPr>
        <w:pStyle w:val="Heading3"/>
      </w:pPr>
      <w:r>
        <w:t>Technical review</w:t>
      </w:r>
    </w:p>
    <w:p>
      <w:pPr>
        <w:pStyle w:val="ListBullet"/>
      </w:pPr>
      <w:r>
        <w:t>Requirements and design assumptions are consistent.</w:t>
      </w:r>
    </w:p>
    <w:p>
      <w:pPr>
        <w:pStyle w:val="ListBullet"/>
      </w:pPr>
      <w:r>
        <w:t>Hardware and software configurations are compatible.</w:t>
      </w:r>
    </w:p>
    <w:p>
      <w:pPr>
        <w:pStyle w:val="ListBullet"/>
      </w:pPr>
      <w:r>
        <w:t>BOM, drawings, I/O lists, and network documents agree.</w:t>
      </w:r>
    </w:p>
    <w:p>
      <w:pPr>
        <w:pStyle w:val="ListBullet"/>
      </w:pPr>
      <w:r>
        <w:t>Electrical, mechanical, and communication interfaces are correct.</w:t>
      </w:r>
    </w:p>
    <w:p>
      <w:pPr>
        <w:pStyle w:val="ListBullet"/>
      </w:pPr>
      <w:r>
        <w:t>Safety requirements are addressed by competent reviewers.</w:t>
      </w:r>
    </w:p>
    <w:p>
      <w:pPr>
        <w:pStyle w:val="ListBullet"/>
      </w:pPr>
      <w:r>
        <w:t>Testing and acceptance criteria are measurable.</w:t>
      </w:r>
    </w:p>
    <w:p>
      <w:pPr>
        <w:pStyle w:val="ListBullet"/>
      </w:pPr>
      <w:r>
        <w:t>Maintenance and cybersecurity requirements are covered where applicable.</w:t>
      </w:r>
    </w:p>
    <w:p>
      <w:pPr>
        <w:pStyle w:val="Heading3"/>
      </w:pPr>
      <w:r>
        <w:t>Comment management</w:t>
      </w:r>
    </w:p>
    <w:p>
      <w:pPr>
        <w:pStyle w:val="ListBullet"/>
      </w:pPr>
      <w:r>
        <w:t>Each comment has a clear reference and required action.</w:t>
      </w:r>
    </w:p>
    <w:p>
      <w:pPr>
        <w:pStyle w:val="ListBullet"/>
      </w:pPr>
      <w:r>
        <w:t>Severity and response expectations follow the procedure.</w:t>
      </w:r>
    </w:p>
    <w:p>
      <w:pPr>
        <w:pStyle w:val="ListBullet"/>
      </w:pPr>
      <w:r>
        <w:t>Supplier responses are evaluated, not merely recorded.</w:t>
      </w:r>
    </w:p>
    <w:p>
      <w:pPr>
        <w:pStyle w:val="ListBullet"/>
      </w:pPr>
      <w:r>
        <w:t>Revised documents are checked against the comments.</w:t>
      </w:r>
    </w:p>
    <w:p>
      <w:pPr>
        <w:pStyle w:val="ListBullet"/>
      </w:pPr>
      <w:r>
        <w:t>Unresolved issues are tracked and escalated.</w:t>
      </w:r>
    </w:p>
    <w:p>
      <w:pPr>
        <w:pStyle w:val="ListBullet"/>
      </w:pPr>
      <w:r>
        <w:t>Final review status is formally recorded.</w:t>
      </w:r>
    </w:p>
    <w:p>
      <w:pPr>
        <w:pStyle w:val="Heading3"/>
      </w:pPr>
      <w:r>
        <w:t>Handover</w:t>
      </w:r>
    </w:p>
    <w:p>
      <w:pPr>
        <w:pStyle w:val="ListBullet"/>
      </w:pPr>
      <w:r>
        <w:t>Final drawings and BOM are updated.</w:t>
      </w:r>
    </w:p>
    <w:p>
      <w:pPr>
        <w:pStyle w:val="ListBullet"/>
      </w:pPr>
      <w:r>
        <w:t>Software source files and backups are delivered as required.</w:t>
      </w:r>
    </w:p>
    <w:p>
      <w:pPr>
        <w:pStyle w:val="ListBullet"/>
      </w:pPr>
      <w:r>
        <w:t>FAT/SAT and validation records are complete.</w:t>
      </w:r>
    </w:p>
    <w:p>
      <w:pPr>
        <w:pStyle w:val="ListBullet"/>
      </w:pPr>
      <w:r>
        <w:t>Manuals, spare-parts lists, and maintenance instructions are supplied.</w:t>
      </w:r>
    </w:p>
    <w:p>
      <w:pPr>
        <w:pStyle w:val="ListBullet"/>
      </w:pPr>
      <w:r>
        <w:t>Final document revisions match the accepted installed configuration.</w:t>
      </w:r>
    </w:p>
    <w:p>
      <w:pPr>
        <w:pStyle w:val="ListBullet"/>
      </w:pPr>
      <w:r>
        <w:t>Required handover approvals are recorded.</w:t>
      </w:r>
    </w:p>
    <w:p>
      <w:pPr>
        <w:pStyle w:val="Heading2"/>
      </w:pPr>
      <w:r>
        <w:t>22. Interview questions and answers</w:t>
      </w:r>
    </w:p>
    <w:p>
      <w:r>
        <w:t>Q1. What is vendor document review?</w:t>
      </w:r>
    </w:p>
    <w:p>
      <w:r>
        <w:t>It is the systematic verification of supplier documents against approved requirements, specifications, contractual obligations, and applicable standards.</w:t>
      </w:r>
    </w:p>
    <w:p>
      <w:r>
        <w:t>Q2. Why is document revision control important?</w:t>
      </w:r>
    </w:p>
    <w:p>
      <w:r>
        <w:t>It ensures that engineering, procurement, manufacturing, installation, and commissioning use the correct approved information.</w:t>
      </w:r>
    </w:p>
    <w:p>
      <w:r>
        <w:t>Q3. What is the difference between approved and as-built drawings?</w:t>
      </w:r>
    </w:p>
    <w:p>
      <w:r>
        <w:t>Approved drawings represent an accepted design for a defined purpose. As-built drawings reflect the final installed configuration, including authorized changes made during execution.</w:t>
      </w:r>
    </w:p>
    <w:p>
      <w:r>
        <w:t>Q4. What should be checked in a PLC hardware configuration?</w:t>
      </w:r>
    </w:p>
    <w:p>
      <w:r>
        <w:t>CPU selection, firmware compatibility, I/O capacity, signal types, communication modules, power requirements, spare capacity, and compatibility with existing equipment.</w:t>
      </w:r>
    </w:p>
    <w:p>
      <w:r>
        <w:t>Q5. What is a vendor document review comment register?</w:t>
      </w:r>
    </w:p>
    <w:p>
      <w:r>
        <w:t>It is a controlled record of review comments, document references, supplier responses, required corrections, and closure status.</w:t>
      </w:r>
    </w:p>
    <w:p>
      <w:r>
        <w:t>Q6. Can an approved drawing still contain a problem?</w:t>
      </w:r>
    </w:p>
    <w:p>
      <w:r>
        <w:t>Yes. Approval is a controlled review decision, not an absolute guarantee that every error has been eliminated. Discovered errors must be corrected through the appropriate document and change-control process.</w:t>
      </w:r>
    </w:p>
    <w:p>
      <w:r>
        <w:t>Q7. Why is cross-document checking necessary?</w:t>
      </w:r>
    </w:p>
    <w:p>
      <w:r>
        <w:t>A change in one document can create inconsistencies in related drawings, BOMs, software configurations, or test procedures.</w:t>
      </w:r>
    </w:p>
    <w:p>
      <w:r>
        <w:t>Q8. What is the purpose of FAT and SAT document review?</w:t>
      </w:r>
    </w:p>
    <w:p>
      <w:r>
        <w:t>It ensures that the proposed tests cover the required functionality, interfaces, fault conditions, acceptance criteria, and required evidence.</w:t>
      </w:r>
    </w:p>
    <w:p>
      <w:r>
        <w:t>Q9. How should unresolved major comments be handled?</w:t>
      </w:r>
    </w:p>
    <w:p>
      <w:r>
        <w:t>They should remain open, be escalated according to the project procedure, and prevent the affected activity from proceeding when required by their severity or approval conditions.</w:t>
      </w:r>
    </w:p>
    <w:p>
      <w:r>
        <w:t>Q10. Why are source-code backups part of vendor document review?</w:t>
      </w:r>
    </w:p>
    <w:p>
      <w:r>
        <w:t>They support troubleshooting, restoration, future modifications, and maintainability of the delivered automation system.</w:t>
      </w:r>
    </w:p>
    <w:p>
      <w:pPr>
        <w:pStyle w:val="Heading2"/>
      </w:pPr>
      <w:r>
        <w:t>23. Key principles</w:t>
      </w:r>
    </w:p>
    <w:p>
      <w:pPr>
        <w:tabs>
          <w:tab w:pos="403" w:val="left"/>
        </w:tabs>
        <w:spacing w:after="40" w:line="276" w:lineRule="auto"/>
        <w:ind w:left="403" w:hanging="403"/>
        <w:jc w:val="left"/>
      </w:pPr>
      <w:r>
        <w:rPr>
          <w:color w:val="1A2E4A"/>
        </w:rPr>
        <w:t>1.</w:t>
        <w:tab/>
      </w:r>
      <w:r>
        <w:t>Review against approved requirements: Every significant comment should be traceable to a defined requirement, standard, or contractual obligation.</w:t>
      </w:r>
    </w:p>
    <w:p>
      <w:pPr>
        <w:tabs>
          <w:tab w:pos="403" w:val="left"/>
        </w:tabs>
        <w:spacing w:after="40" w:line="276" w:lineRule="auto"/>
        <w:ind w:left="403" w:hanging="403"/>
        <w:jc w:val="left"/>
      </w:pPr>
      <w:r>
        <w:rPr>
          <w:color w:val="1A2E4A"/>
        </w:rPr>
        <w:t>2.</w:t>
        <w:tab/>
      </w:r>
      <w:r>
        <w:t>Check interfaces, not only individual documents: Many failures occur where two systems or drawings meet.</w:t>
      </w:r>
    </w:p>
    <w:p>
      <w:pPr>
        <w:tabs>
          <w:tab w:pos="403" w:val="left"/>
        </w:tabs>
        <w:spacing w:after="40" w:line="276" w:lineRule="auto"/>
        <w:ind w:left="403" w:hanging="403"/>
        <w:jc w:val="left"/>
      </w:pPr>
      <w:r>
        <w:rPr>
          <w:color w:val="1A2E4A"/>
        </w:rPr>
        <w:t>3.</w:t>
        <w:tab/>
      </w:r>
      <w:r>
        <w:t>Control revisions: Only the correct, authorized document version should be used for the intended activity.</w:t>
      </w:r>
    </w:p>
    <w:p>
      <w:pPr>
        <w:tabs>
          <w:tab w:pos="403" w:val="left"/>
        </w:tabs>
        <w:spacing w:after="40" w:line="276" w:lineRule="auto"/>
        <w:ind w:left="403" w:hanging="403"/>
        <w:jc w:val="left"/>
      </w:pPr>
      <w:r>
        <w:rPr>
          <w:color w:val="1A2E4A"/>
        </w:rPr>
        <w:t>4.</w:t>
        <w:tab/>
      </w:r>
      <w:r>
        <w:t>Verify comment closure: A response is not closure unless the issue has been adequately addressed.</w:t>
      </w:r>
    </w:p>
    <w:p>
      <w:pPr>
        <w:tabs>
          <w:tab w:pos="403" w:val="left"/>
        </w:tabs>
        <w:spacing w:after="40" w:line="276" w:lineRule="auto"/>
        <w:ind w:left="403" w:hanging="403"/>
        <w:jc w:val="left"/>
      </w:pPr>
      <w:r>
        <w:rPr>
          <w:color w:val="1A2E4A"/>
        </w:rPr>
        <w:t>5.</w:t>
        <w:tab/>
      </w:r>
      <w:r>
        <w:t>Separate document approval from system acceptance: Drawings and procedures do not replace inspection, testing, or validation.</w:t>
      </w:r>
    </w:p>
    <w:p>
      <w:pPr>
        <w:tabs>
          <w:tab w:pos="403" w:val="left"/>
        </w:tabs>
        <w:spacing w:after="40" w:line="276" w:lineRule="auto"/>
        <w:ind w:left="403" w:hanging="403"/>
        <w:jc w:val="left"/>
      </w:pPr>
      <w:r>
        <w:rPr>
          <w:color w:val="1A2E4A"/>
        </w:rPr>
        <w:t>6.</w:t>
        <w:tab/>
      </w:r>
      <w:r>
        <w:t>Protect maintainability: Final documentation, source files, backups, and spare-parts information must support the plant's future maintenance needs.</w:t>
      </w:r>
    </w:p>
    <w:p>
      <w:r>
        <w:t>For an industrial automation engineer, effective vendor document review is a preventive engineering control. It catches design and integration problems while they are still relatively inexpensive to correct, rather than leaving maintenance and commissioning teams to discover them on a live production machine.</w:t>
      </w:r>
    </w:p>
    <w:p>
      <w:pPr>
        <w:pStyle w:val="Heading2"/>
      </w:pPr>
      <w:r>
        <w:t>NEXT TOPIC</w:t>
      </w:r>
    </w:p>
    <w:p>
      <w:r>
        <w:rPr>
          <w:rFonts w:ascii="Consolas" w:hAnsi="Consolas"/>
          <w:color w:val="333333"/>
          <w:sz w:val="19"/>
          <w:shd w:val="clear" w:color="auto" w:fill="EFEFEF"/>
        </w:rPr>
        <w:t>02_PLAN_WISE_2026\02_INDUSTRY3_0\08_DAP\01_DAP_Purpose_Preparation - DAP purpose &amp; preparation</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02_PLAN_WISE_2026\02_INDUSTRY3_0\07_Lifecycle\03_Procurement\09_Vendor_Document_Review - Vendor document review</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