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02_PLAN_WISE_2026\02_INDUSTRY3_0\08_DAP\05_Cost_Estimation - Cost estimation</w:t>
      </w:r>
    </w:p>
    <w:p>
      <w:pPr>
        <w:pStyle w:val="Heading2"/>
      </w:pPr>
      <w:r>
        <w:t>1. Purpose of cost estimation</w:t>
      </w:r>
    </w:p>
    <w:p>
      <w:r>
        <w:t>Cost estimation is the systematic process of calculating the expected expenditure required to engineer, procure, manufacture, install, integrate, test, commission, and hand over an automation project.</w:t>
      </w:r>
    </w:p>
    <w:p>
      <w:r>
        <w:t>Within a Detailed Automation Proposal (DAP), cost estimation converts the proposed architecture, equipment specifications, and technical justification into a financially structured proposal.</w:t>
      </w:r>
    </w:p>
    <w:p>
      <w:r>
        <w:t>The objective is not simply to total the prices of PLCs, HMIs, drives, and sensors. An automation project also consumes engineering hours, panel-building resources, installation materials, production shutdown time, commissioning effort, software licenses, documentation effort, and support resources. Ignoring these items produces a quotation that looks attractive until the actual work begins.</w:t>
      </w:r>
    </w:p>
    <w:p>
      <w:r>
        <w:t>Cost estimation must answer:</w:t>
      </w:r>
    </w:p>
    <w:p>
      <w:pPr>
        <w:pStyle w:val="ListBullet"/>
      </w:pPr>
      <w:r>
        <w:t>What equipment, materials, services, and resources are required?</w:t>
      </w:r>
    </w:p>
    <w:p>
      <w:pPr>
        <w:pStyle w:val="ListBullet"/>
      </w:pPr>
      <w:r>
        <w:t>What quantities are needed?</w:t>
      </w:r>
    </w:p>
    <w:p>
      <w:pPr>
        <w:pStyle w:val="ListBullet"/>
      </w:pPr>
      <w:r>
        <w:t>What is the estimated unit cost and extended cost of each item?</w:t>
      </w:r>
    </w:p>
    <w:p>
      <w:pPr>
        <w:pStyle w:val="ListBullet"/>
      </w:pPr>
      <w:r>
        <w:t>What engineering, programming, installation, and commissioning effort is required?</w:t>
      </w:r>
    </w:p>
    <w:p>
      <w:pPr>
        <w:pStyle w:val="ListBullet"/>
      </w:pPr>
      <w:r>
        <w:t>What taxes, freight, duties, overheads, and contingency allowances apply?</w:t>
      </w:r>
    </w:p>
    <w:p>
      <w:pPr>
        <w:pStyle w:val="ListBullet"/>
      </w:pPr>
      <w:r>
        <w:t>What assumptions and exclusions affect the estimate?</w:t>
      </w:r>
    </w:p>
    <w:p>
      <w:pPr>
        <w:pStyle w:val="ListBullet"/>
      </w:pPr>
      <w:r>
        <w:t>How accurate is the estimate at the current design stage?</w:t>
      </w:r>
    </w:p>
    <w:p>
      <w:pPr>
        <w:pStyle w:val="ListBullet"/>
      </w:pPr>
      <w:r>
        <w:t>What will the project cost over its useful operating life?</w:t>
      </w:r>
    </w:p>
    <w:p>
      <w:r>
        <w:t>A good estimate is traceable to a defined scope, realistic quantities, credible pricing, documented assumptions, and a clear calculation method.</w:t>
      </w:r>
    </w:p>
    <w:p>
      <w:pPr>
        <w:pStyle w:val="Heading2"/>
      </w:pPr>
      <w:r>
        <w:t>2. Position in the DAP lifecycle</w:t>
      </w:r>
    </w:p>
    <w:p>
      <w:r>
        <w:t>Cost estimation follows the technical definition of the proposed solution, although preliminary estimates may be prepared earlier to compare alternatives.</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Existing-machine study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Proposed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Technical justification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Cost estimation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Vendor details and quotations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Commercial review and approval</w:t>
      </w:r>
    </w:p>
    <w:p/>
    <w:p>
      <w:r>
        <w:t>The process is iterative. If the estimate exceeds the budget, the team may revisit the architecture, scope, component selection, or implementation strategy. Any change must be checked against the original functional, performance, and safety requirements.</w:t>
      </w:r>
    </w:p>
    <w:p>
      <w:r>
        <w:t>For example, replacing every existing device may cost more than retaining compatible equipment. However, retaining an obsolete controller could increase commissioning risk and future downtime. The cheapest initial option is not necessarily the lowest-cost technical solution over the machine's life.</w:t>
      </w:r>
    </w:p>
    <w:p>
      <w:pPr>
        <w:pStyle w:val="Heading2"/>
      </w:pPr>
      <w:r>
        <w:t>3. Types of project cost</w:t>
      </w:r>
    </w:p>
    <w:p>
      <w:r>
        <w:t>Automation project costs can be grouped into several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category</w:t>
            </w:r>
          </w:p>
        </w:tc>
        <w:tc>
          <w:tcPr>
            <w:tcW w:type="dxa" w:w="5400"/>
            <w:shd w:val="clear" w:color="auto" w:fill="EEF2F7"/>
          </w:tcPr>
          <w:p>
            <w:pPr>
              <w:spacing w:after="0" w:before="0" w:line="240" w:lineRule="auto"/>
              <w:jc w:val="left"/>
            </w:pPr>
            <w:r>
              <w:rPr>
                <w:b/>
                <w:color w:val="1A2E4A"/>
              </w:rPr>
              <w:t>Typical items</w:t>
            </w:r>
          </w:p>
        </w:tc>
      </w:tr>
      <w:tr>
        <w:tc>
          <w:tcPr>
            <w:tcW w:type="dxa" w:w="5400"/>
          </w:tcPr>
          <w:p>
            <w:pPr>
              <w:spacing w:after="0" w:before="0" w:line="240" w:lineRule="auto"/>
              <w:jc w:val="left"/>
            </w:pPr>
            <w:r>
              <w:t>Hardware</w:t>
            </w:r>
          </w:p>
        </w:tc>
        <w:tc>
          <w:tcPr>
            <w:tcW w:type="dxa" w:w="5400"/>
          </w:tcPr>
          <w:p>
            <w:pPr>
              <w:spacing w:after="0" w:before="0" w:line="240" w:lineRule="auto"/>
              <w:jc w:val="left"/>
            </w:pPr>
            <w:r>
              <w:t>PLC, I/O, HMI, drives, sensors, switches, industrial PCs</w:t>
            </w:r>
          </w:p>
        </w:tc>
      </w:tr>
      <w:tr>
        <w:tc>
          <w:tcPr>
            <w:tcW w:type="dxa" w:w="5400"/>
          </w:tcPr>
          <w:p>
            <w:pPr>
              <w:spacing w:after="0" w:before="0" w:line="240" w:lineRule="auto"/>
              <w:jc w:val="left"/>
            </w:pPr>
            <w:r>
              <w:t>Electrical materials</w:t>
            </w:r>
          </w:p>
        </w:tc>
        <w:tc>
          <w:tcPr>
            <w:tcW w:type="dxa" w:w="5400"/>
          </w:tcPr>
          <w:p>
            <w:pPr>
              <w:spacing w:after="0" w:before="0" w:line="240" w:lineRule="auto"/>
              <w:jc w:val="left"/>
            </w:pPr>
            <w:r>
              <w:t>Cables, terminals, connectors, protective devices, enclosures</w:t>
            </w:r>
          </w:p>
        </w:tc>
      </w:tr>
      <w:tr>
        <w:tc>
          <w:tcPr>
            <w:tcW w:type="dxa" w:w="5400"/>
          </w:tcPr>
          <w:p>
            <w:pPr>
              <w:spacing w:after="0" w:before="0" w:line="240" w:lineRule="auto"/>
              <w:jc w:val="left"/>
            </w:pPr>
            <w:r>
              <w:t>Mechanical materials</w:t>
            </w:r>
          </w:p>
        </w:tc>
        <w:tc>
          <w:tcPr>
            <w:tcW w:type="dxa" w:w="5400"/>
          </w:tcPr>
          <w:p>
            <w:pPr>
              <w:spacing w:after="0" w:before="0" w:line="240" w:lineRule="auto"/>
              <w:jc w:val="left"/>
            </w:pPr>
            <w:r>
              <w:t>Brackets, guards, fixtures, mounting structures, fabrication</w:t>
            </w:r>
          </w:p>
        </w:tc>
      </w:tr>
      <w:tr>
        <w:tc>
          <w:tcPr>
            <w:tcW w:type="dxa" w:w="5400"/>
          </w:tcPr>
          <w:p>
            <w:pPr>
              <w:spacing w:after="0" w:before="0" w:line="240" w:lineRule="auto"/>
              <w:jc w:val="left"/>
            </w:pPr>
            <w:r>
              <w:t>Engineering</w:t>
            </w:r>
          </w:p>
        </w:tc>
        <w:tc>
          <w:tcPr>
            <w:tcW w:type="dxa" w:w="5400"/>
          </w:tcPr>
          <w:p>
            <w:pPr>
              <w:spacing w:after="0" w:before="0" w:line="240" w:lineRule="auto"/>
              <w:jc w:val="left"/>
            </w:pPr>
            <w:r>
              <w:t>Design, drawings, calculations, specifications, project management</w:t>
            </w:r>
          </w:p>
        </w:tc>
      </w:tr>
      <w:tr>
        <w:tc>
          <w:tcPr>
            <w:tcW w:type="dxa" w:w="5400"/>
          </w:tcPr>
          <w:p>
            <w:pPr>
              <w:spacing w:after="0" w:before="0" w:line="240" w:lineRule="auto"/>
              <w:jc w:val="left"/>
            </w:pPr>
            <w:r>
              <w:t>Software</w:t>
            </w:r>
          </w:p>
        </w:tc>
        <w:tc>
          <w:tcPr>
            <w:tcW w:type="dxa" w:w="5400"/>
          </w:tcPr>
          <w:p>
            <w:pPr>
              <w:spacing w:after="0" w:before="0" w:line="240" w:lineRule="auto"/>
              <w:jc w:val="left"/>
            </w:pPr>
            <w:r>
              <w:t>Programming, HMI development, licenses, configuration tools</w:t>
            </w:r>
          </w:p>
        </w:tc>
      </w:tr>
      <w:tr>
        <w:tc>
          <w:tcPr>
            <w:tcW w:type="dxa" w:w="5400"/>
          </w:tcPr>
          <w:p>
            <w:pPr>
              <w:spacing w:after="0" w:before="0" w:line="240" w:lineRule="auto"/>
              <w:jc w:val="left"/>
            </w:pPr>
            <w:r>
              <w:t>Panel manufacturing</w:t>
            </w:r>
          </w:p>
        </w:tc>
        <w:tc>
          <w:tcPr>
            <w:tcW w:type="dxa" w:w="5400"/>
          </w:tcPr>
          <w:p>
            <w:pPr>
              <w:spacing w:after="0" w:before="0" w:line="240" w:lineRule="auto"/>
              <w:jc w:val="left"/>
            </w:pPr>
            <w:r>
              <w:t>Assembly, wiring, labeling, inspection, testing</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Field wiring, mounting, cable routing, mechanical work</w:t>
            </w:r>
          </w:p>
        </w:tc>
      </w:tr>
      <w:tr>
        <w:tc>
          <w:tcPr>
            <w:tcW w:type="dxa" w:w="5400"/>
          </w:tcPr>
          <w:p>
            <w:pPr>
              <w:spacing w:after="0" w:before="0" w:line="240" w:lineRule="auto"/>
              <w:jc w:val="left"/>
            </w:pPr>
            <w:r>
              <w:t>Integration</w:t>
            </w:r>
          </w:p>
        </w:tc>
        <w:tc>
          <w:tcPr>
            <w:tcW w:type="dxa" w:w="5400"/>
          </w:tcPr>
          <w:p>
            <w:pPr>
              <w:spacing w:after="0" w:before="0" w:line="240" w:lineRule="auto"/>
              <w:jc w:val="left"/>
            </w:pPr>
            <w:r>
              <w:t>PLC-device communication, robot/CNC interfaces, SCADA integration</w:t>
            </w:r>
          </w:p>
        </w:tc>
      </w:tr>
      <w:tr>
        <w:tc>
          <w:tcPr>
            <w:tcW w:type="dxa" w:w="5400"/>
          </w:tcPr>
          <w:p>
            <w:pPr>
              <w:spacing w:after="0" w:before="0" w:line="240" w:lineRule="auto"/>
              <w:jc w:val="left"/>
            </w:pPr>
            <w:r>
              <w:t>Testing</w:t>
            </w:r>
          </w:p>
        </w:tc>
        <w:tc>
          <w:tcPr>
            <w:tcW w:type="dxa" w:w="5400"/>
          </w:tcPr>
          <w:p>
            <w:pPr>
              <w:spacing w:after="0" w:before="0" w:line="240" w:lineRule="auto"/>
              <w:jc w:val="left"/>
            </w:pPr>
            <w:r>
              <w:t>FAT, SAT, simulation, functional and performance verification</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Site setup, debugging, tuning, production trials</w:t>
            </w:r>
          </w:p>
        </w:tc>
      </w:tr>
      <w:tr>
        <w:tc>
          <w:tcPr>
            <w:tcW w:type="dxa" w:w="5400"/>
          </w:tcPr>
          <w:p>
            <w:pPr>
              <w:spacing w:after="0" w:before="0" w:line="240" w:lineRule="auto"/>
              <w:jc w:val="left"/>
            </w:pPr>
            <w:r>
              <w:t>Training and handover</w:t>
            </w:r>
          </w:p>
        </w:tc>
        <w:tc>
          <w:tcPr>
            <w:tcW w:type="dxa" w:w="5400"/>
          </w:tcPr>
          <w:p>
            <w:pPr>
              <w:spacing w:after="0" w:before="0" w:line="240" w:lineRule="auto"/>
              <w:jc w:val="left"/>
            </w:pPr>
            <w:r>
              <w:t>Operator training, maintenance training, documentation</w:t>
            </w:r>
          </w:p>
        </w:tc>
      </w:tr>
      <w:tr>
        <w:tc>
          <w:tcPr>
            <w:tcW w:type="dxa" w:w="5400"/>
          </w:tcPr>
          <w:p>
            <w:pPr>
              <w:spacing w:after="0" w:before="0" w:line="240" w:lineRule="auto"/>
              <w:jc w:val="left"/>
            </w:pPr>
            <w:r>
              <w:t>Logistics</w:t>
            </w:r>
          </w:p>
        </w:tc>
        <w:tc>
          <w:tcPr>
            <w:tcW w:type="dxa" w:w="5400"/>
          </w:tcPr>
          <w:p>
            <w:pPr>
              <w:spacing w:after="0" w:before="0" w:line="240" w:lineRule="auto"/>
              <w:jc w:val="left"/>
            </w:pPr>
            <w:r>
              <w:t>Packing, freight, handling, insurance, applicable duties</w:t>
            </w:r>
          </w:p>
        </w:tc>
      </w:tr>
      <w:tr>
        <w:tc>
          <w:tcPr>
            <w:tcW w:type="dxa" w:w="5400"/>
          </w:tcPr>
          <w:p>
            <w:pPr>
              <w:spacing w:after="0" w:before="0" w:line="240" w:lineRule="auto"/>
              <w:jc w:val="left"/>
            </w:pPr>
            <w:r>
              <w:t>Commercial costs</w:t>
            </w:r>
          </w:p>
        </w:tc>
        <w:tc>
          <w:tcPr>
            <w:tcW w:type="dxa" w:w="5400"/>
          </w:tcPr>
          <w:p>
            <w:pPr>
              <w:spacing w:after="0" w:before="0" w:line="240" w:lineRule="auto"/>
              <w:jc w:val="left"/>
            </w:pPr>
            <w:r>
              <w:t>Taxes, overheads, financing or payment-related costs where applicable</w:t>
            </w:r>
          </w:p>
        </w:tc>
      </w:tr>
      <w:tr>
        <w:tc>
          <w:tcPr>
            <w:tcW w:type="dxa" w:w="5400"/>
          </w:tcPr>
          <w:p>
            <w:pPr>
              <w:spacing w:after="0" w:before="0" w:line="240" w:lineRule="auto"/>
              <w:jc w:val="left"/>
            </w:pPr>
            <w:r>
              <w:t>Contingency</w:t>
            </w:r>
          </w:p>
        </w:tc>
        <w:tc>
          <w:tcPr>
            <w:tcW w:type="dxa" w:w="5400"/>
          </w:tcPr>
          <w:p>
            <w:pPr>
              <w:spacing w:after="0" w:before="0" w:line="240" w:lineRule="auto"/>
              <w:jc w:val="left"/>
            </w:pPr>
            <w:r>
              <w:t>Allowance for identified uncertainties and residual risks</w:t>
            </w:r>
          </w:p>
        </w:tc>
      </w:tr>
      <w:tr>
        <w:tc>
          <w:tcPr>
            <w:tcW w:type="dxa" w:w="5400"/>
          </w:tcPr>
          <w:p>
            <w:pPr>
              <w:spacing w:after="0" w:before="0" w:line="240" w:lineRule="auto"/>
              <w:jc w:val="left"/>
            </w:pPr>
            <w:r>
              <w:t>Lifecycle costs</w:t>
            </w:r>
          </w:p>
        </w:tc>
        <w:tc>
          <w:tcPr>
            <w:tcW w:type="dxa" w:w="5400"/>
          </w:tcPr>
          <w:p>
            <w:pPr>
              <w:spacing w:after="0" w:before="0" w:line="240" w:lineRule="auto"/>
              <w:jc w:val="left"/>
            </w:pPr>
            <w:r>
              <w:t>Maintenance, spares, licenses, energy, support, future migration</w:t>
            </w:r>
          </w:p>
        </w:tc>
      </w:tr>
    </w:tbl>
    <w:p/>
    <w:p>
      <w:r>
        <w:t>Not every project requires every category. Each estimate should explicitly include or exclude the categories relevant to its scope.</w:t>
      </w:r>
    </w:p>
    <w:p>
      <w:pPr>
        <w:pStyle w:val="Heading2"/>
      </w:pPr>
      <w:r>
        <w:t>4. Define the estimate boundary before calculating</w:t>
      </w:r>
    </w:p>
    <w:p>
      <w:r>
        <w:t>Before pricing anything, establish exactly what the estimate covers.</w:t>
      </w:r>
    </w:p>
    <w:p>
      <w:r>
        <w:t>Clarify whether the scope includes:</w:t>
      </w:r>
    </w:p>
    <w:p>
      <w:pPr>
        <w:pStyle w:val="ListBullet"/>
      </w:pPr>
      <w:r>
        <w:t>Design and engineering.</w:t>
      </w:r>
    </w:p>
    <w:p>
      <w:pPr>
        <w:pStyle w:val="ListBullet"/>
      </w:pPr>
      <w:r>
        <w:t>Supply of automation hardware.</w:t>
      </w:r>
    </w:p>
    <w:p>
      <w:pPr>
        <w:pStyle w:val="ListBullet"/>
      </w:pPr>
      <w:r>
        <w:t>Control-panel fabrication.</w:t>
      </w:r>
    </w:p>
    <w:p>
      <w:pPr>
        <w:pStyle w:val="ListBullet"/>
      </w:pPr>
      <w:r>
        <w:t>Mechanical modifications.</w:t>
      </w:r>
    </w:p>
    <w:p>
      <w:pPr>
        <w:pStyle w:val="ListBullet"/>
      </w:pPr>
      <w:r>
        <w:t>Electrical installation.</w:t>
      </w:r>
    </w:p>
    <w:p>
      <w:pPr>
        <w:pStyle w:val="ListBullet"/>
      </w:pPr>
      <w:r>
        <w:t>Software development.</w:t>
      </w:r>
    </w:p>
    <w:p>
      <w:pPr>
        <w:pStyle w:val="ListBullet"/>
      </w:pPr>
      <w:r>
        <w:t>Existing PLC program migration.</w:t>
      </w:r>
    </w:p>
    <w:p>
      <w:pPr>
        <w:pStyle w:val="ListBullet"/>
      </w:pPr>
      <w:r>
        <w:t>Robot or CNC integration.</w:t>
      </w:r>
    </w:p>
    <w:p>
      <w:pPr>
        <w:pStyle w:val="ListBullet"/>
      </w:pPr>
      <w:r>
        <w:t>Network and SCADA integration.</w:t>
      </w:r>
    </w:p>
    <w:p>
      <w:pPr>
        <w:pStyle w:val="ListBullet"/>
      </w:pPr>
      <w:r>
        <w:t>Safety-system modification and validation.</w:t>
      </w:r>
    </w:p>
    <w:p>
      <w:pPr>
        <w:pStyle w:val="ListBullet"/>
      </w:pPr>
      <w:r>
        <w:t>FAT and SAT.</w:t>
      </w:r>
    </w:p>
    <w:p>
      <w:pPr>
        <w:pStyle w:val="ListBullet"/>
      </w:pPr>
      <w:r>
        <w:t>Production shutdown and restart.</w:t>
      </w:r>
    </w:p>
    <w:p>
      <w:pPr>
        <w:pStyle w:val="ListBullet"/>
      </w:pPr>
      <w:r>
        <w:t>Training and documentation.</w:t>
      </w:r>
    </w:p>
    <w:p>
      <w:pPr>
        <w:pStyle w:val="ListBullet"/>
      </w:pPr>
      <w:r>
        <w:t>Spare parts.</w:t>
      </w:r>
    </w:p>
    <w:p>
      <w:pPr>
        <w:pStyle w:val="ListBullet"/>
      </w:pPr>
      <w:r>
        <w:t>Warranty and post-commissioning support.</w:t>
      </w:r>
    </w:p>
    <w:p>
      <w:r>
        <w:t>A useful scope statement might read:</w:t>
      </w:r>
    </w:p>
    <w:p>
      <w:r>
        <w:t>"The estimate includes the new PLC panel, required I/O, HMI modifications, field wiring changes, control software, installation, commissioning, testing, and technical handover. Existing mechanical equipment is retained subject to condition and compatibility verification."</w:t>
      </w:r>
    </w:p>
    <w:p>
      <w:r>
        <w:t>This wording makes the boundary visible. It also identifies the condition that must be verified before the estimate becomes a firm commitment.</w:t>
      </w:r>
    </w:p>
    <w:p>
      <w:pPr>
        <w:pStyle w:val="Heading2"/>
      </w:pPr>
      <w:r>
        <w:t>5. Estimate maturity and accuracy</w:t>
      </w:r>
    </w:p>
    <w:p>
      <w:r>
        <w:t>The reliability of a cost estimate depends on how much of the design is known.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Estimate stage</w:t>
            </w:r>
          </w:p>
        </w:tc>
        <w:tc>
          <w:tcPr>
            <w:tcW w:type="dxa" w:w="3600"/>
            <w:shd w:val="clear" w:color="auto" w:fill="EEF2F7"/>
          </w:tcPr>
          <w:p>
            <w:pPr>
              <w:spacing w:after="0" w:before="0" w:line="240" w:lineRule="auto"/>
              <w:jc w:val="left"/>
            </w:pPr>
            <w:r>
              <w:rPr>
                <w:b/>
                <w:color w:val="1A2E4A"/>
              </w:rPr>
              <w:t>Available information</w:t>
            </w:r>
          </w:p>
        </w:tc>
        <w:tc>
          <w:tcPr>
            <w:tcW w:type="dxa" w:w="3600"/>
            <w:shd w:val="clear" w:color="auto" w:fill="EEF2F7"/>
          </w:tcPr>
          <w:p>
            <w:pPr>
              <w:spacing w:after="0" w:before="0" w:line="240" w:lineRule="auto"/>
              <w:jc w:val="left"/>
            </w:pPr>
            <w:r>
              <w:rPr>
                <w:b/>
                <w:color w:val="1A2E4A"/>
              </w:rPr>
              <w:t>Typical method</w:t>
            </w:r>
          </w:p>
        </w:tc>
      </w:tr>
      <w:tr>
        <w:tc>
          <w:tcPr>
            <w:tcW w:type="dxa" w:w="3600"/>
          </w:tcPr>
          <w:p>
            <w:pPr>
              <w:spacing w:after="0" w:before="0" w:line="240" w:lineRule="auto"/>
              <w:jc w:val="left"/>
            </w:pPr>
            <w:r>
              <w:t>Concept estimate</w:t>
            </w:r>
          </w:p>
        </w:tc>
        <w:tc>
          <w:tcPr>
            <w:tcW w:type="dxa" w:w="3600"/>
          </w:tcPr>
          <w:p>
            <w:pPr>
              <w:spacing w:after="0" w:before="0" w:line="240" w:lineRule="auto"/>
              <w:jc w:val="left"/>
            </w:pPr>
            <w:r>
              <w:t>Basic requirements and preliminary architecture</w:t>
            </w:r>
          </w:p>
        </w:tc>
        <w:tc>
          <w:tcPr>
            <w:tcW w:type="dxa" w:w="3600"/>
          </w:tcPr>
          <w:p>
            <w:pPr>
              <w:spacing w:after="0" w:before="0" w:line="240" w:lineRule="auto"/>
              <w:jc w:val="left"/>
            </w:pPr>
            <w:r>
              <w:t>Analogous projects, broad allowances</w:t>
            </w:r>
          </w:p>
        </w:tc>
      </w:tr>
      <w:tr>
        <w:tc>
          <w:tcPr>
            <w:tcW w:type="dxa" w:w="3600"/>
          </w:tcPr>
          <w:p>
            <w:pPr>
              <w:spacing w:after="0" w:before="0" w:line="240" w:lineRule="auto"/>
              <w:jc w:val="left"/>
            </w:pPr>
            <w:r>
              <w:t>Preliminary estimate</w:t>
            </w:r>
          </w:p>
        </w:tc>
        <w:tc>
          <w:tcPr>
            <w:tcW w:type="dxa" w:w="3600"/>
          </w:tcPr>
          <w:p>
            <w:pPr>
              <w:spacing w:after="0" w:before="0" w:line="240" w:lineRule="auto"/>
              <w:jc w:val="left"/>
            </w:pPr>
            <w:r>
              <w:t>Candidate equipment and approximate quantities</w:t>
            </w:r>
          </w:p>
        </w:tc>
        <w:tc>
          <w:tcPr>
            <w:tcW w:type="dxa" w:w="3600"/>
          </w:tcPr>
          <w:p>
            <w:pPr>
              <w:spacing w:after="0" w:before="0" w:line="240" w:lineRule="auto"/>
              <w:jc w:val="left"/>
            </w:pPr>
            <w:r>
              <w:t>Budgetary prices, estimated labor</w:t>
            </w:r>
          </w:p>
        </w:tc>
      </w:tr>
      <w:tr>
        <w:tc>
          <w:tcPr>
            <w:tcW w:type="dxa" w:w="3600"/>
          </w:tcPr>
          <w:p>
            <w:pPr>
              <w:spacing w:after="0" w:before="0" w:line="240" w:lineRule="auto"/>
              <w:jc w:val="left"/>
            </w:pPr>
            <w:r>
              <w:t>Detailed estimate</w:t>
            </w:r>
          </w:p>
        </w:tc>
        <w:tc>
          <w:tcPr>
            <w:tcW w:type="dxa" w:w="3600"/>
          </w:tcPr>
          <w:p>
            <w:pPr>
              <w:spacing w:after="0" w:before="0" w:line="240" w:lineRule="auto"/>
              <w:jc w:val="left"/>
            </w:pPr>
            <w:r>
              <w:t>Defined equipment, I/O, interfaces, installation scope</w:t>
            </w:r>
          </w:p>
        </w:tc>
        <w:tc>
          <w:tcPr>
            <w:tcW w:type="dxa" w:w="3600"/>
          </w:tcPr>
          <w:p>
            <w:pPr>
              <w:spacing w:after="0" w:before="0" w:line="240" w:lineRule="auto"/>
              <w:jc w:val="left"/>
            </w:pPr>
            <w:r>
              <w:t>Itemized BOM and work breakdown</w:t>
            </w:r>
          </w:p>
        </w:tc>
      </w:tr>
      <w:tr>
        <w:tc>
          <w:tcPr>
            <w:tcW w:type="dxa" w:w="3600"/>
          </w:tcPr>
          <w:p>
            <w:pPr>
              <w:spacing w:after="0" w:before="0" w:line="240" w:lineRule="auto"/>
              <w:jc w:val="left"/>
            </w:pPr>
            <w:r>
              <w:t>Vendor-backed estimate</w:t>
            </w:r>
          </w:p>
        </w:tc>
        <w:tc>
          <w:tcPr>
            <w:tcW w:type="dxa" w:w="3600"/>
          </w:tcPr>
          <w:p>
            <w:pPr>
              <w:spacing w:after="0" w:before="0" w:line="240" w:lineRule="auto"/>
              <w:jc w:val="left"/>
            </w:pPr>
            <w:r>
              <w:t>Supplier quotations and defined commercial terms</w:t>
            </w:r>
          </w:p>
        </w:tc>
        <w:tc>
          <w:tcPr>
            <w:tcW w:type="dxa" w:w="3600"/>
          </w:tcPr>
          <w:p>
            <w:pPr>
              <w:spacing w:after="0" w:before="0" w:line="240" w:lineRule="auto"/>
              <w:jc w:val="left"/>
            </w:pPr>
            <w:r>
              <w:t>Quoted prices plus internal costs</w:t>
            </w:r>
          </w:p>
        </w:tc>
      </w:tr>
      <w:tr>
        <w:tc>
          <w:tcPr>
            <w:tcW w:type="dxa" w:w="3600"/>
          </w:tcPr>
          <w:p>
            <w:pPr>
              <w:spacing w:after="0" w:before="0" w:line="240" w:lineRule="auto"/>
              <w:jc w:val="left"/>
            </w:pPr>
            <w:r>
              <w:t>Execution baseline</w:t>
            </w:r>
          </w:p>
        </w:tc>
        <w:tc>
          <w:tcPr>
            <w:tcW w:type="dxa" w:w="3600"/>
          </w:tcPr>
          <w:p>
            <w:pPr>
              <w:spacing w:after="0" w:before="0" w:line="240" w:lineRule="auto"/>
              <w:jc w:val="left"/>
            </w:pPr>
            <w:r>
              <w:t>Approved scope, negotiated prices, defined schedule</w:t>
            </w:r>
          </w:p>
        </w:tc>
        <w:tc>
          <w:tcPr>
            <w:tcW w:type="dxa" w:w="3600"/>
          </w:tcPr>
          <w:p>
            <w:pPr>
              <w:spacing w:after="0" w:before="0" w:line="240" w:lineRule="auto"/>
              <w:jc w:val="left"/>
            </w:pPr>
            <w:r>
              <w:t>Controlled project budget</w:t>
            </w:r>
          </w:p>
        </w:tc>
      </w:tr>
    </w:tbl>
    <w:p/>
    <w:p>
      <w:r>
        <w:t>Estimate accuracy should be expressed as a project-specific range based on uncertainty, organizational experience, and available evidence. Avoid claiming that an estimate is accurate to a particular percentage simply because it contains many spreadsheet rows.</w:t>
      </w:r>
    </w:p>
    <w:p>
      <w:r>
        <w:t>The distinction between an estimate and a commitment matters. A budgetary estimate based on approximate quantities should not be presented as a final purchase value.</w:t>
      </w:r>
    </w:p>
    <w:p>
      <w:pPr>
        <w:pStyle w:val="Heading2"/>
      </w:pPr>
      <w:r>
        <w:t>6. Establish the work breakdown structure</w:t>
      </w:r>
    </w:p>
    <w:p>
      <w:r>
        <w:t>A Work Breakdown Structure (WBS) divides the project into manageable work packages. Each package can then be estimated, assigned, tracked, and controlled.</w:t>
      </w:r>
    </w:p>
    <w:p>
      <w:r>
        <w:t>A typical automation retrofit WBS is:</w:t>
      </w:r>
    </w:p>
    <w:p>
      <w:pPr>
        <w:shd w:val="clear" w:color="auto" w:fill="F4F4F4"/>
        <w:spacing w:before="0" w:after="0" w:line="240" w:lineRule="auto"/>
        <w:ind w:left="216" w:right="216"/>
        <w:jc w:val="left"/>
      </w:pPr>
      <w:r>
        <w:rPr>
          <w:rFonts w:ascii="Consolas" w:hAnsi="Consolas"/>
          <w:color w:val="202020"/>
          <w:sz w:val="18"/>
        </w:rPr>
        <w:t>Automation retrofit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1. Engineering</w:t>
      </w:r>
    </w:p>
    <w:p>
      <w:pPr>
        <w:shd w:val="clear" w:color="auto" w:fill="F4F4F4"/>
        <w:spacing w:before="0" w:after="0" w:line="240" w:lineRule="auto"/>
        <w:ind w:left="216" w:right="216"/>
        <w:jc w:val="left"/>
      </w:pPr>
      <w:r>
        <w:rPr>
          <w:rFonts w:ascii="Consolas" w:hAnsi="Consolas"/>
          <w:color w:val="202020"/>
          <w:sz w:val="18"/>
        </w:rPr>
        <w:t xml:space="preserve">        |       +--&gt; Electrical design</w:t>
      </w:r>
    </w:p>
    <w:p>
      <w:pPr>
        <w:shd w:val="clear" w:color="auto" w:fill="F4F4F4"/>
        <w:spacing w:before="0" w:after="0" w:line="240" w:lineRule="auto"/>
        <w:ind w:left="216" w:right="216"/>
        <w:jc w:val="left"/>
      </w:pPr>
      <w:r>
        <w:rPr>
          <w:rFonts w:ascii="Consolas" w:hAnsi="Consolas"/>
          <w:color w:val="202020"/>
          <w:sz w:val="18"/>
        </w:rPr>
        <w:t xml:space="preserve">        |       +--&gt; PLC and HMI design</w:t>
      </w:r>
    </w:p>
    <w:p>
      <w:pPr>
        <w:shd w:val="clear" w:color="auto" w:fill="F4F4F4"/>
        <w:spacing w:before="0" w:after="0" w:line="240" w:lineRule="auto"/>
        <w:ind w:left="216" w:right="216"/>
        <w:jc w:val="left"/>
      </w:pPr>
      <w:r>
        <w:rPr>
          <w:rFonts w:ascii="Consolas" w:hAnsi="Consolas"/>
          <w:color w:val="202020"/>
          <w:sz w:val="18"/>
        </w:rPr>
        <w:t xml:space="preserve">        |       +--&gt; Network and interface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2. Procurement</w:t>
      </w:r>
    </w:p>
    <w:p>
      <w:pPr>
        <w:shd w:val="clear" w:color="auto" w:fill="F4F4F4"/>
        <w:spacing w:before="0" w:after="0" w:line="240" w:lineRule="auto"/>
        <w:ind w:left="216" w:right="216"/>
        <w:jc w:val="left"/>
      </w:pPr>
      <w:r>
        <w:rPr>
          <w:rFonts w:ascii="Consolas" w:hAnsi="Consolas"/>
          <w:color w:val="202020"/>
          <w:sz w:val="18"/>
        </w:rPr>
        <w:t xml:space="preserve">        |       +--&gt; PLC and I/O</w:t>
      </w:r>
    </w:p>
    <w:p>
      <w:pPr>
        <w:shd w:val="clear" w:color="auto" w:fill="F4F4F4"/>
        <w:spacing w:before="0" w:after="0" w:line="240" w:lineRule="auto"/>
        <w:ind w:left="216" w:right="216"/>
        <w:jc w:val="left"/>
      </w:pPr>
      <w:r>
        <w:rPr>
          <w:rFonts w:ascii="Consolas" w:hAnsi="Consolas"/>
          <w:color w:val="202020"/>
          <w:sz w:val="18"/>
        </w:rPr>
        <w:t xml:space="preserve">        |       +--&gt; Drives and field devices</w:t>
      </w:r>
    </w:p>
    <w:p>
      <w:pPr>
        <w:shd w:val="clear" w:color="auto" w:fill="F4F4F4"/>
        <w:spacing w:before="0" w:after="0" w:line="240" w:lineRule="auto"/>
        <w:ind w:left="216" w:right="216"/>
        <w:jc w:val="left"/>
      </w:pPr>
      <w:r>
        <w:rPr>
          <w:rFonts w:ascii="Consolas" w:hAnsi="Consolas"/>
          <w:color w:val="202020"/>
          <w:sz w:val="18"/>
        </w:rPr>
        <w:t xml:space="preserve">        |       +--&gt; Panel materials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3. Panel manufacturing</w:t>
      </w:r>
    </w:p>
    <w:p>
      <w:pPr>
        <w:shd w:val="clear" w:color="auto" w:fill="F4F4F4"/>
        <w:spacing w:before="0" w:after="0" w:line="240" w:lineRule="auto"/>
        <w:ind w:left="216" w:right="216"/>
        <w:jc w:val="left"/>
      </w:pPr>
      <w:r>
        <w:rPr>
          <w:rFonts w:ascii="Consolas" w:hAnsi="Consolas"/>
          <w:color w:val="202020"/>
          <w:sz w:val="18"/>
        </w:rPr>
        <w:t xml:space="preserve">        |       +--&gt; Assembly</w:t>
      </w:r>
    </w:p>
    <w:p>
      <w:pPr>
        <w:shd w:val="clear" w:color="auto" w:fill="F4F4F4"/>
        <w:spacing w:before="0" w:after="0" w:line="240" w:lineRule="auto"/>
        <w:ind w:left="216" w:right="216"/>
        <w:jc w:val="left"/>
      </w:pPr>
      <w:r>
        <w:rPr>
          <w:rFonts w:ascii="Consolas" w:hAnsi="Consolas"/>
          <w:color w:val="202020"/>
          <w:sz w:val="18"/>
        </w:rPr>
        <w:t xml:space="preserve">        |       +--&gt; Wiring</w:t>
      </w:r>
    </w:p>
    <w:p>
      <w:pPr>
        <w:shd w:val="clear" w:color="auto" w:fill="F4F4F4"/>
        <w:spacing w:before="0" w:after="0" w:line="240" w:lineRule="auto"/>
        <w:ind w:left="216" w:right="216"/>
        <w:jc w:val="left"/>
      </w:pPr>
      <w:r>
        <w:rPr>
          <w:rFonts w:ascii="Consolas" w:hAnsi="Consolas"/>
          <w:color w:val="202020"/>
          <w:sz w:val="18"/>
        </w:rPr>
        <w:t xml:space="preserve">        |       +--&gt; Inspection and FAT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4. Installation</w:t>
      </w:r>
    </w:p>
    <w:p>
      <w:pPr>
        <w:shd w:val="clear" w:color="auto" w:fill="F4F4F4"/>
        <w:spacing w:before="0" w:after="0" w:line="240" w:lineRule="auto"/>
        <w:ind w:left="216" w:right="216"/>
        <w:jc w:val="left"/>
      </w:pPr>
      <w:r>
        <w:rPr>
          <w:rFonts w:ascii="Consolas" w:hAnsi="Consolas"/>
          <w:color w:val="202020"/>
          <w:sz w:val="18"/>
        </w:rPr>
        <w:t xml:space="preserve">        |       +--&gt; Panel installation</w:t>
      </w:r>
    </w:p>
    <w:p>
      <w:pPr>
        <w:shd w:val="clear" w:color="auto" w:fill="F4F4F4"/>
        <w:spacing w:before="0" w:after="0" w:line="240" w:lineRule="auto"/>
        <w:ind w:left="216" w:right="216"/>
        <w:jc w:val="left"/>
      </w:pPr>
      <w:r>
        <w:rPr>
          <w:rFonts w:ascii="Consolas" w:hAnsi="Consolas"/>
          <w:color w:val="202020"/>
          <w:sz w:val="18"/>
        </w:rPr>
        <w:t xml:space="preserve">        |       +--&gt; Cable routing</w:t>
      </w:r>
    </w:p>
    <w:p>
      <w:pPr>
        <w:shd w:val="clear" w:color="auto" w:fill="F4F4F4"/>
        <w:spacing w:before="0" w:after="0" w:line="240" w:lineRule="auto"/>
        <w:ind w:left="216" w:right="216"/>
        <w:jc w:val="left"/>
      </w:pPr>
      <w:r>
        <w:rPr>
          <w:rFonts w:ascii="Consolas" w:hAnsi="Consolas"/>
          <w:color w:val="202020"/>
          <w:sz w:val="18"/>
        </w:rPr>
        <w:t xml:space="preserve">        |       +--&gt; Field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5. Software and integration</w:t>
      </w:r>
    </w:p>
    <w:p>
      <w:pPr>
        <w:shd w:val="clear" w:color="auto" w:fill="F4F4F4"/>
        <w:spacing w:before="0" w:after="0" w:line="240" w:lineRule="auto"/>
        <w:ind w:left="216" w:right="216"/>
        <w:jc w:val="left"/>
      </w:pPr>
      <w:r>
        <w:rPr>
          <w:rFonts w:ascii="Consolas" w:hAnsi="Consolas"/>
          <w:color w:val="202020"/>
          <w:sz w:val="18"/>
        </w:rPr>
        <w:t xml:space="preserve">        |       +--&gt; PLC programming</w:t>
      </w:r>
    </w:p>
    <w:p>
      <w:pPr>
        <w:shd w:val="clear" w:color="auto" w:fill="F4F4F4"/>
        <w:spacing w:before="0" w:after="0" w:line="240" w:lineRule="auto"/>
        <w:ind w:left="216" w:right="216"/>
        <w:jc w:val="left"/>
      </w:pPr>
      <w:r>
        <w:rPr>
          <w:rFonts w:ascii="Consolas" w:hAnsi="Consolas"/>
          <w:color w:val="202020"/>
          <w:sz w:val="18"/>
        </w:rPr>
        <w:t xml:space="preserve">        |       +--&gt; HMI development</w:t>
      </w:r>
    </w:p>
    <w:p>
      <w:pPr>
        <w:shd w:val="clear" w:color="auto" w:fill="F4F4F4"/>
        <w:spacing w:before="0" w:after="0" w:line="240" w:lineRule="auto"/>
        <w:ind w:left="216" w:right="216"/>
        <w:jc w:val="left"/>
      </w:pPr>
      <w:r>
        <w:rPr>
          <w:rFonts w:ascii="Consolas" w:hAnsi="Consolas"/>
          <w:color w:val="202020"/>
          <w:sz w:val="18"/>
        </w:rPr>
        <w:t xml:space="preserve">        |       +--&gt; Device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6. Commissioning and handover</w:t>
      </w:r>
    </w:p>
    <w:p>
      <w:pPr>
        <w:shd w:val="clear" w:color="auto" w:fill="F4F4F4"/>
        <w:spacing w:before="0" w:after="0" w:line="240" w:lineRule="auto"/>
        <w:ind w:left="216" w:right="216"/>
        <w:jc w:val="left"/>
      </w:pPr>
      <w:r>
        <w:rPr>
          <w:rFonts w:ascii="Consolas" w:hAnsi="Consolas"/>
          <w:color w:val="202020"/>
          <w:sz w:val="18"/>
        </w:rPr>
        <w:t xml:space="preserve">                +--&gt; SAT and production trials</w:t>
      </w:r>
    </w:p>
    <w:p>
      <w:pPr>
        <w:shd w:val="clear" w:color="auto" w:fill="F4F4F4"/>
        <w:spacing w:before="0" w:after="0" w:line="240" w:lineRule="auto"/>
        <w:ind w:left="216" w:right="216"/>
        <w:jc w:val="left"/>
      </w:pPr>
      <w:r>
        <w:rPr>
          <w:rFonts w:ascii="Consolas" w:hAnsi="Consolas"/>
          <w:color w:val="202020"/>
          <w:sz w:val="18"/>
        </w:rPr>
        <w:t xml:space="preserve">                +--&gt; Training and documentation</w:t>
      </w:r>
    </w:p>
    <w:p/>
    <w:p>
      <w:r>
        <w:t>The WBS must match the project scope. For example, if panel manufacturing is performed by an external supplier, the estimate should capture the supplier's price and identify which internal activities remain with the project team.</w:t>
      </w:r>
    </w:p>
    <w:p>
      <w:r>
        <w:t>A work package should have a clear deliverable, quantity or effort basis, cost owner, and inclusion boundary.</w:t>
      </w:r>
    </w:p>
    <w:p>
      <w:pPr>
        <w:pStyle w:val="Heading2"/>
      </w:pPr>
      <w:r>
        <w:t>7. Build the equipment and material cost estimate</w:t>
      </w:r>
    </w:p>
    <w:p>
      <w:r>
        <w:t>The BOM provides the foundation for hardware and material costing.</w:t>
      </w:r>
    </w:p>
    <w:p>
      <w:r>
        <w:t>For each line item, record:</w:t>
      </w:r>
    </w:p>
    <w:p>
      <w:pPr>
        <w:pStyle w:val="ListBullet"/>
      </w:pPr>
      <w:r>
        <w:t>Item number.</w:t>
      </w:r>
    </w:p>
    <w:p>
      <w:pPr>
        <w:pStyle w:val="ListBullet"/>
      </w:pPr>
      <w:r>
        <w:t>Equipment tag or reference.</w:t>
      </w:r>
    </w:p>
    <w:p>
      <w:pPr>
        <w:pStyle w:val="ListBullet"/>
      </w:pPr>
      <w:r>
        <w:t>Description.</w:t>
      </w:r>
    </w:p>
    <w:p>
      <w:pPr>
        <w:pStyle w:val="ListBullet"/>
      </w:pPr>
      <w:r>
        <w:t>Manufacturer and model, if defined.</w:t>
      </w:r>
    </w:p>
    <w:p>
      <w:pPr>
        <w:pStyle w:val="ListBullet"/>
      </w:pPr>
      <w:r>
        <w:t>Quantity.</w:t>
      </w:r>
    </w:p>
    <w:p>
      <w:pPr>
        <w:pStyle w:val="ListBullet"/>
      </w:pPr>
      <w:r>
        <w:t>Unit of measure.</w:t>
      </w:r>
    </w:p>
    <w:p>
      <w:pPr>
        <w:pStyle w:val="ListBullet"/>
      </w:pPr>
      <w:r>
        <w:t>Unit price.</w:t>
      </w:r>
    </w:p>
    <w:p>
      <w:pPr>
        <w:pStyle w:val="ListBullet"/>
      </w:pPr>
      <w:r>
        <w:t>Currency.</w:t>
      </w:r>
    </w:p>
    <w:p>
      <w:pPr>
        <w:pStyle w:val="ListBullet"/>
      </w:pPr>
      <w:r>
        <w:t>Extended price.</w:t>
      </w:r>
    </w:p>
    <w:p>
      <w:pPr>
        <w:pStyle w:val="ListBullet"/>
      </w:pPr>
      <w:r>
        <w:t>Supplier or price source.</w:t>
      </w:r>
    </w:p>
    <w:p>
      <w:pPr>
        <w:pStyle w:val="ListBullet"/>
      </w:pPr>
      <w:r>
        <w:t>Quotation date or validity.</w:t>
      </w:r>
    </w:p>
    <w:p>
      <w:pPr>
        <w:pStyle w:val="ListBullet"/>
      </w:pPr>
      <w:r>
        <w:t>Lead time.</w:t>
      </w:r>
    </w:p>
    <w:p>
      <w:pPr>
        <w:pStyle w:val="ListBullet"/>
      </w:pPr>
      <w:r>
        <w:t>Tax and freight treatment.</w:t>
      </w:r>
    </w:p>
    <w:p>
      <w:pPr>
        <w:pStyle w:val="ListBullet"/>
      </w:pPr>
      <w:r>
        <w:t>Remarks and technical assumptions.</w:t>
      </w:r>
    </w:p>
    <w:p>
      <w:r>
        <w:t>The extended item cost is:</w:t>
      </w:r>
    </w:p>
    <w:p>
      <w:pPr>
        <w:spacing w:before="120" w:after="160"/>
        <w:jc w:val="center"/>
      </w:pPr>
      <m:oMathPara>
        <m:oMath>
          <m:sSub>
            <m:e>
              <m:r>
                <m:t>C</m:t>
              </m:r>
            </m:e>
            <m:sub>
              <m:r>
                <m:t>i</m:t>
              </m:r>
            </m:sub>
          </m:sSub>
          <m:r>
            <m:t>=</m:t>
          </m:r>
          <m:sSub>
            <m:e>
              <m:r>
                <m:t>Q</m:t>
              </m:r>
            </m:e>
            <m:sub>
              <m:r>
                <m:t>i</m:t>
              </m:r>
            </m:sub>
          </m:sSub>
          <m:r>
            <m:t>×</m:t>
          </m:r>
          <m:sSub>
            <m:e>
              <m:r>
                <m:t>P</m:t>
              </m:r>
            </m:e>
            <m:sub>
              <m:r>
                <m:t>i</m:t>
              </m:r>
            </m:sub>
          </m:sSub>
        </m:oMath>
      </m:oMathPara>
    </w:p>
    <w:p>
      <w:r>
        <w:t>Where:</w:t>
      </w:r>
    </w:p>
    <w:p>
      <w:pPr>
        <w:pStyle w:val="ListBullet"/>
      </w:pPr>
      <m:oMath>
        <m:sSub>
          <m:e>
            <m:r>
              <m:t>C</m:t>
            </m:r>
          </m:e>
          <m:sub>
            <m:r>
              <m:t>i</m:t>
            </m:r>
          </m:sub>
        </m:sSub>
      </m:oMath>
      <w:r>
        <w:t xml:space="preserve"> is the extended cost of item </w:t>
      </w:r>
      <m:oMath>
        <m:r>
          <m:t>i</m:t>
        </m:r>
      </m:oMath>
      <w:r>
        <w:t>.</w:t>
      </w:r>
    </w:p>
    <w:p>
      <w:pPr>
        <w:pStyle w:val="ListBullet"/>
      </w:pPr>
      <m:oMath>
        <m:sSub>
          <m:e>
            <m:r>
              <m:t>Q</m:t>
            </m:r>
          </m:e>
          <m:sub>
            <m:r>
              <m:t>i</m:t>
            </m:r>
          </m:sub>
        </m:sSub>
      </m:oMath>
      <w:r>
        <w:t xml:space="preserve"> is the required quantity.</w:t>
      </w:r>
    </w:p>
    <w:p>
      <w:pPr>
        <w:pStyle w:val="ListBullet"/>
      </w:pPr>
      <m:oMath>
        <m:sSub>
          <m:e>
            <m:r>
              <m:t>P</m:t>
            </m:r>
          </m:e>
          <m:sub>
            <m:r>
              <m:t>i</m:t>
            </m:r>
          </m:sub>
        </m:sSub>
      </m:oMath>
      <w:r>
        <w:t xml:space="preserve"> is the unit price.</w:t>
      </w:r>
    </w:p>
    <w:p>
      <w:r>
        <w:t>Total equipment and material cost is:</w:t>
      </w:r>
    </w:p>
    <w:p>
      <w:pPr>
        <w:spacing w:before="120" w:after="160"/>
        <w:jc w:val="center"/>
      </w:pPr>
      <m:oMathPara>
        <m:oMath>
          <m:sSub>
            <m:e>
              <m:r>
                <m:t>C</m:t>
              </m:r>
            </m:e>
            <m:sub>
              <m:r>
                <m:rPr>
                  <m:nor/>
                </m:rPr>
                <m:t>materials</m:t>
              </m:r>
            </m:sub>
          </m:sSub>
          <m:r>
            <m:t>=</m:t>
          </m:r>
          <m:nary>
            <m:naryPr>
              <m:chr m:val="∑"/>
              <m:limLoc m:val="subSup"/>
              <m:grow m:val="1"/>
              <m:subHide m:val="off"/>
              <m:supHide m:val="off"/>
            </m:naryPr>
            <m:sub>
              <m:r>
                <m:t>i=1</m:t>
              </m:r>
            </m:sub>
            <m:sup>
              <m:r>
                <m:t>n</m:t>
              </m:r>
            </m:sup>
            <m:e>
              <m:sSub>
                <m:e>
                  <m:r>
                    <m:t>Q</m:t>
                  </m:r>
                </m:e>
                <m:sub>
                  <m:r>
                    <m:t>i</m:t>
                  </m:r>
                </m:sub>
              </m:sSub>
            </m:e>
          </m:nary>
          <m:sSub>
            <m:e>
              <m:r>
                <m:t>P</m:t>
              </m:r>
            </m:e>
            <m:sub>
              <m:r>
                <m:t>i</m:t>
              </m:r>
            </m:sub>
          </m:sSub>
        </m:oMath>
      </m:oMathPara>
    </w:p>
    <w:p>
      <w:r>
        <w:t>For example, if a component costs ₹12,500 per unit and 4 units are required:</w:t>
      </w:r>
    </w:p>
    <w:p>
      <w:pPr>
        <w:spacing w:before="120" w:after="160"/>
        <w:jc w:val="center"/>
      </w:pPr>
      <m:oMathPara>
        <m:oMath>
          <m:sSub>
            <m:e>
              <m:r>
                <m:t>C</m:t>
              </m:r>
            </m:e>
            <m:sub>
              <m:r>
                <m:t>i</m:t>
              </m:r>
            </m:sub>
          </m:sSub>
          <m:r>
            <m:t>=4×₹12</m:t>
          </m:r>
          <m:r>
            <m:t>,</m:t>
          </m:r>
          <m:r>
            <m:t>500=₹50</m:t>
          </m:r>
          <m:r>
            <m:t>,</m:t>
          </m:r>
          <m:r>
            <m:t>000</m:t>
          </m:r>
        </m:oMath>
      </m:oMathPara>
    </w:p>
    <w:p>
      <w:r>
        <w:t>This calculation is straightforward. The difficult part is establishing the correct quantity, model, price basis, and scope.</w:t>
      </w:r>
    </w:p>
    <w:p>
      <w:pPr>
        <w:pStyle w:val="Heading2"/>
      </w:pPr>
      <w:r>
        <w:t>8. Create a practical automation BOM</w:t>
      </w:r>
    </w:p>
    <w:p>
      <w:r>
        <w:t>A sample structure for a PLC retrofit might look like this.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Quantity</w:t>
            </w:r>
          </w:p>
        </w:tc>
        <w:tc>
          <w:tcPr>
            <w:tcW w:type="dxa" w:w="2160"/>
            <w:shd w:val="clear" w:color="auto" w:fill="EEF2F7"/>
          </w:tcPr>
          <w:p>
            <w:pPr>
              <w:spacing w:after="0" w:before="0" w:line="240" w:lineRule="auto"/>
              <w:jc w:val="left"/>
            </w:pPr>
            <w:r>
              <w:rPr>
                <w:b/>
                <w:color w:val="1A2E4A"/>
              </w:rPr>
              <w:t>Unit price</w:t>
            </w:r>
          </w:p>
        </w:tc>
        <w:tc>
          <w:tcPr>
            <w:tcW w:type="dxa" w:w="2160"/>
            <w:shd w:val="clear" w:color="auto" w:fill="EEF2F7"/>
          </w:tcPr>
          <w:p>
            <w:pPr>
              <w:spacing w:after="0" w:before="0" w:line="240" w:lineRule="auto"/>
              <w:jc w:val="left"/>
            </w:pPr>
            <w:r>
              <w:rPr>
                <w:b/>
                <w:color w:val="1A2E4A"/>
              </w:rPr>
              <w:t>Extended cost</w:t>
            </w:r>
          </w:p>
        </w:tc>
      </w:tr>
      <w:tr>
        <w:tc>
          <w:tcPr>
            <w:tcW w:type="dxa" w:w="2160"/>
          </w:tcPr>
          <w:p>
            <w:pPr>
              <w:spacing w:after="0" w:before="0" w:line="240" w:lineRule="auto"/>
              <w:jc w:val="left"/>
            </w:pPr>
            <w:r>
              <w:t>1</w:t>
            </w:r>
          </w:p>
        </w:tc>
        <w:tc>
          <w:tcPr>
            <w:tcW w:type="dxa" w:w="2160"/>
          </w:tcPr>
          <w:p>
            <w:pPr>
              <w:spacing w:after="0" w:before="0" w:line="240" w:lineRule="auto"/>
              <w:jc w:val="left"/>
            </w:pPr>
            <w:r>
              <w:t>PLC CPU</w:t>
            </w:r>
          </w:p>
        </w:tc>
        <w:tc>
          <w:tcPr>
            <w:tcW w:type="dxa" w:w="2160"/>
          </w:tcPr>
          <w:p>
            <w:pPr>
              <w:spacing w:after="0" w:before="0" w:line="240" w:lineRule="auto"/>
              <w:jc w:val="left"/>
            </w:pPr>
            <w:r>
              <w:t>1</w:t>
            </w:r>
          </w:p>
        </w:tc>
        <w:tc>
          <w:tcPr>
            <w:tcW w:type="dxa" w:w="2160"/>
          </w:tcPr>
          <w:p>
            <w:pPr>
              <w:spacing w:after="0" w:before="0" w:line="240" w:lineRule="auto"/>
              <w:jc w:val="left"/>
            </w:pPr>
            <w:r>
              <w:t>₹45,000</w:t>
            </w:r>
          </w:p>
        </w:tc>
        <w:tc>
          <w:tcPr>
            <w:tcW w:type="dxa" w:w="2160"/>
          </w:tcPr>
          <w:p>
            <w:pPr>
              <w:spacing w:after="0" w:before="0" w:line="240" w:lineRule="auto"/>
              <w:jc w:val="left"/>
            </w:pPr>
            <w:r>
              <w:t>₹45,000</w:t>
            </w:r>
          </w:p>
        </w:tc>
      </w:tr>
      <w:tr>
        <w:tc>
          <w:tcPr>
            <w:tcW w:type="dxa" w:w="2160"/>
          </w:tcPr>
          <w:p>
            <w:pPr>
              <w:spacing w:after="0" w:before="0" w:line="240" w:lineRule="auto"/>
              <w:jc w:val="left"/>
            </w:pPr>
            <w:r>
              <w:t>2</w:t>
            </w:r>
          </w:p>
        </w:tc>
        <w:tc>
          <w:tcPr>
            <w:tcW w:type="dxa" w:w="2160"/>
          </w:tcPr>
          <w:p>
            <w:pPr>
              <w:spacing w:after="0" w:before="0" w:line="240" w:lineRule="auto"/>
              <w:jc w:val="left"/>
            </w:pPr>
            <w:r>
              <w:t>Digital input module</w:t>
            </w:r>
          </w:p>
        </w:tc>
        <w:tc>
          <w:tcPr>
            <w:tcW w:type="dxa" w:w="2160"/>
          </w:tcPr>
          <w:p>
            <w:pPr>
              <w:spacing w:after="0" w:before="0" w:line="240" w:lineRule="auto"/>
              <w:jc w:val="left"/>
            </w:pPr>
            <w:r>
              <w:t>2</w:t>
            </w:r>
          </w:p>
        </w:tc>
        <w:tc>
          <w:tcPr>
            <w:tcW w:type="dxa" w:w="2160"/>
          </w:tcPr>
          <w:p>
            <w:pPr>
              <w:spacing w:after="0" w:before="0" w:line="240" w:lineRule="auto"/>
              <w:jc w:val="left"/>
            </w:pPr>
            <w:r>
              <w:t>₹12,000</w:t>
            </w:r>
          </w:p>
        </w:tc>
        <w:tc>
          <w:tcPr>
            <w:tcW w:type="dxa" w:w="2160"/>
          </w:tcPr>
          <w:p>
            <w:pPr>
              <w:spacing w:after="0" w:before="0" w:line="240" w:lineRule="auto"/>
              <w:jc w:val="left"/>
            </w:pPr>
            <w:r>
              <w:t>₹24,000</w:t>
            </w:r>
          </w:p>
        </w:tc>
      </w:tr>
      <w:tr>
        <w:tc>
          <w:tcPr>
            <w:tcW w:type="dxa" w:w="2160"/>
          </w:tcPr>
          <w:p>
            <w:pPr>
              <w:spacing w:after="0" w:before="0" w:line="240" w:lineRule="auto"/>
              <w:jc w:val="left"/>
            </w:pPr>
            <w:r>
              <w:t>3</w:t>
            </w:r>
          </w:p>
        </w:tc>
        <w:tc>
          <w:tcPr>
            <w:tcW w:type="dxa" w:w="2160"/>
          </w:tcPr>
          <w:p>
            <w:pPr>
              <w:spacing w:after="0" w:before="0" w:line="240" w:lineRule="auto"/>
              <w:jc w:val="left"/>
            </w:pPr>
            <w:r>
              <w:t>Digital output module</w:t>
            </w:r>
          </w:p>
        </w:tc>
        <w:tc>
          <w:tcPr>
            <w:tcW w:type="dxa" w:w="2160"/>
          </w:tcPr>
          <w:p>
            <w:pPr>
              <w:spacing w:after="0" w:before="0" w:line="240" w:lineRule="auto"/>
              <w:jc w:val="left"/>
            </w:pPr>
            <w:r>
              <w:t>2</w:t>
            </w:r>
          </w:p>
        </w:tc>
        <w:tc>
          <w:tcPr>
            <w:tcW w:type="dxa" w:w="2160"/>
          </w:tcPr>
          <w:p>
            <w:pPr>
              <w:spacing w:after="0" w:before="0" w:line="240" w:lineRule="auto"/>
              <w:jc w:val="left"/>
            </w:pPr>
            <w:r>
              <w:t>₹14,000</w:t>
            </w:r>
          </w:p>
        </w:tc>
        <w:tc>
          <w:tcPr>
            <w:tcW w:type="dxa" w:w="2160"/>
          </w:tcPr>
          <w:p>
            <w:pPr>
              <w:spacing w:after="0" w:before="0" w:line="240" w:lineRule="auto"/>
              <w:jc w:val="left"/>
            </w:pPr>
            <w:r>
              <w:t>₹28,000</w:t>
            </w:r>
          </w:p>
        </w:tc>
      </w:tr>
      <w:tr>
        <w:tc>
          <w:tcPr>
            <w:tcW w:type="dxa" w:w="2160"/>
          </w:tcPr>
          <w:p>
            <w:pPr>
              <w:spacing w:after="0" w:before="0" w:line="240" w:lineRule="auto"/>
              <w:jc w:val="left"/>
            </w:pPr>
            <w:r>
              <w:t>4</w:t>
            </w:r>
          </w:p>
        </w:tc>
        <w:tc>
          <w:tcPr>
            <w:tcW w:type="dxa" w:w="2160"/>
          </w:tcPr>
          <w:p>
            <w:pPr>
              <w:spacing w:after="0" w:before="0" w:line="240" w:lineRule="auto"/>
              <w:jc w:val="left"/>
            </w:pPr>
            <w:r>
              <w:t>Industrial HMI</w:t>
            </w:r>
          </w:p>
        </w:tc>
        <w:tc>
          <w:tcPr>
            <w:tcW w:type="dxa" w:w="2160"/>
          </w:tcPr>
          <w:p>
            <w:pPr>
              <w:spacing w:after="0" w:before="0" w:line="240" w:lineRule="auto"/>
              <w:jc w:val="left"/>
            </w:pPr>
            <w:r>
              <w:t>1</w:t>
            </w:r>
          </w:p>
        </w:tc>
        <w:tc>
          <w:tcPr>
            <w:tcW w:type="dxa" w:w="2160"/>
          </w:tcPr>
          <w:p>
            <w:pPr>
              <w:spacing w:after="0" w:before="0" w:line="240" w:lineRule="auto"/>
              <w:jc w:val="left"/>
            </w:pPr>
            <w:r>
              <w:t>₹38,000</w:t>
            </w:r>
          </w:p>
        </w:tc>
        <w:tc>
          <w:tcPr>
            <w:tcW w:type="dxa" w:w="2160"/>
          </w:tcPr>
          <w:p>
            <w:pPr>
              <w:spacing w:after="0" w:before="0" w:line="240" w:lineRule="auto"/>
              <w:jc w:val="left"/>
            </w:pPr>
            <w:r>
              <w:t>₹38,000</w:t>
            </w:r>
          </w:p>
        </w:tc>
      </w:tr>
      <w:tr>
        <w:tc>
          <w:tcPr>
            <w:tcW w:type="dxa" w:w="2160"/>
          </w:tcPr>
          <w:p>
            <w:pPr>
              <w:spacing w:after="0" w:before="0" w:line="240" w:lineRule="auto"/>
              <w:jc w:val="left"/>
            </w:pPr>
            <w:r>
              <w:t>5</w:t>
            </w:r>
          </w:p>
        </w:tc>
        <w:tc>
          <w:tcPr>
            <w:tcW w:type="dxa" w:w="2160"/>
          </w:tcPr>
          <w:p>
            <w:pPr>
              <w:spacing w:after="0" w:before="0" w:line="240" w:lineRule="auto"/>
              <w:jc w:val="left"/>
            </w:pPr>
            <w:r>
              <w:t>Industrial Ethernet switch</w:t>
            </w:r>
          </w:p>
        </w:tc>
        <w:tc>
          <w:tcPr>
            <w:tcW w:type="dxa" w:w="2160"/>
          </w:tcPr>
          <w:p>
            <w:pPr>
              <w:spacing w:after="0" w:before="0" w:line="240" w:lineRule="auto"/>
              <w:jc w:val="left"/>
            </w:pPr>
            <w:r>
              <w:t>1</w:t>
            </w:r>
          </w:p>
        </w:tc>
        <w:tc>
          <w:tcPr>
            <w:tcW w:type="dxa" w:w="2160"/>
          </w:tcPr>
          <w:p>
            <w:pPr>
              <w:spacing w:after="0" w:before="0" w:line="240" w:lineRule="auto"/>
              <w:jc w:val="left"/>
            </w:pPr>
            <w:r>
              <w:t>₹9,000</w:t>
            </w:r>
          </w:p>
        </w:tc>
        <w:tc>
          <w:tcPr>
            <w:tcW w:type="dxa" w:w="2160"/>
          </w:tcPr>
          <w:p>
            <w:pPr>
              <w:spacing w:after="0" w:before="0" w:line="240" w:lineRule="auto"/>
              <w:jc w:val="left"/>
            </w:pPr>
            <w:r>
              <w:t>₹9,000</w:t>
            </w:r>
          </w:p>
        </w:tc>
      </w:tr>
      <w:tr>
        <w:tc>
          <w:tcPr>
            <w:tcW w:type="dxa" w:w="2160"/>
          </w:tcPr>
          <w:p>
            <w:pPr>
              <w:spacing w:after="0" w:before="0" w:line="240" w:lineRule="auto"/>
              <w:jc w:val="left"/>
            </w:pPr>
            <w:r>
              <w:t>6</w:t>
            </w:r>
          </w:p>
        </w:tc>
        <w:tc>
          <w:tcPr>
            <w:tcW w:type="dxa" w:w="2160"/>
          </w:tcPr>
          <w:p>
            <w:pPr>
              <w:spacing w:after="0" w:before="0" w:line="240" w:lineRule="auto"/>
              <w:jc w:val="left"/>
            </w:pPr>
            <w:r>
              <w:t>24 V DC power supply</w:t>
            </w:r>
          </w:p>
        </w:tc>
        <w:tc>
          <w:tcPr>
            <w:tcW w:type="dxa" w:w="2160"/>
          </w:tcPr>
          <w:p>
            <w:pPr>
              <w:spacing w:after="0" w:before="0" w:line="240" w:lineRule="auto"/>
              <w:jc w:val="left"/>
            </w:pPr>
            <w:r>
              <w:t>1</w:t>
            </w:r>
          </w:p>
        </w:tc>
        <w:tc>
          <w:tcPr>
            <w:tcW w:type="dxa" w:w="2160"/>
          </w:tcPr>
          <w:p>
            <w:pPr>
              <w:spacing w:after="0" w:before="0" w:line="240" w:lineRule="auto"/>
              <w:jc w:val="left"/>
            </w:pPr>
            <w:r>
              <w:t>₹8,000</w:t>
            </w:r>
          </w:p>
        </w:tc>
        <w:tc>
          <w:tcPr>
            <w:tcW w:type="dxa" w:w="2160"/>
          </w:tcPr>
          <w:p>
            <w:pPr>
              <w:spacing w:after="0" w:before="0" w:line="240" w:lineRule="auto"/>
              <w:jc w:val="left"/>
            </w:pPr>
            <w:r>
              <w:t>₹8,000</w:t>
            </w:r>
          </w:p>
        </w:tc>
      </w:tr>
      <w:tr>
        <w:tc>
          <w:tcPr>
            <w:tcW w:type="dxa" w:w="2160"/>
          </w:tcPr>
          <w:p>
            <w:pPr>
              <w:spacing w:after="0" w:before="0" w:line="240" w:lineRule="auto"/>
              <w:jc w:val="left"/>
            </w:pPr>
            <w:r>
              <w:t>7</w:t>
            </w:r>
          </w:p>
        </w:tc>
        <w:tc>
          <w:tcPr>
            <w:tcW w:type="dxa" w:w="2160"/>
          </w:tcPr>
          <w:p>
            <w:pPr>
              <w:spacing w:after="0" w:before="0" w:line="240" w:lineRule="auto"/>
              <w:jc w:val="left"/>
            </w:pPr>
            <w:r>
              <w:t>Terminal blocks and accessories</w:t>
            </w:r>
          </w:p>
        </w:tc>
        <w:tc>
          <w:tcPr>
            <w:tcW w:type="dxa" w:w="2160"/>
          </w:tcPr>
          <w:p>
            <w:pPr>
              <w:spacing w:after="0" w:before="0" w:line="240" w:lineRule="auto"/>
              <w:jc w:val="left"/>
            </w:pPr>
            <w:r>
              <w:t>1 lot</w:t>
            </w:r>
          </w:p>
        </w:tc>
        <w:tc>
          <w:tcPr>
            <w:tcW w:type="dxa" w:w="2160"/>
          </w:tcPr>
          <w:p>
            <w:pPr>
              <w:spacing w:after="0" w:before="0" w:line="240" w:lineRule="auto"/>
              <w:jc w:val="left"/>
            </w:pPr>
            <w:r>
              <w:t>₹15,000</w:t>
            </w:r>
          </w:p>
        </w:tc>
        <w:tc>
          <w:tcPr>
            <w:tcW w:type="dxa" w:w="2160"/>
          </w:tcPr>
          <w:p>
            <w:pPr>
              <w:spacing w:after="0" w:before="0" w:line="240" w:lineRule="auto"/>
              <w:jc w:val="left"/>
            </w:pPr>
            <w:r>
              <w:t>₹15,000</w:t>
            </w:r>
          </w:p>
        </w:tc>
      </w:tr>
      <w:tr>
        <w:tc>
          <w:tcPr>
            <w:tcW w:type="dxa" w:w="2160"/>
          </w:tcPr>
          <w:p>
            <w:pPr>
              <w:spacing w:after="0" w:before="0" w:line="240" w:lineRule="auto"/>
              <w:jc w:val="left"/>
            </w:pPr>
            <w:r>
              <w:t>8</w:t>
            </w:r>
          </w:p>
        </w:tc>
        <w:tc>
          <w:tcPr>
            <w:tcW w:type="dxa" w:w="2160"/>
          </w:tcPr>
          <w:p>
            <w:pPr>
              <w:spacing w:after="0" w:before="0" w:line="240" w:lineRule="auto"/>
              <w:jc w:val="left"/>
            </w:pPr>
            <w:r>
              <w:t>Enclosure and mounting accessories</w:t>
            </w:r>
          </w:p>
        </w:tc>
        <w:tc>
          <w:tcPr>
            <w:tcW w:type="dxa" w:w="2160"/>
          </w:tcPr>
          <w:p>
            <w:pPr>
              <w:spacing w:after="0" w:before="0" w:line="240" w:lineRule="auto"/>
              <w:jc w:val="left"/>
            </w:pPr>
            <w:r>
              <w:t>1 lot</w:t>
            </w:r>
          </w:p>
        </w:tc>
        <w:tc>
          <w:tcPr>
            <w:tcW w:type="dxa" w:w="2160"/>
          </w:tcPr>
          <w:p>
            <w:pPr>
              <w:spacing w:after="0" w:before="0" w:line="240" w:lineRule="auto"/>
              <w:jc w:val="left"/>
            </w:pPr>
            <w:r>
              <w:t>₹25,000</w:t>
            </w:r>
          </w:p>
        </w:tc>
        <w:tc>
          <w:tcPr>
            <w:tcW w:type="dxa" w:w="2160"/>
          </w:tcPr>
          <w:p>
            <w:pPr>
              <w:spacing w:after="0" w:before="0" w:line="240" w:lineRule="auto"/>
              <w:jc w:val="left"/>
            </w:pPr>
            <w:r>
              <w:t>₹25,000</w:t>
            </w:r>
          </w:p>
        </w:tc>
      </w:tr>
      <w:tr>
        <w:tc>
          <w:tcPr>
            <w:tcW w:type="dxa" w:w="2160"/>
          </w:tcPr>
          <w:p>
            <w:pPr>
              <w:spacing w:after="0" w:before="0" w:line="240" w:lineRule="auto"/>
              <w:jc w:val="left"/>
            </w:pPr>
            <w:r>
              <w:t>9</w:t>
            </w:r>
          </w:p>
        </w:tc>
        <w:tc>
          <w:tcPr>
            <w:tcW w:type="dxa" w:w="2160"/>
          </w:tcPr>
          <w:p>
            <w:pPr>
              <w:spacing w:after="0" w:before="0" w:line="240" w:lineRule="auto"/>
              <w:jc w:val="left"/>
            </w:pPr>
            <w:r>
              <w:t>Wiring, ferrules, and labels</w:t>
            </w:r>
          </w:p>
        </w:tc>
        <w:tc>
          <w:tcPr>
            <w:tcW w:type="dxa" w:w="2160"/>
          </w:tcPr>
          <w:p>
            <w:pPr>
              <w:spacing w:after="0" w:before="0" w:line="240" w:lineRule="auto"/>
              <w:jc w:val="left"/>
            </w:pPr>
            <w:r>
              <w:t>1 lot</w:t>
            </w:r>
          </w:p>
        </w:tc>
        <w:tc>
          <w:tcPr>
            <w:tcW w:type="dxa" w:w="2160"/>
          </w:tcPr>
          <w:p>
            <w:pPr>
              <w:spacing w:after="0" w:before="0" w:line="240" w:lineRule="auto"/>
              <w:jc w:val="left"/>
            </w:pPr>
            <w:r>
              <w:t>₹12,000</w:t>
            </w:r>
          </w:p>
        </w:tc>
        <w:tc>
          <w:tcPr>
            <w:tcW w:type="dxa" w:w="2160"/>
          </w:tcPr>
          <w:p>
            <w:pPr>
              <w:spacing w:after="0" w:before="0" w:line="240" w:lineRule="auto"/>
              <w:jc w:val="left"/>
            </w:pPr>
            <w:r>
              <w:t>₹12,000</w:t>
            </w:r>
          </w:p>
        </w:tc>
      </w:tr>
      <w:tr>
        <w:tc>
          <w:tcPr>
            <w:tcW w:type="dxa" w:w="2160"/>
          </w:tcPr>
          <w:p>
            <w:pPr>
              <w:spacing w:after="0" w:before="0" w:line="240" w:lineRule="auto"/>
              <w:jc w:val="left"/>
            </w:pPr>
            <w:r>
              <w:t>10</w:t>
            </w:r>
          </w:p>
        </w:tc>
        <w:tc>
          <w:tcPr>
            <w:tcW w:type="dxa" w:w="2160"/>
          </w:tcPr>
          <w:p>
            <w:pPr>
              <w:spacing w:after="0" w:before="0" w:line="240" w:lineRule="auto"/>
              <w:jc w:val="left"/>
            </w:pPr>
            <w:r>
              <w:t>Cables and connectors</w:t>
            </w:r>
          </w:p>
        </w:tc>
        <w:tc>
          <w:tcPr>
            <w:tcW w:type="dxa" w:w="2160"/>
          </w:tcPr>
          <w:p>
            <w:pPr>
              <w:spacing w:after="0" w:before="0" w:line="240" w:lineRule="auto"/>
              <w:jc w:val="left"/>
            </w:pPr>
            <w:r>
              <w:t>1 lot</w:t>
            </w:r>
          </w:p>
        </w:tc>
        <w:tc>
          <w:tcPr>
            <w:tcW w:type="dxa" w:w="2160"/>
          </w:tcPr>
          <w:p>
            <w:pPr>
              <w:spacing w:after="0" w:before="0" w:line="240" w:lineRule="auto"/>
              <w:jc w:val="left"/>
            </w:pPr>
            <w:r>
              <w:t>₹18,000</w:t>
            </w:r>
          </w:p>
        </w:tc>
        <w:tc>
          <w:tcPr>
            <w:tcW w:type="dxa" w:w="2160"/>
          </w:tcPr>
          <w:p>
            <w:pPr>
              <w:spacing w:after="0" w:before="0" w:line="240" w:lineRule="auto"/>
              <w:jc w:val="left"/>
            </w:pPr>
            <w:r>
              <w:t>₹18,000</w:t>
            </w:r>
          </w:p>
        </w:tc>
      </w:tr>
      <w:tr>
        <w:tc>
          <w:tcPr>
            <w:tcW w:type="dxa" w:w="2160"/>
          </w:tcPr>
          <w:p>
            <w:pPr>
              <w:spacing w:after="0" w:before="0" w:line="240" w:lineRule="auto"/>
              <w:jc w:val="left"/>
            </w:pPr>
          </w:p>
        </w:tc>
        <w:tc>
          <w:tcPr>
            <w:tcW w:type="dxa" w:w="2160"/>
          </w:tcPr>
          <w:p>
            <w:pPr>
              <w:spacing w:after="0" w:before="0" w:line="240" w:lineRule="auto"/>
              <w:jc w:val="left"/>
            </w:pPr>
            <w:r>
              <w:t>Illustrative material subtotal</w:t>
            </w:r>
          </w:p>
        </w:tc>
        <w:tc>
          <w:tcPr>
            <w:tcW w:type="dxa" w:w="2160"/>
          </w:tcPr>
          <w:p>
            <w:pPr>
              <w:spacing w:after="0" w:before="0" w:line="240" w:lineRule="auto"/>
              <w:jc w:val="left"/>
            </w:pPr>
          </w:p>
        </w:tc>
        <w:tc>
          <w:tcPr>
            <w:tcW w:type="dxa" w:w="2160"/>
          </w:tcPr>
          <w:p>
            <w:pPr>
              <w:spacing w:after="0" w:before="0" w:line="240" w:lineRule="auto"/>
              <w:jc w:val="left"/>
            </w:pPr>
          </w:p>
        </w:tc>
        <w:tc>
          <w:tcPr>
            <w:tcW w:type="dxa" w:w="2160"/>
          </w:tcPr>
          <w:p>
            <w:pPr>
              <w:spacing w:after="0" w:before="0" w:line="240" w:lineRule="auto"/>
              <w:jc w:val="left"/>
            </w:pPr>
            <w:r>
              <w:t>₹222,000</w:t>
            </w:r>
          </w:p>
        </w:tc>
      </w:tr>
    </w:tbl>
    <w:p/>
    <w:p>
      <w:r>
        <w:t>These prices are hypothetical training values, not current supplier quotations. Actual prices vary by manufacturer, model, distributor, commercial terms, and date.</w:t>
      </w:r>
    </w:p>
    <w:p>
      <w:r>
        <w:t>A production estimate should use verified pricing and should separate actual quantities from provisional allowances. A "lot" can be useful for early estimation, but detailed procurement should break it into measurable line items where practical.</w:t>
      </w:r>
    </w:p>
    <w:p>
      <w:pPr>
        <w:pStyle w:val="Heading2"/>
      </w:pPr>
      <w:r>
        <w:t>9. Estimate electrical materials beyond the major devices</w:t>
      </w:r>
    </w:p>
    <w:p>
      <w:r>
        <w:t>The PLC and HMI are visible on the BOM, but a complete installation also requires the smaller items that make the system buildable.</w:t>
      </w:r>
    </w:p>
    <w:p>
      <w:r>
        <w:t>Consider:</w:t>
      </w:r>
    </w:p>
    <w:p>
      <w:pPr>
        <w:pStyle w:val="ListBullet"/>
      </w:pPr>
      <w:r>
        <w:t>Circuit breakers and fuses.</w:t>
      </w:r>
    </w:p>
    <w:p>
      <w:pPr>
        <w:pStyle w:val="ListBullet"/>
      </w:pPr>
      <w:r>
        <w:t>Contactors and overload protection.</w:t>
      </w:r>
    </w:p>
    <w:p>
      <w:pPr>
        <w:pStyle w:val="ListBullet"/>
      </w:pPr>
      <w:r>
        <w:t>Control relays and interface relays.</w:t>
      </w:r>
    </w:p>
    <w:p>
      <w:pPr>
        <w:pStyle w:val="ListBullet"/>
      </w:pPr>
      <w:r>
        <w:t>Terminal blocks and end plates.</w:t>
      </w:r>
    </w:p>
    <w:p>
      <w:pPr>
        <w:pStyle w:val="ListBullet"/>
      </w:pPr>
      <w:r>
        <w:t>DIN rails and wire ducts.</w:t>
      </w:r>
    </w:p>
    <w:p>
      <w:pPr>
        <w:pStyle w:val="ListBullet"/>
      </w:pPr>
      <w:r>
        <w:t>Ferrules, lugs, labels, and markers.</w:t>
      </w:r>
    </w:p>
    <w:p>
      <w:pPr>
        <w:pStyle w:val="ListBullet"/>
      </w:pPr>
      <w:r>
        <w:t>Cable glands and connectors.</w:t>
      </w:r>
    </w:p>
    <w:p>
      <w:pPr>
        <w:pStyle w:val="ListBullet"/>
      </w:pPr>
      <w:r>
        <w:t>Shielded signal cables.</w:t>
      </w:r>
    </w:p>
    <w:p>
      <w:pPr>
        <w:pStyle w:val="ListBullet"/>
      </w:pPr>
      <w:r>
        <w:t>Industrial Ethernet cables.</w:t>
      </w:r>
    </w:p>
    <w:p>
      <w:pPr>
        <w:pStyle w:val="ListBullet"/>
      </w:pPr>
      <w:r>
        <w:t>Power cables and protective conductors.</w:t>
      </w:r>
    </w:p>
    <w:p>
      <w:pPr>
        <w:pStyle w:val="ListBullet"/>
      </w:pPr>
      <w:r>
        <w:t>Earthing and bonding accessories.</w:t>
      </w:r>
    </w:p>
    <w:p>
      <w:pPr>
        <w:pStyle w:val="ListBullet"/>
      </w:pPr>
      <w:r>
        <w:t>Panel fans, filters, or cooling equipment.</w:t>
      </w:r>
    </w:p>
    <w:p>
      <w:pPr>
        <w:pStyle w:val="ListBullet"/>
      </w:pPr>
      <w:r>
        <w:t>Lighting and service sockets where required.</w:t>
      </w:r>
    </w:p>
    <w:p>
      <w:pPr>
        <w:pStyle w:val="ListBullet"/>
      </w:pPr>
      <w:r>
        <w:t>Spare terminals and wiring accessories.</w:t>
      </w:r>
    </w:p>
    <w:p>
      <w:r>
        <w:t>Estimate these from the electrical design, terminal plan, cable schedule, panel layout, and installation conditions.</w:t>
      </w:r>
    </w:p>
    <w:p>
      <w:r>
        <w:t>Do not assume that a standard allowance for wiring accessories will always be sufficient. A dense panel, long field cable routes, special connectors, or high-shielding requirements can change the cost materially.</w:t>
      </w:r>
    </w:p>
    <w:p>
      <w:pPr>
        <w:pStyle w:val="Heading2"/>
      </w:pPr>
      <w:r>
        <w:t>10. Estimate engineering labor</w:t>
      </w:r>
    </w:p>
    <w:p>
      <w:r>
        <w:t>Engineering labor includes the effort needed to design, document, configure, program, integrate, test, and hand over the solution.</w:t>
      </w:r>
    </w:p>
    <w:p>
      <w:r>
        <w:t>Typical activities include:</w:t>
      </w:r>
    </w:p>
    <w:p>
      <w:pPr>
        <w:pStyle w:val="ListBullet"/>
      </w:pPr>
      <w:r>
        <w:t>Site survey and data collection.</w:t>
      </w:r>
    </w:p>
    <w:p>
      <w:pPr>
        <w:pStyle w:val="ListBullet"/>
      </w:pPr>
      <w:r>
        <w:t>Requirement clarification.</w:t>
      </w:r>
    </w:p>
    <w:p>
      <w:pPr>
        <w:pStyle w:val="ListBullet"/>
      </w:pPr>
      <w:r>
        <w:t>Electrical and control design.</w:t>
      </w:r>
    </w:p>
    <w:p>
      <w:pPr>
        <w:pStyle w:val="ListBullet"/>
      </w:pPr>
      <w:r>
        <w:t>I/O list preparation.</w:t>
      </w:r>
    </w:p>
    <w:p>
      <w:pPr>
        <w:pStyle w:val="ListBullet"/>
      </w:pPr>
      <w:r>
        <w:t>Panel drawings and layout.</w:t>
      </w:r>
    </w:p>
    <w:p>
      <w:pPr>
        <w:pStyle w:val="ListBullet"/>
      </w:pPr>
      <w:r>
        <w:t>PLC programming.</w:t>
      </w:r>
    </w:p>
    <w:p>
      <w:pPr>
        <w:pStyle w:val="ListBullet"/>
      </w:pPr>
      <w:r>
        <w:t>HMI screen development.</w:t>
      </w:r>
    </w:p>
    <w:p>
      <w:pPr>
        <w:pStyle w:val="ListBullet"/>
      </w:pPr>
      <w:r>
        <w:t>Drive and motion configuration.</w:t>
      </w:r>
    </w:p>
    <w:p>
      <w:pPr>
        <w:pStyle w:val="ListBullet"/>
      </w:pPr>
      <w:r>
        <w:t>Robot or CNC interface development.</w:t>
      </w:r>
    </w:p>
    <w:p>
      <w:pPr>
        <w:pStyle w:val="ListBullet"/>
      </w:pPr>
      <w:r>
        <w:t>SCADA and data integration.</w:t>
      </w:r>
    </w:p>
    <w:p>
      <w:pPr>
        <w:pStyle w:val="ListBullet"/>
      </w:pPr>
      <w:r>
        <w:t>Testing and debugging.</w:t>
      </w:r>
    </w:p>
    <w:p>
      <w:pPr>
        <w:pStyle w:val="ListBullet"/>
      </w:pPr>
      <w:r>
        <w:t>Documentation and handover.</w:t>
      </w:r>
    </w:p>
    <w:p>
      <w:pPr>
        <w:pStyle w:val="ListBullet"/>
      </w:pPr>
      <w:r>
        <w:t>Project coordination and technical review.</w:t>
      </w:r>
    </w:p>
    <w:p>
      <w:r>
        <w:t>For each work package, estimate the effort in person-hours or person-days.</w:t>
      </w:r>
    </w:p>
    <w:p>
      <w:r>
        <w:t>The labor cost is:</w:t>
      </w:r>
    </w:p>
    <w:p>
      <w:pPr>
        <w:spacing w:before="120" w:after="160"/>
        <w:jc w:val="center"/>
      </w:pPr>
      <m:oMathPara>
        <m:oMath>
          <m:sSub>
            <m:e>
              <m:r>
                <m:t>C</m:t>
              </m:r>
            </m:e>
            <m:sub>
              <m:r>
                <m:rPr>
                  <m:nor/>
                </m:rPr>
                <m:t>labor</m:t>
              </m:r>
            </m:sub>
          </m:sSub>
          <m:r>
            <m:t>=</m:t>
          </m:r>
          <m:nary>
            <m:naryPr>
              <m:chr m:val="∑"/>
              <m:limLoc m:val="subSup"/>
              <m:grow m:val="1"/>
              <m:subHide m:val="off"/>
              <m:supHide m:val="off"/>
            </m:naryPr>
            <m:sub>
              <m:r>
                <m:t>j=1</m:t>
              </m:r>
            </m:sub>
            <m:sup>
              <m:r>
                <m:t>m</m:t>
              </m:r>
            </m:sup>
            <m:e>
              <m:sSub>
                <m:e>
                  <m:r>
                    <m:t>H</m:t>
                  </m:r>
                </m:e>
                <m:sub>
                  <m:r>
                    <m:t>j</m:t>
                  </m:r>
                </m:sub>
              </m:sSub>
            </m:e>
          </m:nary>
          <m:sSub>
            <m:e>
              <m:r>
                <m:t>R</m:t>
              </m:r>
            </m:e>
            <m:sub>
              <m:r>
                <m:t>j</m:t>
              </m:r>
            </m:sub>
          </m:sSub>
        </m:oMath>
      </m:oMathPara>
    </w:p>
    <w:p>
      <w:r>
        <w:t>Where:</w:t>
      </w:r>
    </w:p>
    <w:p>
      <w:pPr>
        <w:pStyle w:val="ListBullet"/>
      </w:pPr>
      <m:oMath>
        <m:sSub>
          <m:e>
            <m:r>
              <m:t>H</m:t>
            </m:r>
          </m:e>
          <m:sub>
            <m:r>
              <m:t>j</m:t>
            </m:r>
          </m:sub>
        </m:sSub>
      </m:oMath>
      <w:r>
        <w:t xml:space="preserve"> is the estimated labor hours for role or activity </w:t>
      </w:r>
      <m:oMath>
        <m:r>
          <m:t>j</m:t>
        </m:r>
      </m:oMath>
      <w:r>
        <w:t>.</w:t>
      </w:r>
    </w:p>
    <w:p>
      <w:pPr>
        <w:pStyle w:val="ListBullet"/>
      </w:pPr>
      <m:oMath>
        <m:sSub>
          <m:e>
            <m:r>
              <m:t>R</m:t>
            </m:r>
          </m:e>
          <m:sub>
            <m:r>
              <m:t>j</m:t>
            </m:r>
          </m:sub>
        </m:sSub>
      </m:oMath>
      <w:r>
        <w:t xml:space="preserve"> is the applicable hourly labor rate.</w:t>
      </w:r>
    </w:p>
    <w:p>
      <w:pPr>
        <w:pStyle w:val="ListBullet"/>
      </w:pPr>
      <m:oMath>
        <m:r>
          <m:t>m</m:t>
        </m:r>
      </m:oMath>
      <w:r>
        <w:t xml:space="preserve"> is the number of labor categories or activities.</w:t>
      </w:r>
    </w:p>
    <w:p>
      <w:r>
        <w:t>For example, 40 engineering hours at ₹900 per hour result in:</w:t>
      </w:r>
    </w:p>
    <w:p>
      <w:pPr>
        <w:spacing w:before="120" w:after="160"/>
        <w:jc w:val="center"/>
      </w:pPr>
      <m:oMathPara>
        <m:oMath>
          <m:sSub>
            <m:e>
              <m:r>
                <m:t>C</m:t>
              </m:r>
            </m:e>
            <m:sub>
              <m:r>
                <m:rPr>
                  <m:nor/>
                </m:rPr>
                <m:t>labor</m:t>
              </m:r>
            </m:sub>
          </m:sSub>
          <m:r>
            <m:t>=40×₹900=₹36</m:t>
          </m:r>
          <m:r>
            <m:t>,</m:t>
          </m:r>
          <m:r>
            <m:t>000</m:t>
          </m:r>
        </m:oMath>
      </m:oMathPara>
    </w:p>
    <w:p>
      <w:r>
        <w:t>The hourly rate should follow the organization's approved costing method. It may include salary cost only, or a loaded rate that also covers benefits, facilities, and allocated overheads. The estimate must state which basis is used to avoid double counting.</w:t>
      </w:r>
    </w:p>
    <w:p>
      <w:pPr>
        <w:pStyle w:val="Heading2"/>
      </w:pPr>
      <w:r>
        <w:t>11. Estimate labor by activity, not by guesswork</w:t>
      </w:r>
    </w:p>
    <w:p>
      <w:r>
        <w:t>A practical labor estimate can be organized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Unit</w:t>
            </w:r>
          </w:p>
        </w:tc>
        <w:tc>
          <w:tcPr>
            <w:tcW w:type="dxa" w:w="3600"/>
            <w:shd w:val="clear" w:color="auto" w:fill="EEF2F7"/>
          </w:tcPr>
          <w:p>
            <w:pPr>
              <w:spacing w:after="0" w:before="0" w:line="240" w:lineRule="auto"/>
              <w:jc w:val="left"/>
            </w:pPr>
            <w:r>
              <w:rPr>
                <w:b/>
                <w:color w:val="1A2E4A"/>
              </w:rPr>
              <w:t>Estimation basis</w:t>
            </w:r>
          </w:p>
        </w:tc>
      </w:tr>
      <w:tr>
        <w:tc>
          <w:tcPr>
            <w:tcW w:type="dxa" w:w="3600"/>
          </w:tcPr>
          <w:p>
            <w:pPr>
              <w:spacing w:after="0" w:before="0" w:line="240" w:lineRule="auto"/>
              <w:jc w:val="left"/>
            </w:pPr>
            <w:r>
              <w:t>Site survey</w:t>
            </w:r>
          </w:p>
        </w:tc>
        <w:tc>
          <w:tcPr>
            <w:tcW w:type="dxa" w:w="3600"/>
          </w:tcPr>
          <w:p>
            <w:pPr>
              <w:spacing w:after="0" w:before="0" w:line="240" w:lineRule="auto"/>
              <w:jc w:val="left"/>
            </w:pPr>
            <w:r>
              <w:t>Person-hours</w:t>
            </w:r>
          </w:p>
        </w:tc>
        <w:tc>
          <w:tcPr>
            <w:tcW w:type="dxa" w:w="3600"/>
          </w:tcPr>
          <w:p>
            <w:pPr>
              <w:spacing w:after="0" w:before="0" w:line="240" w:lineRule="auto"/>
              <w:jc w:val="left"/>
            </w:pPr>
            <w:r>
              <w:t>Number of machines, access conditions, survey depth</w:t>
            </w:r>
          </w:p>
        </w:tc>
      </w:tr>
      <w:tr>
        <w:tc>
          <w:tcPr>
            <w:tcW w:type="dxa" w:w="3600"/>
          </w:tcPr>
          <w:p>
            <w:pPr>
              <w:spacing w:after="0" w:before="0" w:line="240" w:lineRule="auto"/>
              <w:jc w:val="left"/>
            </w:pPr>
            <w:r>
              <w:t>Electrical design</w:t>
            </w:r>
          </w:p>
        </w:tc>
        <w:tc>
          <w:tcPr>
            <w:tcW w:type="dxa" w:w="3600"/>
          </w:tcPr>
          <w:p>
            <w:pPr>
              <w:spacing w:after="0" w:before="0" w:line="240" w:lineRule="auto"/>
              <w:jc w:val="left"/>
            </w:pPr>
            <w:r>
              <w:t>Person-hours</w:t>
            </w:r>
          </w:p>
        </w:tc>
        <w:tc>
          <w:tcPr>
            <w:tcW w:type="dxa" w:w="3600"/>
          </w:tcPr>
          <w:p>
            <w:pPr>
              <w:spacing w:after="0" w:before="0" w:line="240" w:lineRule="auto"/>
              <w:jc w:val="left"/>
            </w:pPr>
            <w:r>
              <w:t>Drawing count, complexity, number of interfaces</w:t>
            </w:r>
          </w:p>
        </w:tc>
      </w:tr>
      <w:tr>
        <w:tc>
          <w:tcPr>
            <w:tcW w:type="dxa" w:w="3600"/>
          </w:tcPr>
          <w:p>
            <w:pPr>
              <w:spacing w:after="0" w:before="0" w:line="240" w:lineRule="auto"/>
              <w:jc w:val="left"/>
            </w:pPr>
            <w:r>
              <w:t>PLC programming</w:t>
            </w:r>
          </w:p>
        </w:tc>
        <w:tc>
          <w:tcPr>
            <w:tcW w:type="dxa" w:w="3600"/>
          </w:tcPr>
          <w:p>
            <w:pPr>
              <w:spacing w:after="0" w:before="0" w:line="240" w:lineRule="auto"/>
              <w:jc w:val="left"/>
            </w:pPr>
            <w:r>
              <w:t>Person-hours</w:t>
            </w:r>
          </w:p>
        </w:tc>
        <w:tc>
          <w:tcPr>
            <w:tcW w:type="dxa" w:w="3600"/>
          </w:tcPr>
          <w:p>
            <w:pPr>
              <w:spacing w:after="0" w:before="0" w:line="240" w:lineRule="auto"/>
              <w:jc w:val="left"/>
            </w:pPr>
            <w:r>
              <w:t>Sequence complexity, I/O count, reuse of existing code</w:t>
            </w:r>
          </w:p>
        </w:tc>
      </w:tr>
      <w:tr>
        <w:tc>
          <w:tcPr>
            <w:tcW w:type="dxa" w:w="3600"/>
          </w:tcPr>
          <w:p>
            <w:pPr>
              <w:spacing w:after="0" w:before="0" w:line="240" w:lineRule="auto"/>
              <w:jc w:val="left"/>
            </w:pPr>
            <w:r>
              <w:t>HMI development</w:t>
            </w:r>
          </w:p>
        </w:tc>
        <w:tc>
          <w:tcPr>
            <w:tcW w:type="dxa" w:w="3600"/>
          </w:tcPr>
          <w:p>
            <w:pPr>
              <w:spacing w:after="0" w:before="0" w:line="240" w:lineRule="auto"/>
              <w:jc w:val="left"/>
            </w:pPr>
            <w:r>
              <w:t>Person-hours</w:t>
            </w:r>
          </w:p>
        </w:tc>
        <w:tc>
          <w:tcPr>
            <w:tcW w:type="dxa" w:w="3600"/>
          </w:tcPr>
          <w:p>
            <w:pPr>
              <w:spacing w:after="0" w:before="0" w:line="240" w:lineRule="auto"/>
              <w:jc w:val="left"/>
            </w:pPr>
            <w:r>
              <w:t>Screens, alarms, recipes, access roles</w:t>
            </w:r>
          </w:p>
        </w:tc>
      </w:tr>
      <w:tr>
        <w:tc>
          <w:tcPr>
            <w:tcW w:type="dxa" w:w="3600"/>
          </w:tcPr>
          <w:p>
            <w:pPr>
              <w:spacing w:after="0" w:before="0" w:line="240" w:lineRule="auto"/>
              <w:jc w:val="left"/>
            </w:pPr>
            <w:r>
              <w:t>Device integration</w:t>
            </w:r>
          </w:p>
        </w:tc>
        <w:tc>
          <w:tcPr>
            <w:tcW w:type="dxa" w:w="3600"/>
          </w:tcPr>
          <w:p>
            <w:pPr>
              <w:spacing w:after="0" w:before="0" w:line="240" w:lineRule="auto"/>
              <w:jc w:val="left"/>
            </w:pPr>
            <w:r>
              <w:t>Person-hours</w:t>
            </w:r>
          </w:p>
        </w:tc>
        <w:tc>
          <w:tcPr>
            <w:tcW w:type="dxa" w:w="3600"/>
          </w:tcPr>
          <w:p>
            <w:pPr>
              <w:spacing w:after="0" w:before="0" w:line="240" w:lineRule="auto"/>
              <w:jc w:val="left"/>
            </w:pPr>
            <w:r>
              <w:t>Number and complexity of drive, robot, CNC interfaces</w:t>
            </w:r>
          </w:p>
        </w:tc>
      </w:tr>
      <w:tr>
        <w:tc>
          <w:tcPr>
            <w:tcW w:type="dxa" w:w="3600"/>
          </w:tcPr>
          <w:p>
            <w:pPr>
              <w:spacing w:after="0" w:before="0" w:line="240" w:lineRule="auto"/>
              <w:jc w:val="left"/>
            </w:pPr>
            <w:r>
              <w:t>Panel assembly</w:t>
            </w:r>
          </w:p>
        </w:tc>
        <w:tc>
          <w:tcPr>
            <w:tcW w:type="dxa" w:w="3600"/>
          </w:tcPr>
          <w:p>
            <w:pPr>
              <w:spacing w:after="0" w:before="0" w:line="240" w:lineRule="auto"/>
              <w:jc w:val="left"/>
            </w:pPr>
            <w:r>
              <w:t>Person-hours</w:t>
            </w:r>
          </w:p>
        </w:tc>
        <w:tc>
          <w:tcPr>
            <w:tcW w:type="dxa" w:w="3600"/>
          </w:tcPr>
          <w:p>
            <w:pPr>
              <w:spacing w:after="0" w:before="0" w:line="240" w:lineRule="auto"/>
              <w:jc w:val="left"/>
            </w:pPr>
            <w:r>
              <w:t>Panel size, component count, wiring complexity</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Person-hours</w:t>
            </w:r>
          </w:p>
        </w:tc>
        <w:tc>
          <w:tcPr>
            <w:tcW w:type="dxa" w:w="3600"/>
          </w:tcPr>
          <w:p>
            <w:pPr>
              <w:spacing w:after="0" w:before="0" w:line="240" w:lineRule="auto"/>
              <w:jc w:val="left"/>
            </w:pPr>
            <w:r>
              <w:t>Cable routes, mounting, accessibility, shutdown window</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Person-hours</w:t>
            </w:r>
          </w:p>
        </w:tc>
        <w:tc>
          <w:tcPr>
            <w:tcW w:type="dxa" w:w="3600"/>
          </w:tcPr>
          <w:p>
            <w:pPr>
              <w:spacing w:after="0" w:before="0" w:line="240" w:lineRule="auto"/>
              <w:jc w:val="left"/>
            </w:pPr>
            <w:r>
              <w:t>Number of functions, integration risks, test depth</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Person-hours</w:t>
            </w:r>
          </w:p>
        </w:tc>
        <w:tc>
          <w:tcPr>
            <w:tcW w:type="dxa" w:w="3600"/>
          </w:tcPr>
          <w:p>
            <w:pPr>
              <w:spacing w:after="0" w:before="0" w:line="240" w:lineRule="auto"/>
              <w:jc w:val="left"/>
            </w:pPr>
            <w:r>
              <w:t>Required drawing, software, test, and handover packages</w:t>
            </w:r>
          </w:p>
        </w:tc>
      </w:tr>
      <w:tr>
        <w:tc>
          <w:tcPr>
            <w:tcW w:type="dxa" w:w="3600"/>
          </w:tcPr>
          <w:p>
            <w:pPr>
              <w:spacing w:after="0" w:before="0" w:line="240" w:lineRule="auto"/>
              <w:jc w:val="left"/>
            </w:pPr>
            <w:r>
              <w:t>Project management</w:t>
            </w:r>
          </w:p>
        </w:tc>
        <w:tc>
          <w:tcPr>
            <w:tcW w:type="dxa" w:w="3600"/>
          </w:tcPr>
          <w:p>
            <w:pPr>
              <w:spacing w:after="0" w:before="0" w:line="240" w:lineRule="auto"/>
              <w:jc w:val="left"/>
            </w:pPr>
            <w:r>
              <w:t>Person-hours</w:t>
            </w:r>
          </w:p>
        </w:tc>
        <w:tc>
          <w:tcPr>
            <w:tcW w:type="dxa" w:w="3600"/>
          </w:tcPr>
          <w:p>
            <w:pPr>
              <w:spacing w:after="0" w:before="0" w:line="240" w:lineRule="auto"/>
              <w:jc w:val="left"/>
            </w:pPr>
            <w:r>
              <w:t>Supplier coordination, schedule, change control</w:t>
            </w:r>
          </w:p>
        </w:tc>
      </w:tr>
    </w:tbl>
    <w:p/>
    <w:p>
      <w:r>
        <w:t>The number of I/O points is a useful estimation input, but it is not a complete measure of programming effort. Ten complex motion axes may require more engineering than hundreds of simple digital signals.</w:t>
      </w:r>
    </w:p>
    <w:p>
      <w:r>
        <w:t>Existing program quality, machine-state complexity, fault-recovery requirements, and integration constraints often dominate the effort.</w:t>
      </w:r>
    </w:p>
    <w:p>
      <w:pPr>
        <w:pStyle w:val="Heading2"/>
      </w:pPr>
      <w:r>
        <w:t>12. Estimate panel manufacturing and installation</w:t>
      </w:r>
    </w:p>
    <w:p>
      <w:r>
        <w:t>Panel manufacturing and site installation should be estimated separately when their cost structures differ.</w:t>
      </w:r>
    </w:p>
    <w:p>
      <w:r>
        <w:t>Panel manufacturing may include:</w:t>
      </w:r>
    </w:p>
    <w:p>
      <w:pPr>
        <w:pStyle w:val="ListBullet"/>
      </w:pPr>
      <w:r>
        <w:t>Panel design and layout.</w:t>
      </w:r>
    </w:p>
    <w:p>
      <w:pPr>
        <w:pStyle w:val="ListBullet"/>
      </w:pPr>
      <w:r>
        <w:t>Enclosure preparation.</w:t>
      </w:r>
    </w:p>
    <w:p>
      <w:pPr>
        <w:pStyle w:val="ListBullet"/>
      </w:pPr>
      <w:r>
        <w:t>Component mounting.</w:t>
      </w:r>
    </w:p>
    <w:p>
      <w:pPr>
        <w:pStyle w:val="ListBullet"/>
      </w:pPr>
      <w:r>
        <w:t>Internal wiring.</w:t>
      </w:r>
    </w:p>
    <w:p>
      <w:pPr>
        <w:pStyle w:val="ListBullet"/>
      </w:pPr>
      <w:r>
        <w:t>Wire numbering and labeling.</w:t>
      </w:r>
    </w:p>
    <w:p>
      <w:pPr>
        <w:pStyle w:val="ListBullet"/>
      </w:pPr>
      <w:r>
        <w:t>Inspection.</w:t>
      </w:r>
    </w:p>
    <w:p>
      <w:pPr>
        <w:pStyle w:val="ListBullet"/>
      </w:pPr>
      <w:r>
        <w:t>Electrical tests.</w:t>
      </w:r>
    </w:p>
    <w:p>
      <w:pPr>
        <w:pStyle w:val="ListBullet"/>
      </w:pPr>
      <w:r>
        <w:t>FAT preparation and execution.</w:t>
      </w:r>
    </w:p>
    <w:p>
      <w:r>
        <w:t>Site installation may include:</w:t>
      </w:r>
    </w:p>
    <w:p>
      <w:pPr>
        <w:pStyle w:val="ListBullet"/>
      </w:pPr>
      <w:r>
        <w:t>Machine isolation and preparation.</w:t>
      </w:r>
    </w:p>
    <w:p>
      <w:pPr>
        <w:pStyle w:val="ListBullet"/>
      </w:pPr>
      <w:r>
        <w:t>Removal of existing equipment.</w:t>
      </w:r>
    </w:p>
    <w:p>
      <w:pPr>
        <w:pStyle w:val="ListBullet"/>
      </w:pPr>
      <w:r>
        <w:t>Panel placement and mounting.</w:t>
      </w:r>
    </w:p>
    <w:p>
      <w:pPr>
        <w:pStyle w:val="ListBullet"/>
      </w:pPr>
      <w:r>
        <w:t>Cable tray or conduit modification.</w:t>
      </w:r>
    </w:p>
    <w:p>
      <w:pPr>
        <w:pStyle w:val="ListBullet"/>
      </w:pPr>
      <w:r>
        <w:t>Power and control cable installation.</w:t>
      </w:r>
    </w:p>
    <w:p>
      <w:pPr>
        <w:pStyle w:val="ListBullet"/>
      </w:pPr>
      <w:r>
        <w:t>Field-device connections.</w:t>
      </w:r>
    </w:p>
    <w:p>
      <w:pPr>
        <w:pStyle w:val="ListBullet"/>
      </w:pPr>
      <w:r>
        <w:t>Network cabling.</w:t>
      </w:r>
    </w:p>
    <w:p>
      <w:pPr>
        <w:pStyle w:val="ListBullet"/>
      </w:pPr>
      <w:r>
        <w:t>Earthing and bonding.</w:t>
      </w:r>
    </w:p>
    <w:p>
      <w:pPr>
        <w:pStyle w:val="ListBullet"/>
      </w:pPr>
      <w:r>
        <w:t>Point-to-point testing.</w:t>
      </w:r>
    </w:p>
    <w:p>
      <w:pPr>
        <w:pStyle w:val="ListBullet"/>
      </w:pPr>
      <w:r>
        <w:t>Cleanup and restoration.</w:t>
      </w:r>
    </w:p>
    <w:p>
      <w:r>
        <w:t>Installation effort depends heavily on site conditions. A retrofit in a crowded operating plant may require more access planning, isolation, and restricted work windows than a new machine assembled in a workshop.</w:t>
      </w:r>
    </w:p>
    <w:p>
      <w:r>
        <w:t>Include the expected shutdown window and distinguish work performed during production from work performed during planned downtime.</w:t>
      </w:r>
    </w:p>
    <w:p>
      <w:pPr>
        <w:pStyle w:val="Heading2"/>
      </w:pPr>
      <w:r>
        <w:t>13. Estimate software, licenses, and technical services</w:t>
      </w:r>
    </w:p>
    <w:p>
      <w:r>
        <w:t>Software costs may include:</w:t>
      </w:r>
    </w:p>
    <w:p>
      <w:pPr>
        <w:pStyle w:val="ListBullet"/>
      </w:pPr>
      <w:r>
        <w:t>PLC engineering software.</w:t>
      </w:r>
    </w:p>
    <w:p>
      <w:pPr>
        <w:pStyle w:val="ListBullet"/>
      </w:pPr>
      <w:r>
        <w:t>HMI runtime licenses.</w:t>
      </w:r>
    </w:p>
    <w:p>
      <w:pPr>
        <w:pStyle w:val="ListBullet"/>
      </w:pPr>
      <w:r>
        <w:t>SCADA tags or runtime licenses.</w:t>
      </w:r>
    </w:p>
    <w:p>
      <w:pPr>
        <w:pStyle w:val="ListBullet"/>
      </w:pPr>
      <w:r>
        <w:t>Historian or database software.</w:t>
      </w:r>
    </w:p>
    <w:p>
      <w:pPr>
        <w:pStyle w:val="ListBullet"/>
      </w:pPr>
      <w:r>
        <w:t>OPC or protocol gateway licenses.</w:t>
      </w:r>
    </w:p>
    <w:p>
      <w:pPr>
        <w:pStyle w:val="ListBullet"/>
      </w:pPr>
      <w:r>
        <w:t>Robot or CNC software options.</w:t>
      </w:r>
    </w:p>
    <w:p>
      <w:pPr>
        <w:pStyle w:val="ListBullet"/>
      </w:pPr>
      <w:r>
        <w:t>Motion-control options.</w:t>
      </w:r>
    </w:p>
    <w:p>
      <w:pPr>
        <w:pStyle w:val="ListBullet"/>
      </w:pPr>
      <w:r>
        <w:t>Configuration tools.</w:t>
      </w:r>
    </w:p>
    <w:p>
      <w:pPr>
        <w:pStyle w:val="ListBullet"/>
      </w:pPr>
      <w:r>
        <w:t>Annual subscriptions or support agreements.</w:t>
      </w:r>
    </w:p>
    <w:p>
      <w:pPr>
        <w:pStyle w:val="ListBullet"/>
      </w:pPr>
      <w:r>
        <w:t>Vendor commissioning services.</w:t>
      </w:r>
    </w:p>
    <w:p>
      <w:r>
        <w:t>Check whether licenses are perpetual, subscription-based, node-locked, floating, or tied to particular hardware. Confirm whether the supplier's quotation includes the required engineering access, runtime rights, and backup files.</w:t>
      </w:r>
    </w:p>
    <w:p>
      <w:r>
        <w:t>A project can be physically complete but operationally unusable if the required license is missing or the customer cannot access the configuration.</w:t>
      </w:r>
    </w:p>
    <w:p>
      <w:r>
        <w:t>Also distinguish between:</w:t>
      </w:r>
    </w:p>
    <w:p>
      <w:pPr>
        <w:pStyle w:val="ListBullet"/>
      </w:pPr>
      <w:r>
        <w:t>A license that is purchased once.</w:t>
      </w:r>
    </w:p>
    <w:p>
      <w:pPr>
        <w:pStyle w:val="ListBullet"/>
      </w:pPr>
      <w:r>
        <w:t>A recurring maintenance or subscription charge.</w:t>
      </w:r>
    </w:p>
    <w:p>
      <w:pPr>
        <w:pStyle w:val="ListBullet"/>
      </w:pPr>
      <w:r>
        <w:t>A vendor service charge.</w:t>
      </w:r>
    </w:p>
    <w:p>
      <w:pPr>
        <w:pStyle w:val="ListBullet"/>
      </w:pPr>
      <w:r>
        <w:t>An internal engineering cost.</w:t>
      </w:r>
    </w:p>
    <w:p>
      <w:r>
        <w:t>These items may have different treatment in capital budgeting and lifecycle analysis.</w:t>
      </w:r>
    </w:p>
    <w:p>
      <w:pPr>
        <w:pStyle w:val="Heading2"/>
      </w:pPr>
      <w:r>
        <w:t>14. Estimate testing and commissioning</w:t>
      </w:r>
    </w:p>
    <w:p>
      <w:r>
        <w:t>Testing and commissioning must be budgeted as real engineering work.</w:t>
      </w:r>
    </w:p>
    <w:p>
      <w:r>
        <w:t>Include, where applicable:</w:t>
      </w:r>
    </w:p>
    <w:p>
      <w:pPr>
        <w:pStyle w:val="ListBullet"/>
      </w:pPr>
      <w:r>
        <w:t>Factory Acceptance Test (FAT).</w:t>
      </w:r>
    </w:p>
    <w:p>
      <w:pPr>
        <w:pStyle w:val="ListBullet"/>
      </w:pPr>
      <w:r>
        <w:t>Site Acceptance Test (SAT).</w:t>
      </w:r>
    </w:p>
    <w:p>
      <w:pPr>
        <w:pStyle w:val="ListBullet"/>
      </w:pPr>
      <w:r>
        <w:t>I/O checks.</w:t>
      </w:r>
    </w:p>
    <w:p>
      <w:pPr>
        <w:pStyle w:val="ListBullet"/>
      </w:pPr>
      <w:r>
        <w:t>Sequence testing.</w:t>
      </w:r>
    </w:p>
    <w:p>
      <w:pPr>
        <w:pStyle w:val="ListBullet"/>
      </w:pPr>
      <w:r>
        <w:t>Communication and handshake testing.</w:t>
      </w:r>
    </w:p>
    <w:p>
      <w:pPr>
        <w:pStyle w:val="ListBullet"/>
      </w:pPr>
      <w:r>
        <w:t>Safety-function validation.</w:t>
      </w:r>
    </w:p>
    <w:p>
      <w:pPr>
        <w:pStyle w:val="ListBullet"/>
      </w:pPr>
      <w:r>
        <w:t>Drive and motion tuning.</w:t>
      </w:r>
    </w:p>
    <w:p>
      <w:pPr>
        <w:pStyle w:val="ListBullet"/>
      </w:pPr>
      <w:r>
        <w:t>Robot/CNC integration testing.</w:t>
      </w:r>
    </w:p>
    <w:p>
      <w:pPr>
        <w:pStyle w:val="ListBullet"/>
      </w:pPr>
      <w:r>
        <w:t>Cycle-time verification.</w:t>
      </w:r>
    </w:p>
    <w:p>
      <w:pPr>
        <w:pStyle w:val="ListBullet"/>
      </w:pPr>
      <w:r>
        <w:t>Quality validation.</w:t>
      </w:r>
    </w:p>
    <w:p>
      <w:pPr>
        <w:pStyle w:val="ListBullet"/>
      </w:pPr>
      <w:r>
        <w:t>Fault-recovery testing.</w:t>
      </w:r>
    </w:p>
    <w:p>
      <w:pPr>
        <w:pStyle w:val="ListBullet"/>
      </w:pPr>
      <w:r>
        <w:t>Production trial.</w:t>
      </w:r>
    </w:p>
    <w:p>
      <w:pPr>
        <w:pStyle w:val="ListBullet"/>
      </w:pPr>
      <w:r>
        <w:t>Operator and maintenance training.</w:t>
      </w:r>
    </w:p>
    <w:p>
      <w:r>
        <w:t>A useful approach is to estimate the effort by test activity and technical risk rather than applying an arbitrary percentage to hardware cost.</w:t>
      </w:r>
    </w:p>
    <w:p>
      <w:r>
        <w:t>Commissioning effort is affected by:</w:t>
      </w:r>
    </w:p>
    <w:p>
      <w:pPr>
        <w:pStyle w:val="ListBullet"/>
      </w:pPr>
      <w:r>
        <w:t>Number of operating modes.</w:t>
      </w:r>
    </w:p>
    <w:p>
      <w:pPr>
        <w:pStyle w:val="ListBullet"/>
      </w:pPr>
      <w:r>
        <w:t>Number of interfaces.</w:t>
      </w:r>
    </w:p>
    <w:p>
      <w:pPr>
        <w:pStyle w:val="ListBullet"/>
      </w:pPr>
      <w:r>
        <w:t>Existing machine condition.</w:t>
      </w:r>
    </w:p>
    <w:p>
      <w:pPr>
        <w:pStyle w:val="ListBullet"/>
      </w:pPr>
      <w:r>
        <w:t>Availability of offline simulation.</w:t>
      </w:r>
    </w:p>
    <w:p>
      <w:pPr>
        <w:pStyle w:val="ListBullet"/>
      </w:pPr>
      <w:r>
        <w:t>Access to source programs and documentation.</w:t>
      </w:r>
    </w:p>
    <w:p>
      <w:pPr>
        <w:pStyle w:val="ListBullet"/>
      </w:pPr>
      <w:r>
        <w:t>Mechanical readiness.</w:t>
      </w:r>
    </w:p>
    <w:p>
      <w:pPr>
        <w:pStyle w:val="ListBullet"/>
      </w:pPr>
      <w:r>
        <w:t>Production constraints.</w:t>
      </w:r>
    </w:p>
    <w:p>
      <w:pPr>
        <w:pStyle w:val="ListBullet"/>
      </w:pPr>
      <w:r>
        <w:t>Required acceptance evidence.</w:t>
      </w:r>
    </w:p>
    <w:p>
      <w:r>
        <w:t>Where the estimate assumes that the machine is mechanically ready, the assumption should be stated. Mechanical delays can otherwise become unplanned automation commissioning costs.</w:t>
      </w:r>
    </w:p>
    <w:p>
      <w:pPr>
        <w:pStyle w:val="Heading2"/>
      </w:pPr>
      <w:r>
        <w:t>15. Estimate vendor services and external support</w:t>
      </w:r>
    </w:p>
    <w:p>
      <w:r>
        <w:t>Some activities are better performed by the original equipment manufacturer (OEM), a system integrator, or a specialist vendor.</w:t>
      </w:r>
    </w:p>
    <w:p>
      <w:r>
        <w:t>Examples include:</w:t>
      </w:r>
    </w:p>
    <w:p>
      <w:pPr>
        <w:pStyle w:val="ListBullet"/>
      </w:pPr>
      <w:r>
        <w:t>PLC or CNC software access.</w:t>
      </w:r>
    </w:p>
    <w:p>
      <w:pPr>
        <w:pStyle w:val="ListBullet"/>
      </w:pPr>
      <w:r>
        <w:t>Robot program modification.</w:t>
      </w:r>
    </w:p>
    <w:p>
      <w:pPr>
        <w:pStyle w:val="ListBullet"/>
      </w:pPr>
      <w:r>
        <w:t>CNC parameter backup and restoration.</w:t>
      </w:r>
    </w:p>
    <w:p>
      <w:pPr>
        <w:pStyle w:val="ListBullet"/>
      </w:pPr>
      <w:r>
        <w:t>Proprietary communication setup.</w:t>
      </w:r>
    </w:p>
    <w:p>
      <w:pPr>
        <w:pStyle w:val="ListBullet"/>
      </w:pPr>
      <w:r>
        <w:t>Safety-system validation.</w:t>
      </w:r>
    </w:p>
    <w:p>
      <w:pPr>
        <w:pStyle w:val="ListBullet"/>
      </w:pPr>
      <w:r>
        <w:t>Specialized servo tuning.</w:t>
      </w:r>
    </w:p>
    <w:p>
      <w:pPr>
        <w:pStyle w:val="ListBullet"/>
      </w:pPr>
      <w:r>
        <w:t>Machine-builder mechanical modifications.</w:t>
      </w:r>
    </w:p>
    <w:p>
      <w:pPr>
        <w:pStyle w:val="ListBullet"/>
      </w:pPr>
      <w:r>
        <w:t>SCADA integration.</w:t>
      </w:r>
    </w:p>
    <w:p>
      <w:pPr>
        <w:pStyle w:val="ListBullet"/>
      </w:pPr>
      <w:r>
        <w:t>Specialized calibration and measurement.</w:t>
      </w:r>
    </w:p>
    <w:p>
      <w:pPr>
        <w:pStyle w:val="ListBullet"/>
      </w:pPr>
      <w:r>
        <w:t>Manufacturer-specific commissioning.</w:t>
      </w:r>
    </w:p>
    <w:p>
      <w:r>
        <w:t>For each external service, define the required deliverable, estimated days, applicable rate, travel requirements, and commercial terms.</w:t>
      </w:r>
    </w:p>
    <w:p>
      <w:r>
        <w:t>A typical calculation is:</w:t>
      </w:r>
    </w:p>
    <w:p>
      <w:pPr>
        <w:spacing w:before="120" w:after="160"/>
        <w:jc w:val="center"/>
      </w:pPr>
      <m:oMathPara>
        <m:oMath>
          <m:sSub>
            <m:e>
              <m:r>
                <m:t>C</m:t>
              </m:r>
            </m:e>
            <m:sub>
              <m:r>
                <m:rPr>
                  <m:nor/>
                </m:rPr>
                <m:t>vendor service</m:t>
              </m:r>
            </m:sub>
          </m:sSub>
          <m:r>
            <m:t>=D×</m:t>
          </m:r>
          <m:sSub>
            <m:e>
              <m:r>
                <m:t>R</m:t>
              </m:r>
            </m:e>
            <m:sub>
              <m:r>
                <m:t>d</m:t>
              </m:r>
            </m:sub>
          </m:sSub>
          <m:r>
            <m:t>+</m:t>
          </m:r>
          <m:sSub>
            <m:e>
              <m:r>
                <m:t>C</m:t>
              </m:r>
            </m:e>
            <m:sub>
              <m:r>
                <m:rPr>
                  <m:nor/>
                </m:rPr>
                <m:t>travel</m:t>
              </m:r>
            </m:sub>
          </m:sSub>
          <m:r>
            <m:t>+</m:t>
          </m:r>
          <m:sSub>
            <m:e>
              <m:r>
                <m:t>C</m:t>
              </m:r>
            </m:e>
            <m:sub>
              <m:r>
                <m:rPr>
                  <m:nor/>
                </m:rPr>
                <m:t>other</m:t>
              </m:r>
            </m:sub>
          </m:sSub>
        </m:oMath>
      </m:oMathPara>
    </w:p>
    <w:p>
      <w:r>
        <w:t xml:space="preserve">Where </w:t>
      </w:r>
      <m:oMath>
        <m:r>
          <m:t>D</m:t>
        </m:r>
      </m:oMath>
      <w:r>
        <w:t xml:space="preserve"> is the number of service days and </w:t>
      </w:r>
      <m:oMath>
        <m:sSub>
          <m:e>
            <m:r>
              <m:t>R</m:t>
            </m:r>
          </m:e>
          <m:sub>
            <m:r>
              <m:t>d</m:t>
            </m:r>
          </m:sub>
        </m:sSub>
      </m:oMath>
      <w:r>
        <w:t xml:space="preserve"> is the daily service rate.</w:t>
      </w:r>
    </w:p>
    <w:p>
      <w:r>
        <w:t>Confirm whether travel time, accommodation, overtime, weekend work, taxes, and repeat visits are included in the quotation. A quoted daily rate without clear service conditions is not a complete estimate.</w:t>
      </w:r>
    </w:p>
    <w:p>
      <w:pPr>
        <w:pStyle w:val="Heading2"/>
      </w:pPr>
      <w:r>
        <w:t>16. Include logistics, taxes, and commercial charges</w:t>
      </w:r>
    </w:p>
    <w:p>
      <w:r>
        <w:t>The landed cost of equipment may differ from the supplier's quoted unit price.</w:t>
      </w:r>
    </w:p>
    <w:p>
      <w:r>
        <w:t>Potential additional costs include:</w:t>
      </w:r>
    </w:p>
    <w:p>
      <w:pPr>
        <w:pStyle w:val="ListBullet"/>
      </w:pPr>
      <w:r>
        <w:t>Packing and handling.</w:t>
      </w:r>
    </w:p>
    <w:p>
      <w:pPr>
        <w:pStyle w:val="ListBullet"/>
      </w:pPr>
      <w:r>
        <w:t>Freight and insurance.</w:t>
      </w:r>
    </w:p>
    <w:p>
      <w:pPr>
        <w:pStyle w:val="ListBullet"/>
      </w:pPr>
      <w:r>
        <w:t>Import duties, where applicable.</w:t>
      </w:r>
    </w:p>
    <w:p>
      <w:pPr>
        <w:pStyle w:val="ListBullet"/>
      </w:pPr>
      <w:r>
        <w:t>Customs clearance.</w:t>
      </w:r>
    </w:p>
    <w:p>
      <w:pPr>
        <w:pStyle w:val="ListBullet"/>
      </w:pPr>
      <w:r>
        <w:t>Applicable GST and other taxes.</w:t>
      </w:r>
    </w:p>
    <w:p>
      <w:pPr>
        <w:pStyle w:val="ListBullet"/>
      </w:pPr>
      <w:r>
        <w:t>Currency conversion.</w:t>
      </w:r>
    </w:p>
    <w:p>
      <w:pPr>
        <w:pStyle w:val="ListBullet"/>
      </w:pPr>
      <w:r>
        <w:t>Payment-related charges.</w:t>
      </w:r>
    </w:p>
    <w:p>
      <w:pPr>
        <w:pStyle w:val="ListBullet"/>
      </w:pPr>
      <w:r>
        <w:t>Delivery to the final plant location.</w:t>
      </w:r>
    </w:p>
    <w:p>
      <w:r>
        <w:t>A basic landed-cost calculation is:</w:t>
      </w:r>
    </w:p>
    <w:p>
      <w:pPr>
        <w:spacing w:before="120" w:after="160"/>
        <w:jc w:val="center"/>
      </w:pPr>
      <m:oMathPara>
        <m:oMath>
          <m:sSub>
            <m:e>
              <m:r>
                <m:t>C</m:t>
              </m:r>
            </m:e>
            <m:sub>
              <m:r>
                <m:rPr>
                  <m:nor/>
                </m:rPr>
                <m:t>landed</m:t>
              </m:r>
            </m:sub>
          </m:sSub>
          <m:r>
            <m:t>=</m:t>
          </m:r>
          <m:sSub>
            <m:e>
              <m:r>
                <m:t>C</m:t>
              </m:r>
            </m:e>
            <m:sub>
              <m:r>
                <m:rPr>
                  <m:nor/>
                </m:rPr>
                <m:t>goods</m:t>
              </m:r>
            </m:sub>
          </m:sSub>
          <m:r>
            <m:t>+</m:t>
          </m:r>
          <m:sSub>
            <m:e>
              <m:r>
                <m:t>C</m:t>
              </m:r>
            </m:e>
            <m:sub>
              <m:r>
                <m:rPr>
                  <m:nor/>
                </m:rPr>
                <m:t>freight</m:t>
              </m:r>
            </m:sub>
          </m:sSub>
          <m:r>
            <m:t>+</m:t>
          </m:r>
          <m:sSub>
            <m:e>
              <m:r>
                <m:t>C</m:t>
              </m:r>
            </m:e>
            <m:sub>
              <m:r>
                <m:rPr>
                  <m:nor/>
                </m:rPr>
                <m:t>insurance</m:t>
              </m:r>
            </m:sub>
          </m:sSub>
          <m:r>
            <m:t>+</m:t>
          </m:r>
          <m:sSub>
            <m:e>
              <m:r>
                <m:t>C</m:t>
              </m:r>
            </m:e>
            <m:sub>
              <m:r>
                <m:rPr>
                  <m:nor/>
                </m:rPr>
                <m:t>duties</m:t>
              </m:r>
            </m:sub>
          </m:sSub>
          <m:r>
            <m:t>+</m:t>
          </m:r>
          <m:sSub>
            <m:e>
              <m:r>
                <m:t>C</m:t>
              </m:r>
            </m:e>
            <m:sub>
              <m:r>
                <m:rPr>
                  <m:nor/>
                </m:rPr>
                <m:t>other</m:t>
              </m:r>
            </m:sub>
          </m:sSub>
        </m:oMath>
      </m:oMathPara>
    </w:p>
    <w:p>
      <w:r>
        <w:t>Tax treatment must be applied separately according to the actual transaction and the organization's accounting rules.</w:t>
      </w:r>
    </w:p>
    <w:p>
      <w:r>
        <w:t>For an Indian domestic procurement estimate, distinguish between the supplier's base price, applicable GST, and any freight or other charges. Recoverable input tax credit may be treated differently from a non-recoverable tax cost, depending on the organization's eligibility and accounting policy.</w:t>
      </w:r>
    </w:p>
    <w:p>
      <w:r>
        <w:t>Never add tax twice. If a vendor quotation already includes freight or GST, the estimate must reflect that fact.</w:t>
      </w:r>
    </w:p>
    <w:p>
      <w:pPr>
        <w:pStyle w:val="Heading2"/>
      </w:pPr>
      <w:r>
        <w:t>17. Calculate the project cost systematically</w:t>
      </w:r>
    </w:p>
    <w:p>
      <w:r>
        <w:t>A practical cost summary can use the following structure:</w:t>
      </w:r>
    </w:p>
    <w:p>
      <w:pPr>
        <w:spacing w:before="120" w:after="160"/>
        <w:jc w:val="center"/>
      </w:pPr>
      <m:oMathPara>
        <m:oMath>
          <m:sSub>
            <m:e>
              <m:r>
                <m:t>C</m:t>
              </m:r>
            </m:e>
            <m:sub>
              <m:r>
                <m:rPr>
                  <m:nor/>
                </m:rPr>
                <m:t>direct</m:t>
              </m:r>
            </m:sub>
          </m:sSub>
          <m:r>
            <m:t>=</m:t>
          </m:r>
          <m:sSub>
            <m:e>
              <m:r>
                <m:t>C</m:t>
              </m:r>
            </m:e>
            <m:sub>
              <m:r>
                <m:rPr>
                  <m:nor/>
                </m:rPr>
                <m:t>materials</m:t>
              </m:r>
            </m:sub>
          </m:sSub>
          <m:r>
            <m:t>+</m:t>
          </m:r>
          <m:sSub>
            <m:e>
              <m:r>
                <m:t>C</m:t>
              </m:r>
            </m:e>
            <m:sub>
              <m:r>
                <m:rPr>
                  <m:nor/>
                </m:rPr>
                <m:t>labor</m:t>
              </m:r>
            </m:sub>
          </m:sSub>
          <m:r>
            <m:t>+</m:t>
          </m:r>
          <m:sSub>
            <m:e>
              <m:r>
                <m:t>C</m:t>
              </m:r>
            </m:e>
            <m:sub>
              <m:r>
                <m:rPr>
                  <m:nor/>
                </m:rPr>
                <m:t>services</m:t>
              </m:r>
            </m:sub>
          </m:sSub>
          <m:r>
            <m:t>+</m:t>
          </m:r>
          <m:sSub>
            <m:e>
              <m:r>
                <m:t>C</m:t>
              </m:r>
            </m:e>
            <m:sub>
              <m:r>
                <m:rPr>
                  <m:nor/>
                </m:rPr>
                <m:t>installation</m:t>
              </m:r>
            </m:sub>
          </m:sSub>
        </m:oMath>
      </m:oMathPara>
    </w:p>
    <w:p>
      <w:r>
        <w:t>Then add applicable indirect costs and allowances:</w:t>
      </w:r>
    </w:p>
    <w:p>
      <w:pPr>
        <w:spacing w:before="120" w:after="160"/>
        <w:jc w:val="center"/>
      </w:pPr>
      <m:oMathPara>
        <m:oMath>
          <m:sSub>
            <m:e>
              <m:r>
                <m:t>C</m:t>
              </m:r>
            </m:e>
            <m:sub>
              <m:r>
                <m:rPr>
                  <m:nor/>
                </m:rPr>
                <m:t>pre-tax</m:t>
              </m:r>
            </m:sub>
          </m:sSub>
          <m:r>
            <m:t>=</m:t>
          </m:r>
          <m:sSub>
            <m:e>
              <m:r>
                <m:t>C</m:t>
              </m:r>
            </m:e>
            <m:sub>
              <m:r>
                <m:rPr>
                  <m:nor/>
                </m:rPr>
                <m:t>direct</m:t>
              </m:r>
            </m:sub>
          </m:sSub>
          <m:r>
            <m:t>+</m:t>
          </m:r>
          <m:sSub>
            <m:e>
              <m:r>
                <m:t>C</m:t>
              </m:r>
            </m:e>
            <m:sub>
              <m:r>
                <m:rPr>
                  <m:nor/>
                </m:rPr>
                <m:t>indirect</m:t>
              </m:r>
            </m:sub>
          </m:sSub>
          <m:r>
            <m:t>+</m:t>
          </m:r>
          <m:sSub>
            <m:e>
              <m:r>
                <m:t>C</m:t>
              </m:r>
            </m:e>
            <m:sub>
              <m:r>
                <m:rPr>
                  <m:nor/>
                </m:rPr>
                <m:t>contingency</m:t>
              </m:r>
            </m:sub>
          </m:sSub>
        </m:oMath>
      </m:oMathPara>
    </w:p>
    <w:p>
      <w:r>
        <w:t>The final amount payable may be calculated as:</w:t>
      </w:r>
    </w:p>
    <w:p>
      <w:pPr>
        <w:spacing w:before="120" w:after="160"/>
        <w:jc w:val="center"/>
      </w:pPr>
      <m:oMathPara>
        <m:oMath>
          <m:sSub>
            <m:e>
              <m:r>
                <m:t>C</m:t>
              </m:r>
            </m:e>
            <m:sub>
              <m:r>
                <m:rPr>
                  <m:nor/>
                </m:rPr>
                <m:t>final</m:t>
              </m:r>
            </m:sub>
          </m:sSub>
          <m:r>
            <m:t>=</m:t>
          </m:r>
          <m:sSub>
            <m:e>
              <m:r>
                <m:t>C</m:t>
              </m:r>
            </m:e>
            <m:sub>
              <m:r>
                <m:rPr>
                  <m:nor/>
                </m:rPr>
                <m:t>pre-tax</m:t>
              </m:r>
            </m:sub>
          </m:sSub>
          <m:r>
            <m:t>+</m:t>
          </m:r>
          <m:sSub>
            <m:e>
              <m:r>
                <m:t>C</m:t>
              </m:r>
            </m:e>
            <m:sub>
              <m:r>
                <m:rPr>
                  <m:nor/>
                </m:rPr>
                <m:t>applicable taxes</m:t>
              </m:r>
            </m:sub>
          </m:sSub>
        </m:oMath>
      </m:oMathPara>
    </w:p>
    <w:p>
      <w:r>
        <w:t>These are illustrative cost structures. The organization's costing policy determines which costs are classified as direct, indirect, overhead, contingency, or tax. If installation or services are already included in a supplier's package price, do not add them again as separate costs.</w:t>
      </w:r>
    </w:p>
    <w:p>
      <w:pPr>
        <w:pStyle w:val="Heading3"/>
      </w:pPr>
      <w:r>
        <w:t>17.1 Worked example</w:t>
      </w:r>
    </w:p>
    <w:p>
      <w:r>
        <w:t>Consider a hypothetical automation retrofit with the following preliminary estimates.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category</w:t>
            </w:r>
          </w:p>
        </w:tc>
        <w:tc>
          <w:tcPr>
            <w:tcW w:type="dxa" w:w="5400"/>
            <w:shd w:val="clear" w:color="auto" w:fill="EEF2F7"/>
          </w:tcPr>
          <w:p>
            <w:pPr>
              <w:spacing w:after="0" w:before="0" w:line="240" w:lineRule="auto"/>
              <w:jc w:val="left"/>
            </w:pPr>
            <w:r>
              <w:rPr>
                <w:b/>
                <w:color w:val="1A2E4A"/>
              </w:rPr>
              <w:t>Estimated amount</w:t>
            </w:r>
          </w:p>
        </w:tc>
      </w:tr>
      <w:tr>
        <w:tc>
          <w:tcPr>
            <w:tcW w:type="dxa" w:w="5400"/>
          </w:tcPr>
          <w:p>
            <w:pPr>
              <w:spacing w:after="0" w:before="0" w:line="240" w:lineRule="auto"/>
              <w:jc w:val="left"/>
            </w:pPr>
            <w:r>
              <w:t>Hardware and electrical materials</w:t>
            </w:r>
          </w:p>
        </w:tc>
        <w:tc>
          <w:tcPr>
            <w:tcW w:type="dxa" w:w="5400"/>
          </w:tcPr>
          <w:p>
            <w:pPr>
              <w:spacing w:after="0" w:before="0" w:line="240" w:lineRule="auto"/>
              <w:jc w:val="left"/>
            </w:pPr>
            <w:r>
              <w:t>₹2,22,000</w:t>
            </w:r>
          </w:p>
        </w:tc>
      </w:tr>
      <w:tr>
        <w:tc>
          <w:tcPr>
            <w:tcW w:type="dxa" w:w="5400"/>
          </w:tcPr>
          <w:p>
            <w:pPr>
              <w:spacing w:after="0" w:before="0" w:line="240" w:lineRule="auto"/>
              <w:jc w:val="left"/>
            </w:pPr>
            <w:r>
              <w:t>Engineering labor</w:t>
            </w:r>
          </w:p>
        </w:tc>
        <w:tc>
          <w:tcPr>
            <w:tcW w:type="dxa" w:w="5400"/>
          </w:tcPr>
          <w:p>
            <w:pPr>
              <w:spacing w:after="0" w:before="0" w:line="240" w:lineRule="auto"/>
              <w:jc w:val="left"/>
            </w:pPr>
            <w:r>
              <w:t>₹90,000</w:t>
            </w:r>
          </w:p>
        </w:tc>
      </w:tr>
      <w:tr>
        <w:tc>
          <w:tcPr>
            <w:tcW w:type="dxa" w:w="5400"/>
          </w:tcPr>
          <w:p>
            <w:pPr>
              <w:spacing w:after="0" w:before="0" w:line="240" w:lineRule="auto"/>
              <w:jc w:val="left"/>
            </w:pPr>
            <w:r>
              <w:t>Panel manufacturing</w:t>
            </w:r>
          </w:p>
        </w:tc>
        <w:tc>
          <w:tcPr>
            <w:tcW w:type="dxa" w:w="5400"/>
          </w:tcPr>
          <w:p>
            <w:pPr>
              <w:spacing w:after="0" w:before="0" w:line="240" w:lineRule="auto"/>
              <w:jc w:val="left"/>
            </w:pPr>
            <w:r>
              <w:t>₹35,000</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₹45,000</w:t>
            </w:r>
          </w:p>
        </w:tc>
      </w:tr>
      <w:tr>
        <w:tc>
          <w:tcPr>
            <w:tcW w:type="dxa" w:w="5400"/>
          </w:tcPr>
          <w:p>
            <w:pPr>
              <w:spacing w:after="0" w:before="0" w:line="240" w:lineRule="auto"/>
              <w:jc w:val="left"/>
            </w:pPr>
            <w:r>
              <w:t>Software and external services</w:t>
            </w:r>
          </w:p>
        </w:tc>
        <w:tc>
          <w:tcPr>
            <w:tcW w:type="dxa" w:w="5400"/>
          </w:tcPr>
          <w:p>
            <w:pPr>
              <w:spacing w:after="0" w:before="0" w:line="240" w:lineRule="auto"/>
              <w:jc w:val="left"/>
            </w:pPr>
            <w:r>
              <w:t>₹30,000</w:t>
            </w:r>
          </w:p>
        </w:tc>
      </w:tr>
      <w:tr>
        <w:tc>
          <w:tcPr>
            <w:tcW w:type="dxa" w:w="5400"/>
          </w:tcPr>
          <w:p>
            <w:pPr>
              <w:spacing w:after="0" w:before="0" w:line="240" w:lineRule="auto"/>
              <w:jc w:val="left"/>
            </w:pPr>
            <w:r>
              <w:t>Testing and commissioning</w:t>
            </w:r>
          </w:p>
        </w:tc>
        <w:tc>
          <w:tcPr>
            <w:tcW w:type="dxa" w:w="5400"/>
          </w:tcPr>
          <w:p>
            <w:pPr>
              <w:spacing w:after="0" w:before="0" w:line="240" w:lineRule="auto"/>
              <w:jc w:val="left"/>
            </w:pPr>
            <w:r>
              <w:t>₹40,000</w:t>
            </w:r>
          </w:p>
        </w:tc>
      </w:tr>
      <w:tr>
        <w:tc>
          <w:tcPr>
            <w:tcW w:type="dxa" w:w="5400"/>
          </w:tcPr>
          <w:p>
            <w:pPr>
              <w:spacing w:after="0" w:before="0" w:line="240" w:lineRule="auto"/>
              <w:jc w:val="left"/>
            </w:pPr>
            <w:r>
              <w:t>Logistics</w:t>
            </w:r>
          </w:p>
        </w:tc>
        <w:tc>
          <w:tcPr>
            <w:tcW w:type="dxa" w:w="5400"/>
          </w:tcPr>
          <w:p>
            <w:pPr>
              <w:spacing w:after="0" w:before="0" w:line="240" w:lineRule="auto"/>
              <w:jc w:val="left"/>
            </w:pPr>
            <w:r>
              <w:t>₹8,000</w:t>
            </w:r>
          </w:p>
        </w:tc>
      </w:tr>
      <w:tr>
        <w:tc>
          <w:tcPr>
            <w:tcW w:type="dxa" w:w="5400"/>
          </w:tcPr>
          <w:p>
            <w:pPr>
              <w:spacing w:after="0" w:before="0" w:line="240" w:lineRule="auto"/>
              <w:jc w:val="left"/>
            </w:pPr>
            <w:r>
              <w:t>Direct cost subtotal</w:t>
            </w:r>
          </w:p>
        </w:tc>
        <w:tc>
          <w:tcPr>
            <w:tcW w:type="dxa" w:w="5400"/>
          </w:tcPr>
          <w:p>
            <w:pPr>
              <w:spacing w:after="0" w:before="0" w:line="240" w:lineRule="auto"/>
              <w:jc w:val="left"/>
            </w:pPr>
            <w:r>
              <w:t>₹4,70,000</w:t>
            </w:r>
          </w:p>
        </w:tc>
      </w:tr>
      <w:tr>
        <w:tc>
          <w:tcPr>
            <w:tcW w:type="dxa" w:w="5400"/>
          </w:tcPr>
          <w:p>
            <w:pPr>
              <w:spacing w:after="0" w:before="0" w:line="240" w:lineRule="auto"/>
              <w:jc w:val="left"/>
            </w:pPr>
            <w:r>
              <w:t>Indirect cost allowance</w:t>
            </w:r>
          </w:p>
        </w:tc>
        <w:tc>
          <w:tcPr>
            <w:tcW w:type="dxa" w:w="5400"/>
          </w:tcPr>
          <w:p>
            <w:pPr>
              <w:spacing w:after="0" w:before="0" w:line="240" w:lineRule="auto"/>
              <w:jc w:val="left"/>
            </w:pPr>
            <w:r>
              <w:t>₹23,500</w:t>
            </w:r>
          </w:p>
        </w:tc>
      </w:tr>
      <w:tr>
        <w:tc>
          <w:tcPr>
            <w:tcW w:type="dxa" w:w="5400"/>
          </w:tcPr>
          <w:p>
            <w:pPr>
              <w:spacing w:after="0" w:before="0" w:line="240" w:lineRule="auto"/>
              <w:jc w:val="left"/>
            </w:pPr>
            <w:r>
              <w:t>Subtotal before contingency</w:t>
            </w:r>
          </w:p>
        </w:tc>
        <w:tc>
          <w:tcPr>
            <w:tcW w:type="dxa" w:w="5400"/>
          </w:tcPr>
          <w:p>
            <w:pPr>
              <w:spacing w:after="0" w:before="0" w:line="240" w:lineRule="auto"/>
              <w:jc w:val="left"/>
            </w:pPr>
            <w:r>
              <w:t>₹4,93,500</w:t>
            </w:r>
          </w:p>
        </w:tc>
      </w:tr>
      <w:tr>
        <w:tc>
          <w:tcPr>
            <w:tcW w:type="dxa" w:w="5400"/>
          </w:tcPr>
          <w:p>
            <w:pPr>
              <w:spacing w:after="0" w:before="0" w:line="240" w:lineRule="auto"/>
              <w:jc w:val="left"/>
            </w:pPr>
            <w:r>
              <w:t>Contingency allowance</w:t>
            </w:r>
          </w:p>
        </w:tc>
        <w:tc>
          <w:tcPr>
            <w:tcW w:type="dxa" w:w="5400"/>
          </w:tcPr>
          <w:p>
            <w:pPr>
              <w:spacing w:after="0" w:before="0" w:line="240" w:lineRule="auto"/>
              <w:jc w:val="left"/>
            </w:pPr>
            <w:r>
              <w:t>₹24,675</w:t>
            </w:r>
          </w:p>
        </w:tc>
      </w:tr>
      <w:tr>
        <w:tc>
          <w:tcPr>
            <w:tcW w:type="dxa" w:w="5400"/>
          </w:tcPr>
          <w:p>
            <w:pPr>
              <w:spacing w:after="0" w:before="0" w:line="240" w:lineRule="auto"/>
              <w:jc w:val="left"/>
            </w:pPr>
            <w:r>
              <w:t>Estimated pre-tax project cost</w:t>
            </w:r>
          </w:p>
        </w:tc>
        <w:tc>
          <w:tcPr>
            <w:tcW w:type="dxa" w:w="5400"/>
          </w:tcPr>
          <w:p>
            <w:pPr>
              <w:spacing w:after="0" w:before="0" w:line="240" w:lineRule="auto"/>
              <w:jc w:val="left"/>
            </w:pPr>
            <w:r>
              <w:t>₹5,18,175</w:t>
            </w:r>
          </w:p>
        </w:tc>
      </w:tr>
    </w:tbl>
    <w:p/>
    <w:p>
      <w:r>
        <w:t>In this example, indirect costs are assumed to be 5% of direct cost, and contingency is assumed to be 5% of the subtotal after indirect costs.</w:t>
      </w:r>
    </w:p>
    <w:p>
      <w:r>
        <w:t>These percentages are illustrative assumptions, not universal standards. The actual estimate must use the project's cost policy and uncertainty assessment.</w:t>
      </w:r>
    </w:p>
    <w:p>
      <w:r>
        <w:t>Applicable taxes are excluded from the example because the tax treatment, supplier quotations, and recoverability have not been established.</w:t>
      </w:r>
    </w:p>
    <w:p>
      <w:pPr>
        <w:pStyle w:val="Heading2"/>
      </w:pPr>
      <w:r>
        <w:t>18. Understand contingency and uncertainty</w:t>
      </w:r>
    </w:p>
    <w:p>
      <w:r>
        <w:t>Contingency is an allowance for uncertainty within the defined project scope. It is not a substitute for proper engineering or a convenient way to hide missing estimates.</w:t>
      </w:r>
    </w:p>
    <w:p>
      <w:r>
        <w:t>Typical sources of uncertainty include:</w:t>
      </w:r>
    </w:p>
    <w:p>
      <w:pPr>
        <w:pStyle w:val="ListBullet"/>
      </w:pPr>
      <w:r>
        <w:t>Incomplete existing drawings.</w:t>
      </w:r>
    </w:p>
    <w:p>
      <w:pPr>
        <w:pStyle w:val="ListBullet"/>
      </w:pPr>
      <w:r>
        <w:t>Unknown field wiring condition.</w:t>
      </w:r>
    </w:p>
    <w:p>
      <w:pPr>
        <w:pStyle w:val="ListBullet"/>
      </w:pPr>
      <w:r>
        <w:t>Unverified PLC source-code availability.</w:t>
      </w:r>
    </w:p>
    <w:p>
      <w:pPr>
        <w:pStyle w:val="ListBullet"/>
      </w:pPr>
      <w:r>
        <w:t>Uncertain cable lengths.</w:t>
      </w:r>
    </w:p>
    <w:p>
      <w:pPr>
        <w:pStyle w:val="ListBullet"/>
      </w:pPr>
      <w:r>
        <w:t>Unconfirmed vendor pricing.</w:t>
      </w:r>
    </w:p>
    <w:p>
      <w:pPr>
        <w:pStyle w:val="ListBullet"/>
      </w:pPr>
      <w:r>
        <w:t>Unknown firmware compatibility.</w:t>
      </w:r>
    </w:p>
    <w:p>
      <w:pPr>
        <w:pStyle w:val="ListBullet"/>
      </w:pPr>
      <w:r>
        <w:t>Variable commissioning effort.</w:t>
      </w:r>
    </w:p>
    <w:p>
      <w:pPr>
        <w:pStyle w:val="ListBullet"/>
      </w:pPr>
      <w:r>
        <w:t>Restricted installation windows.</w:t>
      </w:r>
    </w:p>
    <w:p>
      <w:pPr>
        <w:pStyle w:val="ListBullet"/>
      </w:pPr>
      <w:r>
        <w:t>Uncertain mechanical modifications.</w:t>
      </w:r>
    </w:p>
    <w:p>
      <w:r>
        <w:t>Estimate contingency according to the nature and maturity of the project, historical data, and the organization's risk methodology.</w:t>
      </w:r>
    </w:p>
    <w:p>
      <w:r>
        <w:t>Separate three concepts:</w:t>
      </w:r>
    </w:p>
    <w:p>
      <w:pPr>
        <w:pStyle w:val="ListBullet"/>
      </w:pPr>
      <w:r>
        <w:t>Contingency: An allowance for identified uncertainty and residual risk within the project scope.</w:t>
      </w:r>
    </w:p>
    <w:p>
      <w:pPr>
        <w:pStyle w:val="ListBullet"/>
      </w:pPr>
      <w:r>
        <w:t>Management reserve: A separately controlled reserve for broader unforeseen project needs, where the organization's method provides for it.</w:t>
      </w:r>
    </w:p>
    <w:p>
      <w:pPr>
        <w:pStyle w:val="ListBullet"/>
      </w:pPr>
      <w:r>
        <w:t>Scope change: Additional work caused by an approved change to the original requirements.</w:t>
      </w:r>
    </w:p>
    <w:p>
      <w:r>
        <w:t>A customer-requested additional machine station is normally a scope change, not merely a contingency expense.</w:t>
      </w:r>
    </w:p>
    <w:p>
      <w:pPr>
        <w:pStyle w:val="Heading3"/>
      </w:pPr>
      <w:r>
        <w:t>18.1 Expected-value approach</w:t>
      </w:r>
    </w:p>
    <w:p>
      <w:r>
        <w:t>Where credible probability and impact estimates are available, expected risk exposure can be calculated as:</w:t>
      </w:r>
    </w:p>
    <w:p>
      <w:pPr>
        <w:spacing w:before="120" w:after="160"/>
        <w:jc w:val="center"/>
      </w:pPr>
      <m:oMathPara>
        <m:oMath>
          <m:sSub>
            <m:e>
              <m:r>
                <m:t>E</m:t>
              </m:r>
            </m:e>
            <m:sub>
              <m:r>
                <m:t>i</m:t>
              </m:r>
            </m:sub>
          </m:sSub>
          <m:r>
            <m:t>=</m:t>
          </m:r>
          <m:sSub>
            <m:e>
              <m:r>
                <m:t>p</m:t>
              </m:r>
            </m:e>
            <m:sub>
              <m:r>
                <m:t>i</m:t>
              </m:r>
            </m:sub>
          </m:sSub>
          <m:r>
            <m:t>×</m:t>
          </m:r>
          <m:sSub>
            <m:e>
              <m:r>
                <m:t>I</m:t>
              </m:r>
            </m:e>
            <m:sub>
              <m:r>
                <m:t>i</m:t>
              </m:r>
            </m:sub>
          </m:sSub>
        </m:oMath>
      </m:oMathPara>
    </w:p>
    <w:p>
      <w:r>
        <w:t>Where:</w:t>
      </w:r>
    </w:p>
    <w:p>
      <w:pPr>
        <w:pStyle w:val="ListBullet"/>
      </w:pPr>
      <m:oMath>
        <m:sSub>
          <m:e>
            <m:r>
              <m:t>E</m:t>
            </m:r>
          </m:e>
          <m:sub>
            <m:r>
              <m:t>i</m:t>
            </m:r>
          </m:sub>
        </m:sSub>
      </m:oMath>
      <w:r>
        <w:t xml:space="preserve"> is the expected monetary exposure for risk </w:t>
      </w:r>
      <m:oMath>
        <m:r>
          <m:t>i</m:t>
        </m:r>
      </m:oMath>
      <w:r>
        <w:t>.</w:t>
      </w:r>
    </w:p>
    <w:p>
      <w:pPr>
        <w:pStyle w:val="ListBullet"/>
      </w:pPr>
      <m:oMath>
        <m:sSub>
          <m:e>
            <m:r>
              <m:t>p</m:t>
            </m:r>
          </m:e>
          <m:sub>
            <m:r>
              <m:t>i</m:t>
            </m:r>
          </m:sub>
        </m:sSub>
      </m:oMath>
      <w:r>
        <w:t xml:space="preserve"> is the estimated probability of the risk occurring.</w:t>
      </w:r>
    </w:p>
    <w:p>
      <w:pPr>
        <w:pStyle w:val="ListBullet"/>
      </w:pPr>
      <m:oMath>
        <m:sSub>
          <m:e>
            <m:r>
              <m:t>I</m:t>
            </m:r>
          </m:e>
          <m:sub>
            <m:r>
              <m:t>i</m:t>
            </m:r>
          </m:sub>
        </m:sSub>
      </m:oMath>
      <w:r>
        <w:t xml:space="preserve"> is the monetary impact if it occurs.</w:t>
      </w:r>
    </w:p>
    <w:p>
      <w:r>
        <w:t>For example, if a risk has an estimated 20% probability and an impact of ₹50,000:</w:t>
      </w:r>
    </w:p>
    <w:p>
      <w:pPr>
        <w:spacing w:before="120" w:after="160"/>
        <w:jc w:val="center"/>
      </w:pPr>
      <m:oMathPara>
        <m:oMath>
          <m:sSub>
            <m:e>
              <m:r>
                <m:t>E</m:t>
              </m:r>
            </m:e>
            <m:sub>
              <m:r>
                <m:t>i</m:t>
              </m:r>
            </m:sub>
          </m:sSub>
          <m:r>
            <m:t>=0.20×₹50</m:t>
          </m:r>
          <m:r>
            <m:t>,</m:t>
          </m:r>
          <m:r>
            <m:t>000=₹10</m:t>
          </m:r>
          <m:r>
            <m:t>,</m:t>
          </m:r>
          <m:r>
            <m:t>000</m:t>
          </m:r>
        </m:oMath>
      </m:oMathPara>
    </w:p>
    <w:p>
      <w:r>
        <w:t>This is a simplified expected-value calculation. It does not mean that ₹10,000 will necessarily cover the risk. Multiple risks may be correlated, probabilities may be uncertain, and some low-probability events may have severe consequences.</w:t>
      </w:r>
    </w:p>
    <w:p>
      <w:r>
        <w:t>Do not add every risk's full impact to the budget and then add a separate contingency for the same risks without checking for double counting.</w:t>
      </w:r>
    </w:p>
    <w:p>
      <w:pPr>
        <w:pStyle w:val="Heading2"/>
      </w:pPr>
      <w:r>
        <w:t>19. Compare vendor quotations correctly</w:t>
      </w:r>
    </w:p>
    <w:p>
      <w:r>
        <w:t>When several vendors offer similar equipment or services, compare their proposals on a common technical and commercial basis.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Comparison 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Base price</w:t>
            </w:r>
          </w:p>
        </w:tc>
        <w:tc>
          <w:tcPr>
            <w:tcW w:type="dxa" w:w="5400"/>
          </w:tcPr>
          <w:p>
            <w:pPr>
              <w:spacing w:after="0" w:before="0" w:line="240" w:lineRule="auto"/>
              <w:jc w:val="left"/>
            </w:pPr>
            <w:r>
              <w:t>Same scope, quantities, and currency</w:t>
            </w:r>
          </w:p>
        </w:tc>
      </w:tr>
      <w:tr>
        <w:tc>
          <w:tcPr>
            <w:tcW w:type="dxa" w:w="5400"/>
          </w:tcPr>
          <w:p>
            <w:pPr>
              <w:spacing w:after="0" w:before="0" w:line="240" w:lineRule="auto"/>
              <w:jc w:val="left"/>
            </w:pPr>
            <w:r>
              <w:t>Technical compliance</w:t>
            </w:r>
          </w:p>
        </w:tc>
        <w:tc>
          <w:tcPr>
            <w:tcW w:type="dxa" w:w="5400"/>
          </w:tcPr>
          <w:p>
            <w:pPr>
              <w:spacing w:after="0" w:before="0" w:line="240" w:lineRule="auto"/>
              <w:jc w:val="left"/>
            </w:pPr>
            <w:r>
              <w:t>Required ratings, protocols, functions, and compatibility</w:t>
            </w:r>
          </w:p>
        </w:tc>
      </w:tr>
      <w:tr>
        <w:tc>
          <w:tcPr>
            <w:tcW w:type="dxa" w:w="5400"/>
          </w:tcPr>
          <w:p>
            <w:pPr>
              <w:spacing w:after="0" w:before="0" w:line="240" w:lineRule="auto"/>
              <w:jc w:val="left"/>
            </w:pPr>
            <w:r>
              <w:t>Taxes</w:t>
            </w:r>
          </w:p>
        </w:tc>
        <w:tc>
          <w:tcPr>
            <w:tcW w:type="dxa" w:w="5400"/>
          </w:tcPr>
          <w:p>
            <w:pPr>
              <w:spacing w:after="0" w:before="0" w:line="240" w:lineRule="auto"/>
              <w:jc w:val="left"/>
            </w:pPr>
            <w:r>
              <w:t>Included or excluded, with correct treatment</w:t>
            </w:r>
          </w:p>
        </w:tc>
      </w:tr>
      <w:tr>
        <w:tc>
          <w:tcPr>
            <w:tcW w:type="dxa" w:w="5400"/>
          </w:tcPr>
          <w:p>
            <w:pPr>
              <w:spacing w:after="0" w:before="0" w:line="240" w:lineRule="auto"/>
              <w:jc w:val="left"/>
            </w:pPr>
            <w:r>
              <w:t>Freight</w:t>
            </w:r>
          </w:p>
        </w:tc>
        <w:tc>
          <w:tcPr>
            <w:tcW w:type="dxa" w:w="5400"/>
          </w:tcPr>
          <w:p>
            <w:pPr>
              <w:spacing w:after="0" w:before="0" w:line="240" w:lineRule="auto"/>
              <w:jc w:val="left"/>
            </w:pPr>
            <w:r>
              <w:t>Included, separately charged, or customer-arranged</w:t>
            </w:r>
          </w:p>
        </w:tc>
      </w:tr>
      <w:tr>
        <w:tc>
          <w:tcPr>
            <w:tcW w:type="dxa" w:w="5400"/>
          </w:tcPr>
          <w:p>
            <w:pPr>
              <w:spacing w:after="0" w:before="0" w:line="240" w:lineRule="auto"/>
              <w:jc w:val="left"/>
            </w:pPr>
            <w:r>
              <w:t>Lead time</w:t>
            </w:r>
          </w:p>
        </w:tc>
        <w:tc>
          <w:tcPr>
            <w:tcW w:type="dxa" w:w="5400"/>
          </w:tcPr>
          <w:p>
            <w:pPr>
              <w:spacing w:after="0" w:before="0" w:line="240" w:lineRule="auto"/>
              <w:jc w:val="left"/>
            </w:pPr>
            <w:r>
              <w:t>Confirmed delivery period and dependencies</w:t>
            </w:r>
          </w:p>
        </w:tc>
      </w:tr>
      <w:tr>
        <w:tc>
          <w:tcPr>
            <w:tcW w:type="dxa" w:w="5400"/>
          </w:tcPr>
          <w:p>
            <w:pPr>
              <w:spacing w:after="0" w:before="0" w:line="240" w:lineRule="auto"/>
              <w:jc w:val="left"/>
            </w:pPr>
            <w:r>
              <w:t>Warranty</w:t>
            </w:r>
          </w:p>
        </w:tc>
        <w:tc>
          <w:tcPr>
            <w:tcW w:type="dxa" w:w="5400"/>
          </w:tcPr>
          <w:p>
            <w:pPr>
              <w:spacing w:after="0" w:before="0" w:line="240" w:lineRule="auto"/>
              <w:jc w:val="left"/>
            </w:pPr>
            <w:r>
              <w:t>Duration, coverage, exclusions, and service conditions</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Included, excluded, or limited to specified work</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Days, personnel, travel, and repeat visits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manuals, software, backups, test reports</w:t>
            </w:r>
          </w:p>
        </w:tc>
      </w:tr>
      <w:tr>
        <w:tc>
          <w:tcPr>
            <w:tcW w:type="dxa" w:w="5400"/>
          </w:tcPr>
          <w:p>
            <w:pPr>
              <w:spacing w:after="0" w:before="0" w:line="240" w:lineRule="auto"/>
              <w:jc w:val="left"/>
            </w:pPr>
            <w:r>
              <w:t>Payment terms</w:t>
            </w:r>
          </w:p>
        </w:tc>
        <w:tc>
          <w:tcPr>
            <w:tcW w:type="dxa" w:w="5400"/>
          </w:tcPr>
          <w:p>
            <w:pPr>
              <w:spacing w:after="0" w:before="0" w:line="240" w:lineRule="auto"/>
              <w:jc w:val="left"/>
            </w:pPr>
            <w:r>
              <w:t>Advance, milestone, delivery, and retention conditions</w:t>
            </w:r>
          </w:p>
        </w:tc>
      </w:tr>
      <w:tr>
        <w:tc>
          <w:tcPr>
            <w:tcW w:type="dxa" w:w="5400"/>
          </w:tcPr>
          <w:p>
            <w:pPr>
              <w:spacing w:after="0" w:before="0" w:line="240" w:lineRule="auto"/>
              <w:jc w:val="left"/>
            </w:pPr>
            <w:r>
              <w:t>Validity</w:t>
            </w:r>
          </w:p>
        </w:tc>
        <w:tc>
          <w:tcPr>
            <w:tcW w:type="dxa" w:w="5400"/>
          </w:tcPr>
          <w:p>
            <w:pPr>
              <w:spacing w:after="0" w:before="0" w:line="240" w:lineRule="auto"/>
              <w:jc w:val="left"/>
            </w:pPr>
            <w:r>
              <w:t>Quotation expiry and price-change conditions</w:t>
            </w:r>
          </w:p>
        </w:tc>
      </w:tr>
      <w:tr>
        <w:tc>
          <w:tcPr>
            <w:tcW w:type="dxa" w:w="5400"/>
          </w:tcPr>
          <w:p>
            <w:pPr>
              <w:spacing w:after="0" w:before="0" w:line="240" w:lineRule="auto"/>
              <w:jc w:val="left"/>
            </w:pPr>
            <w:r>
              <w:t>Support</w:t>
            </w:r>
          </w:p>
        </w:tc>
        <w:tc>
          <w:tcPr>
            <w:tcW w:type="dxa" w:w="5400"/>
          </w:tcPr>
          <w:p>
            <w:pPr>
              <w:spacing w:after="0" w:before="0" w:line="240" w:lineRule="auto"/>
              <w:jc w:val="left"/>
            </w:pPr>
            <w:r>
              <w:t>Local service, response time, spare availability</w:t>
            </w:r>
          </w:p>
        </w:tc>
      </w:tr>
      <w:tr>
        <w:tc>
          <w:tcPr>
            <w:tcW w:type="dxa" w:w="5400"/>
          </w:tcPr>
          <w:p>
            <w:pPr>
              <w:spacing w:after="0" w:before="0" w:line="240" w:lineRule="auto"/>
              <w:jc w:val="left"/>
            </w:pPr>
            <w:r>
              <w:t>Deviations</w:t>
            </w:r>
          </w:p>
        </w:tc>
        <w:tc>
          <w:tcPr>
            <w:tcW w:type="dxa" w:w="5400"/>
          </w:tcPr>
          <w:p>
            <w:pPr>
              <w:spacing w:after="0" w:before="0" w:line="240" w:lineRule="auto"/>
              <w:jc w:val="left"/>
            </w:pPr>
            <w:r>
              <w:t>Exceptions to technical or commercial requirements</w:t>
            </w:r>
          </w:p>
        </w:tc>
      </w:tr>
    </w:tbl>
    <w:p/>
    <w:p>
      <w:r>
        <w:t>The lowest quotation is not necessarily the lowest-cost solution. A lower equipment price may exclude engineering software, commissioning, training, or required accessories.</w:t>
      </w:r>
    </w:p>
    <w:p>
      <w:r>
        <w:t>Conversely, a higher quotation should not automatically be accepted because the supplier is familiar or offers a longer list of features. The differences must be relevant to the project.</w:t>
      </w:r>
    </w:p>
    <w:p>
      <w:pPr>
        <w:pStyle w:val="Heading2"/>
      </w:pPr>
      <w:r>
        <w:t>20. Distinguish cost, price, and budget</w:t>
      </w:r>
    </w:p>
    <w:p>
      <w:r>
        <w:t>These terms are related but have different meanings.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Cost estimate</w:t>
            </w:r>
          </w:p>
        </w:tc>
        <w:tc>
          <w:tcPr>
            <w:tcW w:type="dxa" w:w="5400"/>
          </w:tcPr>
          <w:p>
            <w:pPr>
              <w:spacing w:after="0" w:before="0" w:line="240" w:lineRule="auto"/>
              <w:jc w:val="left"/>
            </w:pPr>
            <w:r>
              <w:t>Expected expenditure required to complete the defined scope</w:t>
            </w:r>
          </w:p>
        </w:tc>
      </w:tr>
      <w:tr>
        <w:tc>
          <w:tcPr>
            <w:tcW w:type="dxa" w:w="5400"/>
          </w:tcPr>
          <w:p>
            <w:pPr>
              <w:spacing w:after="0" w:before="0" w:line="240" w:lineRule="auto"/>
              <w:jc w:val="left"/>
            </w:pPr>
            <w:r>
              <w:t>Supplier quotation</w:t>
            </w:r>
          </w:p>
        </w:tc>
        <w:tc>
          <w:tcPr>
            <w:tcW w:type="dxa" w:w="5400"/>
          </w:tcPr>
          <w:p>
            <w:pPr>
              <w:spacing w:after="0" w:before="0" w:line="240" w:lineRule="auto"/>
              <w:jc w:val="left"/>
            </w:pPr>
            <w:r>
              <w:t>Price and terms offered by a supplier</w:t>
            </w:r>
          </w:p>
        </w:tc>
      </w:tr>
      <w:tr>
        <w:tc>
          <w:tcPr>
            <w:tcW w:type="dxa" w:w="5400"/>
          </w:tcPr>
          <w:p>
            <w:pPr>
              <w:spacing w:after="0" w:before="0" w:line="240" w:lineRule="auto"/>
              <w:jc w:val="left"/>
            </w:pPr>
            <w:r>
              <w:t>Purchase order value</w:t>
            </w:r>
          </w:p>
        </w:tc>
        <w:tc>
          <w:tcPr>
            <w:tcW w:type="dxa" w:w="5400"/>
          </w:tcPr>
          <w:p>
            <w:pPr>
              <w:spacing w:after="0" w:before="0" w:line="240" w:lineRule="auto"/>
              <w:jc w:val="left"/>
            </w:pPr>
            <w:r>
              <w:t>Commercial value committed through the purchase order</w:t>
            </w:r>
          </w:p>
        </w:tc>
      </w:tr>
      <w:tr>
        <w:tc>
          <w:tcPr>
            <w:tcW w:type="dxa" w:w="5400"/>
          </w:tcPr>
          <w:p>
            <w:pPr>
              <w:spacing w:after="0" w:before="0" w:line="240" w:lineRule="auto"/>
              <w:jc w:val="left"/>
            </w:pPr>
            <w:r>
              <w:t>Project budget</w:t>
            </w:r>
          </w:p>
        </w:tc>
        <w:tc>
          <w:tcPr>
            <w:tcW w:type="dxa" w:w="5400"/>
          </w:tcPr>
          <w:p>
            <w:pPr>
              <w:spacing w:after="0" w:before="0" w:line="240" w:lineRule="auto"/>
              <w:jc w:val="left"/>
            </w:pPr>
            <w:r>
              <w:t>Authorized financial limit for the project</w:t>
            </w:r>
          </w:p>
        </w:tc>
      </w:tr>
      <w:tr>
        <w:tc>
          <w:tcPr>
            <w:tcW w:type="dxa" w:w="5400"/>
          </w:tcPr>
          <w:p>
            <w:pPr>
              <w:spacing w:after="0" w:before="0" w:line="240" w:lineRule="auto"/>
              <w:jc w:val="left"/>
            </w:pPr>
            <w:r>
              <w:t>Selling price</w:t>
            </w:r>
          </w:p>
        </w:tc>
        <w:tc>
          <w:tcPr>
            <w:tcW w:type="dxa" w:w="5400"/>
          </w:tcPr>
          <w:p>
            <w:pPr>
              <w:spacing w:after="0" w:before="0" w:line="240" w:lineRule="auto"/>
              <w:jc w:val="left"/>
            </w:pPr>
            <w:r>
              <w:t>Amount charged to the customer, if the organization is selling the solution</w:t>
            </w:r>
          </w:p>
        </w:tc>
      </w:tr>
      <w:tr>
        <w:tc>
          <w:tcPr>
            <w:tcW w:type="dxa" w:w="5400"/>
          </w:tcPr>
          <w:p>
            <w:pPr>
              <w:spacing w:after="0" w:before="0" w:line="240" w:lineRule="auto"/>
              <w:jc w:val="left"/>
            </w:pPr>
            <w:r>
              <w:t>Actual cost</w:t>
            </w:r>
          </w:p>
        </w:tc>
        <w:tc>
          <w:tcPr>
            <w:tcW w:type="dxa" w:w="5400"/>
          </w:tcPr>
          <w:p>
            <w:pPr>
              <w:spacing w:after="0" w:before="0" w:line="240" w:lineRule="auto"/>
              <w:jc w:val="left"/>
            </w:pPr>
            <w:r>
              <w:t>Expenditure recorded during execution</w:t>
            </w:r>
          </w:p>
        </w:tc>
      </w:tr>
      <w:tr>
        <w:tc>
          <w:tcPr>
            <w:tcW w:type="dxa" w:w="5400"/>
          </w:tcPr>
          <w:p>
            <w:pPr>
              <w:spacing w:after="0" w:before="0" w:line="240" w:lineRule="auto"/>
              <w:jc w:val="left"/>
            </w:pPr>
            <w:r>
              <w:t>Forecast at completion</w:t>
            </w:r>
          </w:p>
        </w:tc>
        <w:tc>
          <w:tcPr>
            <w:tcW w:type="dxa" w:w="5400"/>
          </w:tcPr>
          <w:p>
            <w:pPr>
              <w:spacing w:after="0" w:before="0" w:line="240" w:lineRule="auto"/>
              <w:jc w:val="left"/>
            </w:pPr>
            <w:r>
              <w:t>Expected total cost based on current actuals and remaining work</w:t>
            </w:r>
          </w:p>
        </w:tc>
      </w:tr>
    </w:tbl>
    <w:p/>
    <w:p>
      <w:r>
        <w:t>A supplier's quotation is an input to the project cost estimate. It does not automatically represent the entire project cost.</w:t>
      </w:r>
    </w:p>
    <w:p>
      <w:r>
        <w:t>Likewise, the approved budget is a financial limit, not evidence that the work can be completed for that amount.</w:t>
      </w:r>
    </w:p>
    <w:p>
      <w:pPr>
        <w:pStyle w:val="Heading2"/>
      </w:pPr>
      <w:r>
        <w:t>21. Estimate lifecycle cost, not just purchase cost</w:t>
      </w:r>
    </w:p>
    <w:p>
      <w:r>
        <w:t>Capital expenditure is only one part of the financial picture. Automation equipment creates costs during operation and maintenance.</w:t>
      </w:r>
    </w:p>
    <w:p>
      <w:r>
        <w:t>Lifecycle costs may include:</w:t>
      </w:r>
    </w:p>
    <w:p>
      <w:pPr>
        <w:pStyle w:val="ListBullet"/>
      </w:pPr>
      <w:r>
        <w:t>Preventive maintenance.</w:t>
      </w:r>
    </w:p>
    <w:p>
      <w:pPr>
        <w:pStyle w:val="ListBullet"/>
      </w:pPr>
      <w:r>
        <w:t>Spare parts.</w:t>
      </w:r>
    </w:p>
    <w:p>
      <w:pPr>
        <w:pStyle w:val="ListBullet"/>
      </w:pPr>
      <w:r>
        <w:t>Replacement components.</w:t>
      </w:r>
    </w:p>
    <w:p>
      <w:pPr>
        <w:pStyle w:val="ListBullet"/>
      </w:pPr>
      <w:r>
        <w:t>Software licenses and subscriptions.</w:t>
      </w:r>
    </w:p>
    <w:p>
      <w:pPr>
        <w:pStyle w:val="ListBullet"/>
      </w:pPr>
      <w:r>
        <w:t>Vendor support.</w:t>
      </w:r>
    </w:p>
    <w:p>
      <w:pPr>
        <w:pStyle w:val="ListBullet"/>
      </w:pPr>
      <w:r>
        <w:t>Energy consumption.</w:t>
      </w:r>
    </w:p>
    <w:p>
      <w:pPr>
        <w:pStyle w:val="ListBullet"/>
      </w:pPr>
      <w:r>
        <w:t>Calibration.</w:t>
      </w:r>
    </w:p>
    <w:p>
      <w:pPr>
        <w:pStyle w:val="ListBullet"/>
      </w:pPr>
      <w:r>
        <w:t>Training.</w:t>
      </w:r>
    </w:p>
    <w:p>
      <w:pPr>
        <w:pStyle w:val="ListBullet"/>
      </w:pPr>
      <w:r>
        <w:t>Downtime.</w:t>
      </w:r>
    </w:p>
    <w:p>
      <w:pPr>
        <w:pStyle w:val="ListBullet"/>
      </w:pPr>
      <w:r>
        <w:t>Future software or hardware migration.</w:t>
      </w:r>
    </w:p>
    <w:p>
      <w:pPr>
        <w:pStyle w:val="ListBullet"/>
      </w:pPr>
      <w:r>
        <w:t>Decommissioning and disposal.</w:t>
      </w:r>
    </w:p>
    <w:p>
      <w:r>
        <w:t>A simple lifecycle cost model is:</w:t>
      </w:r>
    </w:p>
    <w:p>
      <w:pPr>
        <w:spacing w:before="120" w:after="160"/>
        <w:jc w:val="center"/>
      </w:pPr>
      <m:oMathPara>
        <m:oMath>
          <m:sSub>
            <m:e>
              <m:r>
                <m:t>C</m:t>
              </m:r>
            </m:e>
            <m:sub>
              <m:r>
                <m:rPr>
                  <m:nor/>
                </m:rPr>
                <m:t>life</m:t>
              </m:r>
            </m:sub>
          </m:sSub>
          <m:r>
            <m:t>=</m:t>
          </m:r>
          <m:sSub>
            <m:e>
              <m:r>
                <m:t>C</m:t>
              </m:r>
            </m:e>
            <m:sub>
              <m:r>
                <m:t>0</m:t>
              </m:r>
            </m:sub>
          </m:sSub>
          <m:r>
            <m:t>+</m:t>
          </m:r>
          <m:nary>
            <m:naryPr>
              <m:chr m:val="∑"/>
              <m:limLoc m:val="subSup"/>
              <m:grow m:val="1"/>
              <m:subHide m:val="off"/>
              <m:supHide m:val="off"/>
            </m:naryPr>
            <m:sub>
              <m:r>
                <m:t>t=1</m:t>
              </m:r>
            </m:sub>
            <m:sup>
              <m:r>
                <m:t>N</m:t>
              </m:r>
            </m:sup>
            <m:e>
              <m:sSub>
                <m:e>
                  <m:r>
                    <m:t>C</m:t>
                  </m:r>
                </m:e>
                <m:sub>
                  <m:r>
                    <m:t>t</m:t>
                  </m:r>
                </m:sub>
              </m:sSub>
            </m:e>
          </m:nary>
        </m:oMath>
      </m:oMathPara>
    </w:p>
    <w:p>
      <w:r>
        <w:t>Where:</w:t>
      </w:r>
    </w:p>
    <w:p>
      <w:pPr>
        <w:pStyle w:val="ListBullet"/>
      </w:pPr>
      <m:oMath>
        <m:sSub>
          <m:e>
            <m:r>
              <m:t>C</m:t>
            </m:r>
          </m:e>
          <m:sub>
            <m:r>
              <m:t>0</m:t>
            </m:r>
          </m:sub>
        </m:sSub>
      </m:oMath>
      <w:r>
        <w:t xml:space="preserve"> is the initial project cost.</w:t>
      </w:r>
    </w:p>
    <w:p>
      <w:pPr>
        <w:pStyle w:val="ListBullet"/>
      </w:pPr>
      <m:oMath>
        <m:sSub>
          <m:e>
            <m:r>
              <m:t>C</m:t>
            </m:r>
          </m:e>
          <m:sub>
            <m:r>
              <m:t>t</m:t>
            </m:r>
          </m:sub>
        </m:sSub>
      </m:oMath>
      <w:r>
        <w:t xml:space="preserve"> is the lifecycle cost in period </w:t>
      </w:r>
      <m:oMath>
        <m:r>
          <m:t>t</m:t>
        </m:r>
      </m:oMath>
      <w:r>
        <w:t>.</w:t>
      </w:r>
    </w:p>
    <w:p>
      <w:pPr>
        <w:pStyle w:val="ListBullet"/>
      </w:pPr>
      <m:oMath>
        <m:r>
          <m:t>N</m:t>
        </m:r>
      </m:oMath>
      <w:r>
        <w:t xml:space="preserve"> is the number of periods considered.</w:t>
      </w:r>
    </w:p>
    <w:p>
      <w:r>
        <w:t>This undiscounted model is suitable for a basic comparison. When the timing of cash flows matters, use discounted cash flow.</w:t>
      </w:r>
    </w:p>
    <w:p>
      <w:pPr>
        <w:spacing w:before="120" w:after="160"/>
        <w:jc w:val="center"/>
      </w:pPr>
      <m:oMathPara>
        <m:oMath>
          <m:r>
            <m:t>NPV=</m:t>
          </m:r>
          <m:sSub>
            <m:e>
              <m:r>
                <m:t>C</m:t>
              </m:r>
            </m:e>
            <m:sub>
              <m:r>
                <m:t>0</m:t>
              </m:r>
            </m:sub>
          </m:sSub>
          <m:r>
            <m:t>+</m:t>
          </m:r>
          <m:nary>
            <m:naryPr>
              <m:chr m:val="∑"/>
              <m:limLoc m:val="subSup"/>
              <m:grow m:val="1"/>
              <m:subHide m:val="off"/>
              <m:supHide m:val="off"/>
            </m:naryPr>
            <m:sub>
              <m:r>
                <m:t>t=1</m:t>
              </m:r>
            </m:sub>
            <m:sup>
              <m:r>
                <m:t>N</m:t>
              </m:r>
            </m:sup>
            <m:e>
              <m:f>
                <m:fPr>
                  <m:type m:val="bar"/>
                </m:fPr>
                <m:num>
                  <m:sSub>
                    <m:e>
                      <m:r>
                        <m:t>C</m:t>
                      </m:r>
                    </m:e>
                    <m:sub>
                      <m:r>
                        <m:t>t</m:t>
                      </m:r>
                    </m:sub>
                  </m:sSub>
                </m:num>
                <m:den>
                  <m:sSup>
                    <m:e>
                      <m:d>
                        <m:dPr>
                          <m:sepChr m:val=""/>
                        </m:dPr>
                        <m:e>
                          <m:r>
                            <m:t>1</m:t>
                          </m:r>
                          <m:r>
                            <m:t>+</m:t>
                          </m:r>
                          <m:r>
                            <m:t>r</m:t>
                          </m:r>
                        </m:e>
                      </m:d>
                    </m:e>
                    <m:sup>
                      <m:r>
                        <m:t>t</m:t>
                      </m:r>
                    </m:sup>
                  </m:sSup>
                </m:den>
              </m:f>
            </m:e>
          </m:nary>
        </m:oMath>
      </m:oMathPara>
    </w:p>
    <w:p>
      <w:r>
        <w:t xml:space="preserve">Here, </w:t>
      </w:r>
      <m:oMath>
        <m:r>
          <m:t>r</m:t>
        </m:r>
      </m:oMath>
      <w:r>
        <w:t xml:space="preserve"> is the discount rate, and costs are treated as positive outflows. For a complete investment appraisal, include expected benefits and calculate the net present value of benefits minus costs using a consistent sign convention.</w:t>
      </w:r>
    </w:p>
    <w:p>
      <w:r>
        <w:t>A system with a lower purchase price may have higher lifecycle costs if it requires expensive proprietary support, consumes more energy, or causes longer downtime.</w:t>
      </w:r>
    </w:p>
    <w:p>
      <w:pPr>
        <w:pStyle w:val="Heading2"/>
      </w:pPr>
      <w:r>
        <w:t>22. Calculate potential savings from reduced downtime</w:t>
      </w:r>
    </w:p>
    <w:p>
      <w:r>
        <w:t>Where the project is intended to improve reliability, estimate the potential economic value of downtime reduction.</w:t>
      </w:r>
    </w:p>
    <w:p>
      <w:r>
        <w:t>A simple estimate is:</w:t>
      </w:r>
    </w:p>
    <w:p>
      <w:pPr>
        <w:spacing w:before="120" w:after="160"/>
        <w:jc w:val="center"/>
      </w:pPr>
      <m:oMathPara>
        <m:oMath>
          <m:sSub>
            <m:e>
              <m:r>
                <m:t>S</m:t>
              </m:r>
            </m:e>
            <m:sub>
              <m:r>
                <m:rPr>
                  <m:nor/>
                </m:rPr>
                <m:t>downtime</m:t>
              </m:r>
            </m:sub>
          </m:sSub>
          <m:r>
            <m:t>=</m:t>
          </m:r>
          <m:sSub>
            <m:e>
              <m:r>
                <m:t>H</m:t>
              </m:r>
            </m:e>
            <m:sub>
              <m:r>
                <m:rPr>
                  <m:nor/>
                </m:rPr>
                <m:t>saved</m:t>
              </m:r>
            </m:sub>
          </m:sSub>
          <m:r>
            <m:t>×</m:t>
          </m:r>
          <m:sSub>
            <m:e>
              <m:r>
                <m:t>R</m:t>
              </m:r>
            </m:e>
            <m:sub>
              <m:r>
                <m:rPr>
                  <m:nor/>
                </m:rPr>
                <m:t>hour</m:t>
              </m:r>
            </m:sub>
          </m:sSub>
        </m:oMath>
      </m:oMathPara>
    </w:p>
    <w:p>
      <w:r>
        <w:t>Where:</w:t>
      </w:r>
    </w:p>
    <w:p>
      <w:pPr>
        <w:pStyle w:val="ListBullet"/>
      </w:pPr>
      <m:oMath>
        <m:sSub>
          <m:e>
            <m:r>
              <m:t>H</m:t>
            </m:r>
          </m:e>
          <m:sub>
            <m:r>
              <m:rPr>
                <m:nor/>
              </m:rPr>
              <m:t>saved</m:t>
            </m:r>
          </m:sub>
        </m:sSub>
      </m:oMath>
      <w:r>
        <w:t xml:space="preserve"> is the estimated number of downtime hours avoided per period.</w:t>
      </w:r>
    </w:p>
    <w:p>
      <w:pPr>
        <w:pStyle w:val="ListBullet"/>
      </w:pPr>
      <m:oMath>
        <m:sSub>
          <m:e>
            <m:r>
              <m:t>R</m:t>
            </m:r>
          </m:e>
          <m:sub>
            <m:r>
              <m:rPr>
                <m:nor/>
              </m:rPr>
              <m:t>hour</m:t>
            </m:r>
          </m:sub>
        </m:sSub>
      </m:oMath>
      <w:r>
        <w:t xml:space="preserve"> is the financial impact of one hour of downtime.</w:t>
      </w:r>
    </w:p>
    <w:p>
      <w:r>
        <w:t>The hourly impact must be defined carefully. It may represent lost contribution margin, incremental recovery costs, or another approved measure. It should not automatically be equated to the full value of production that was not completed.</w:t>
      </w:r>
    </w:p>
    <w:p>
      <w:r>
        <w:t>For example, suppose the proposed retrofit is expected to avoid 12 hours of downtime per year and the assessed impact is ₹8,000 per hour.</w:t>
      </w:r>
    </w:p>
    <w:p>
      <w:pPr>
        <w:spacing w:before="120" w:after="160"/>
        <w:jc w:val="center"/>
      </w:pPr>
      <m:oMathPara>
        <m:oMath>
          <m:sSub>
            <m:e>
              <m:r>
                <m:t>S</m:t>
              </m:r>
            </m:e>
            <m:sub>
              <m:r>
                <m:rPr>
                  <m:nor/>
                </m:rPr>
                <m:t>annual</m:t>
              </m:r>
            </m:sub>
          </m:sSub>
          <m:r>
            <m:t>=12×₹8</m:t>
          </m:r>
          <m:r>
            <m:t>,</m:t>
          </m:r>
          <m:r>
            <m:t>000=₹96</m:t>
          </m:r>
          <m:r>
            <m:t>,</m:t>
          </m:r>
          <m:r>
            <m:t>000</m:t>
          </m:r>
        </m:oMath>
      </m:oMathPara>
    </w:p>
    <w:p>
      <w:r>
        <w:t>This is an expected annual benefit, not a guaranteed saving. It must be supported by historical downtime, a credible failure-reduction mechanism, and a method for measuring actual results.</w:t>
      </w:r>
    </w:p>
    <w:p>
      <w:r>
        <w:t>Avoid counting the same benefit twice. For example, do not count both the full value of lost production and the full contribution margin from the same recovered production unless the financial model clearly distinguishes them.</w:t>
      </w:r>
    </w:p>
    <w:p>
      <w:pPr>
        <w:pStyle w:val="Heading2"/>
      </w:pPr>
      <w:r>
        <w:t>23. Calculate payback period</w:t>
      </w:r>
    </w:p>
    <w:p>
      <w:r>
        <w:t>The simple payback period estimates how long it takes for cumulative net benefits to recover the initial investment.</w:t>
      </w:r>
    </w:p>
    <w:p>
      <w:r>
        <w:t>If annual net benefits are approximately constant:</w:t>
      </w:r>
    </w:p>
    <w:p>
      <w:pPr>
        <w:spacing w:before="120" w:after="160"/>
        <w:jc w:val="center"/>
      </w:pPr>
      <m:oMathPara>
        <m:oMath>
          <m:sSub>
            <m:e>
              <m:r>
                <m:t>T</m:t>
              </m:r>
            </m:e>
            <m:sub>
              <m:r>
                <m:rPr>
                  <m:nor/>
                </m:rPr>
                <m:t>payback</m:t>
              </m:r>
            </m:sub>
          </m:sSub>
          <m:r>
            <m:t>=</m:t>
          </m:r>
          <m:f>
            <m:fPr>
              <m:type m:val="bar"/>
            </m:fPr>
            <m:num>
              <m:sSub>
                <m:e>
                  <m:r>
                    <m:t>C</m:t>
                  </m:r>
                </m:e>
                <m:sub>
                  <m:r>
                    <m:t>0</m:t>
                  </m:r>
                </m:sub>
              </m:sSub>
            </m:num>
            <m:den>
              <m:sSub>
                <m:e>
                  <m:r>
                    <m:t>B</m:t>
                  </m:r>
                </m:e>
                <m:sub>
                  <m:r>
                    <m:rPr>
                      <m:nor/>
                    </m:rPr>
                    <m:t>annual</m:t>
                  </m:r>
                </m:sub>
              </m:sSub>
            </m:den>
          </m:f>
        </m:oMath>
      </m:oMathPara>
    </w:p>
    <w:p>
      <w:r>
        <w:t>Where:</w:t>
      </w:r>
    </w:p>
    <w:p>
      <w:pPr>
        <w:pStyle w:val="ListBullet"/>
      </w:pPr>
      <m:oMath>
        <m:sSub>
          <m:e>
            <m:r>
              <m:t>C</m:t>
            </m:r>
          </m:e>
          <m:sub>
            <m:r>
              <m:t>0</m:t>
            </m:r>
          </m:sub>
        </m:sSub>
      </m:oMath>
      <w:r>
        <w:t xml:space="preserve"> is the initial investment.</w:t>
      </w:r>
    </w:p>
    <w:p>
      <w:pPr>
        <w:pStyle w:val="ListBullet"/>
      </w:pPr>
      <m:oMath>
        <m:sSub>
          <m:e>
            <m:r>
              <m:t>B</m:t>
            </m:r>
          </m:e>
          <m:sub>
            <m:r>
              <m:rPr>
                <m:nor/>
              </m:rPr>
              <m:t>annual</m:t>
            </m:r>
          </m:sub>
        </m:sSub>
      </m:oMath>
      <w:r>
        <w:t xml:space="preserve"> is the annual net benefit after relevant recurring costs.</w:t>
      </w:r>
    </w:p>
    <w:p>
      <w:r>
        <w:t>Suppose the retrofit costs ₹5,00,000 and produces an estimated annual net benefit of ₹1,25,000.</w:t>
      </w:r>
    </w:p>
    <w:p>
      <w:pPr>
        <w:spacing w:before="120" w:after="160"/>
        <w:jc w:val="center"/>
      </w:pPr>
      <m:oMathPara>
        <m:oMath>
          <m:sSub>
            <m:e>
              <m:r>
                <m:t>T</m:t>
              </m:r>
            </m:e>
            <m:sub>
              <m:r>
                <m:rPr>
                  <m:nor/>
                </m:rPr>
                <m:t>payback</m:t>
              </m:r>
            </m:sub>
          </m:sSub>
          <m:r>
            <m:t>=</m:t>
          </m:r>
          <m:f>
            <m:fPr>
              <m:type m:val="bar"/>
            </m:fPr>
            <m:num>
              <m:r>
                <m:t>₹5</m:t>
              </m:r>
              <m:r>
                <m:t>,</m:t>
              </m:r>
              <m:r>
                <m:t>00</m:t>
              </m:r>
              <m:r>
                <m:t>,</m:t>
              </m:r>
              <m:r>
                <m:t>000</m:t>
              </m:r>
            </m:num>
            <m:den>
              <m:r>
                <m:t>₹1</m:t>
              </m:r>
              <m:r>
                <m:t>,</m:t>
              </m:r>
              <m:r>
                <m:t>25</m:t>
              </m:r>
              <m:r>
                <m:t>,</m:t>
              </m:r>
              <m:r>
                <m:t>000</m:t>
              </m:r>
            </m:den>
          </m:f>
          <m:r>
            <m:t>=4</m:t>
          </m:r>
          <m:r>
            <m:rPr>
              <m:nor/>
            </m:rPr>
            <m:t> years</m:t>
          </m:r>
        </m:oMath>
      </m:oMathPara>
    </w:p>
    <w:p>
      <w:r>
        <w:t>This is a simple estimate that ignores discounting and assumes the annual net benefit remains constant. A more detailed financial evaluation should consider the timing of benefits, maintenance costs, production changes, tax treatment, and the expected useful life of the equipment.</w:t>
      </w:r>
    </w:p>
    <w:p>
      <w:r>
        <w:t>Payback alone does not measure total profitability or account for all lifecycle risks.</w:t>
      </w:r>
    </w:p>
    <w:p>
      <w:pPr>
        <w:pStyle w:val="Heading2"/>
      </w:pPr>
      <w:r>
        <w:t>24. Estimate the cost of downtime during implementation</w:t>
      </w:r>
    </w:p>
    <w:p>
      <w:r>
        <w:t>Retrofits can disrupt production during removal, installation, wiring, commissioning, and validation.</w:t>
      </w:r>
    </w:p>
    <w:p>
      <w:r>
        <w:t>The implementation estimate should identify:</w:t>
      </w:r>
    </w:p>
    <w:p>
      <w:pPr>
        <w:pStyle w:val="ListBullet"/>
      </w:pPr>
      <w:r>
        <w:t>Planned shutdown duration.</w:t>
      </w:r>
    </w:p>
    <w:p>
      <w:pPr>
        <w:pStyle w:val="ListBullet"/>
      </w:pPr>
      <w:r>
        <w:t>Production output affected.</w:t>
      </w:r>
    </w:p>
    <w:p>
      <w:pPr>
        <w:pStyle w:val="ListBullet"/>
      </w:pPr>
      <w:r>
        <w:t>Whether work can be completed offline.</w:t>
      </w:r>
    </w:p>
    <w:p>
      <w:pPr>
        <w:pStyle w:val="ListBullet"/>
      </w:pPr>
      <w:r>
        <w:t>Whether temporary controls or bypasses are required.</w:t>
      </w:r>
    </w:p>
    <w:p>
      <w:pPr>
        <w:pStyle w:val="ListBullet"/>
      </w:pPr>
      <w:r>
        <w:t>Whether work can be staged by machine or production zone.</w:t>
      </w:r>
    </w:p>
    <w:p>
      <w:pPr>
        <w:pStyle w:val="ListBullet"/>
      </w:pPr>
      <w:r>
        <w:t>Time required for safety checks and production release.</w:t>
      </w:r>
    </w:p>
    <w:p>
      <w:pPr>
        <w:pStyle w:val="ListBullet"/>
      </w:pPr>
      <w:r>
        <w:t>Potential cost of a delayed restart.</w:t>
      </w:r>
    </w:p>
    <w:p>
      <w:r>
        <w:t>If downtime has an agreed monetary impact, the estimated production interruption cost can be calculated using the applicable approved rate.</w:t>
      </w:r>
    </w:p>
    <w:p>
      <w:pPr>
        <w:spacing w:before="120" w:after="160"/>
        <w:jc w:val="center"/>
      </w:pPr>
      <m:oMathPara>
        <m:oMath>
          <m:sSub>
            <m:e>
              <m:r>
                <m:t>C</m:t>
              </m:r>
            </m:e>
            <m:sub>
              <m:r>
                <m:rPr>
                  <m:nor/>
                </m:rPr>
                <m:t>downtime</m:t>
              </m:r>
            </m:sub>
          </m:sSub>
          <m:r>
            <m:t>=</m:t>
          </m:r>
          <m:sSub>
            <m:e>
              <m:r>
                <m:t>H</m:t>
              </m:r>
            </m:e>
            <m:sub>
              <m:r>
                <m:rPr>
                  <m:nor/>
                </m:rPr>
                <m:t>shutdown</m:t>
              </m:r>
            </m:sub>
          </m:sSub>
          <m:r>
            <m:t>×</m:t>
          </m:r>
          <m:sSub>
            <m:e>
              <m:r>
                <m:t>R</m:t>
              </m:r>
            </m:e>
            <m:sub>
              <m:r>
                <m:rPr>
                  <m:nor/>
                </m:rPr>
                <m:t>impact</m:t>
              </m:r>
            </m:sub>
          </m:sSub>
        </m:oMath>
      </m:oMathPara>
    </w:p>
    <w:p>
      <w:r>
        <w:t>However, the result should be treated as a business-impact estimate, not automatically added to supplier expenditure. Depending on the financial model, downtime may be reported separately as an operational impact or included in the overall investment analysis.</w:t>
      </w:r>
    </w:p>
    <w:p>
      <w:r>
        <w:t>A practical mitigation strategy is to complete drawings, software preparation, panel assembly, and offline testing before the shutdown wherever feasible. This shifts work out of the production window and reduces dependence on on-site debugging.</w:t>
      </w:r>
    </w:p>
    <w:p>
      <w:pPr>
        <w:pStyle w:val="Heading2"/>
      </w:pPr>
      <w:r>
        <w:t>25. Prepare an estimate with traceable assumptions</w:t>
      </w:r>
    </w:p>
    <w:p>
      <w:r>
        <w:t>Each important estimate value should have a source.</w:t>
      </w:r>
    </w:p>
    <w:p>
      <w:r>
        <w:t>Examples include:</w:t>
      </w:r>
    </w:p>
    <w:p>
      <w:pPr>
        <w:pStyle w:val="ListBullet"/>
      </w:pPr>
      <w:r>
        <w:t>Supplier quotation.</w:t>
      </w:r>
    </w:p>
    <w:p>
      <w:pPr>
        <w:pStyle w:val="ListBullet"/>
      </w:pPr>
      <w:r>
        <w:t>Approved internal labor rate.</w:t>
      </w:r>
    </w:p>
    <w:p>
      <w:pPr>
        <w:pStyle w:val="ListBullet"/>
      </w:pPr>
      <w:r>
        <w:t>Measured cable route.</w:t>
      </w:r>
    </w:p>
    <w:p>
      <w:pPr>
        <w:pStyle w:val="ListBullet"/>
      </w:pPr>
      <w:r>
        <w:t>Verified I/O quantity.</w:t>
      </w:r>
    </w:p>
    <w:p>
      <w:pPr>
        <w:pStyle w:val="ListBullet"/>
      </w:pPr>
      <w:r>
        <w:t>Historical labor hours from similar projects.</w:t>
      </w:r>
    </w:p>
    <w:p>
      <w:pPr>
        <w:pStyle w:val="ListBullet"/>
      </w:pPr>
      <w:r>
        <w:t>Engineering calculation.</w:t>
      </w:r>
    </w:p>
    <w:p>
      <w:pPr>
        <w:pStyle w:val="ListBullet"/>
      </w:pPr>
      <w:r>
        <w:t>Budgetary vendor quote.</w:t>
      </w:r>
    </w:p>
    <w:p>
      <w:pPr>
        <w:pStyle w:val="ListBullet"/>
      </w:pPr>
      <w:r>
        <w:t>Explicit preliminary allowance.</w:t>
      </w:r>
    </w:p>
    <w:p>
      <w:r>
        <w:t>A useful estimation register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Estimate item ID</w:t>
            </w:r>
          </w:p>
        </w:tc>
        <w:tc>
          <w:tcPr>
            <w:tcW w:type="dxa" w:w="5400"/>
          </w:tcPr>
          <w:p>
            <w:pPr>
              <w:spacing w:after="0" w:before="0" w:line="240" w:lineRule="auto"/>
              <w:jc w:val="left"/>
            </w:pPr>
            <w:r>
              <w:t>Unique traceable reference</w:t>
            </w:r>
          </w:p>
        </w:tc>
      </w:tr>
      <w:tr>
        <w:tc>
          <w:tcPr>
            <w:tcW w:type="dxa" w:w="5400"/>
          </w:tcPr>
          <w:p>
            <w:pPr>
              <w:spacing w:after="0" w:before="0" w:line="240" w:lineRule="auto"/>
              <w:jc w:val="left"/>
            </w:pPr>
            <w:r>
              <w:t>Cost category</w:t>
            </w:r>
          </w:p>
        </w:tc>
        <w:tc>
          <w:tcPr>
            <w:tcW w:type="dxa" w:w="5400"/>
          </w:tcPr>
          <w:p>
            <w:pPr>
              <w:spacing w:after="0" w:before="0" w:line="240" w:lineRule="auto"/>
              <w:jc w:val="left"/>
            </w:pPr>
            <w:r>
              <w:t>Hardware, labor, service, logistics, or other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Clearly defined item or work package</w:t>
            </w:r>
          </w:p>
        </w:tc>
      </w:tr>
      <w:tr>
        <w:tc>
          <w:tcPr>
            <w:tcW w:type="dxa" w:w="5400"/>
          </w:tcPr>
          <w:p>
            <w:pPr>
              <w:spacing w:after="0" w:before="0" w:line="240" w:lineRule="auto"/>
              <w:jc w:val="left"/>
            </w:pPr>
            <w:r>
              <w:t>Quantity basis</w:t>
            </w:r>
          </w:p>
        </w:tc>
        <w:tc>
          <w:tcPr>
            <w:tcW w:type="dxa" w:w="5400"/>
          </w:tcPr>
          <w:p>
            <w:pPr>
              <w:spacing w:after="0" w:before="0" w:line="240" w:lineRule="auto"/>
              <w:jc w:val="left"/>
            </w:pPr>
            <w:r>
              <w:t>Drawing, calculation, survey, or assumption</w:t>
            </w:r>
          </w:p>
        </w:tc>
      </w:tr>
      <w:tr>
        <w:tc>
          <w:tcPr>
            <w:tcW w:type="dxa" w:w="5400"/>
          </w:tcPr>
          <w:p>
            <w:pPr>
              <w:spacing w:after="0" w:before="0" w:line="240" w:lineRule="auto"/>
              <w:jc w:val="left"/>
            </w:pPr>
            <w:r>
              <w:t>Unit cost basis</w:t>
            </w:r>
          </w:p>
        </w:tc>
        <w:tc>
          <w:tcPr>
            <w:tcW w:type="dxa" w:w="5400"/>
          </w:tcPr>
          <w:p>
            <w:pPr>
              <w:spacing w:after="0" w:before="0" w:line="240" w:lineRule="auto"/>
              <w:jc w:val="left"/>
            </w:pPr>
            <w:r>
              <w:t>Quotation, internal rate, or benchmark</w:t>
            </w:r>
          </w:p>
        </w:tc>
      </w:tr>
      <w:tr>
        <w:tc>
          <w:tcPr>
            <w:tcW w:type="dxa" w:w="5400"/>
          </w:tcPr>
          <w:p>
            <w:pPr>
              <w:spacing w:after="0" w:before="0" w:line="240" w:lineRule="auto"/>
              <w:jc w:val="left"/>
            </w:pPr>
            <w:r>
              <w:t>Source date</w:t>
            </w:r>
          </w:p>
        </w:tc>
        <w:tc>
          <w:tcPr>
            <w:tcW w:type="dxa" w:w="5400"/>
          </w:tcPr>
          <w:p>
            <w:pPr>
              <w:spacing w:after="0" w:before="0" w:line="240" w:lineRule="auto"/>
              <w:jc w:val="left"/>
            </w:pPr>
            <w:r>
              <w:t>Indicates price freshness</w:t>
            </w:r>
          </w:p>
        </w:tc>
      </w:tr>
      <w:tr>
        <w:tc>
          <w:tcPr>
            <w:tcW w:type="dxa" w:w="5400"/>
          </w:tcPr>
          <w:p>
            <w:pPr>
              <w:spacing w:after="0" w:before="0" w:line="240" w:lineRule="auto"/>
              <w:jc w:val="left"/>
            </w:pPr>
            <w:r>
              <w:t>Estimate maturity</w:t>
            </w:r>
          </w:p>
        </w:tc>
        <w:tc>
          <w:tcPr>
            <w:tcW w:type="dxa" w:w="5400"/>
          </w:tcPr>
          <w:p>
            <w:pPr>
              <w:spacing w:after="0" w:before="0" w:line="240" w:lineRule="auto"/>
              <w:jc w:val="left"/>
            </w:pPr>
            <w:r>
              <w:t>Preliminary, budgetary, or confirmed</w:t>
            </w:r>
          </w:p>
        </w:tc>
      </w:tr>
      <w:tr>
        <w:tc>
          <w:tcPr>
            <w:tcW w:type="dxa" w:w="5400"/>
          </w:tcPr>
          <w:p>
            <w:pPr>
              <w:spacing w:after="0" w:before="0" w:line="240" w:lineRule="auto"/>
              <w:jc w:val="left"/>
            </w:pPr>
            <w:r>
              <w:t>Assumption</w:t>
            </w:r>
          </w:p>
        </w:tc>
        <w:tc>
          <w:tcPr>
            <w:tcW w:type="dxa" w:w="5400"/>
          </w:tcPr>
          <w:p>
            <w:pPr>
              <w:spacing w:after="0" w:before="0" w:line="240" w:lineRule="auto"/>
              <w:jc w:val="left"/>
            </w:pPr>
            <w:r>
              <w:t>Condition used in the calculation</w:t>
            </w:r>
          </w:p>
        </w:tc>
      </w:tr>
      <w:tr>
        <w:tc>
          <w:tcPr>
            <w:tcW w:type="dxa" w:w="5400"/>
          </w:tcPr>
          <w:p>
            <w:pPr>
              <w:spacing w:after="0" w:before="0" w:line="240" w:lineRule="auto"/>
              <w:jc w:val="left"/>
            </w:pPr>
            <w:r>
              <w:t>Owner</w:t>
            </w:r>
          </w:p>
        </w:tc>
        <w:tc>
          <w:tcPr>
            <w:tcW w:type="dxa" w:w="5400"/>
          </w:tcPr>
          <w:p>
            <w:pPr>
              <w:spacing w:after="0" w:before="0" w:line="240" w:lineRule="auto"/>
              <w:jc w:val="left"/>
            </w:pPr>
            <w:r>
              <w:t>Person responsible for verification</w:t>
            </w:r>
          </w:p>
        </w:tc>
      </w:tr>
      <w:tr>
        <w:tc>
          <w:tcPr>
            <w:tcW w:type="dxa" w:w="5400"/>
          </w:tcPr>
          <w:p>
            <w:pPr>
              <w:spacing w:after="0" w:before="0" w:line="240" w:lineRule="auto"/>
              <w:jc w:val="left"/>
            </w:pPr>
            <w:r>
              <w:t>Status</w:t>
            </w:r>
          </w:p>
        </w:tc>
        <w:tc>
          <w:tcPr>
            <w:tcW w:type="dxa" w:w="5400"/>
          </w:tcPr>
          <w:p>
            <w:pPr>
              <w:spacing w:after="0" w:before="0" w:line="240" w:lineRule="auto"/>
              <w:jc w:val="left"/>
            </w:pPr>
            <w:r>
              <w:t>Open, verified, or revised</w:t>
            </w:r>
          </w:p>
        </w:tc>
      </w:tr>
    </w:tbl>
    <w:p/>
    <w:p>
      <w:r>
        <w:t>When a quotation expires or a design change alters quantities, the affected estimate items should be reviewed rather than leaving old prices in place indefinitely.</w:t>
      </w:r>
    </w:p>
    <w:p>
      <w:pPr>
        <w:pStyle w:val="Heading2"/>
      </w:pPr>
      <w:r>
        <w:t>26. Control currency and price validity</w:t>
      </w:r>
    </w:p>
    <w:p>
      <w:r>
        <w:t>Automation equipment may be priced in INR, EUR, USD, or another currency.</w:t>
      </w:r>
    </w:p>
    <w:p>
      <w:r>
        <w:t>For foreign-currency purchases, record:</w:t>
      </w:r>
    </w:p>
    <w:p>
      <w:pPr>
        <w:pStyle w:val="ListBullet"/>
      </w:pPr>
      <w:r>
        <w:t>Quoted currency.</w:t>
      </w:r>
    </w:p>
    <w:p>
      <w:pPr>
        <w:pStyle w:val="ListBullet"/>
      </w:pPr>
      <w:r>
        <w:t>Quotation date.</w:t>
      </w:r>
    </w:p>
    <w:p>
      <w:pPr>
        <w:pStyle w:val="ListBullet"/>
      </w:pPr>
      <w:r>
        <w:t>Applicable exchange-rate basis.</w:t>
      </w:r>
    </w:p>
    <w:p>
      <w:pPr>
        <w:pStyle w:val="ListBullet"/>
      </w:pPr>
      <w:r>
        <w:t>Whether the exchange rate is fixed or floating.</w:t>
      </w:r>
    </w:p>
    <w:p>
      <w:pPr>
        <w:pStyle w:val="ListBullet"/>
      </w:pPr>
      <w:r>
        <w:t>Bank and conversion charges where applicable.</w:t>
      </w:r>
    </w:p>
    <w:p>
      <w:pPr>
        <w:pStyle w:val="ListBullet"/>
      </w:pPr>
      <w:r>
        <w:t>Import duty and taxes where relevant.</w:t>
      </w:r>
    </w:p>
    <w:p>
      <w:pPr>
        <w:pStyle w:val="ListBullet"/>
      </w:pPr>
      <w:r>
        <w:t>Freight and insurance treatment.</w:t>
      </w:r>
    </w:p>
    <w:p>
      <w:pPr>
        <w:pStyle w:val="ListBullet"/>
      </w:pPr>
      <w:r>
        <w:t>Quotation validity.</w:t>
      </w:r>
    </w:p>
    <w:p>
      <w:pPr>
        <w:pStyle w:val="ListBullet"/>
      </w:pPr>
      <w:r>
        <w:t>Exposure to currency changes.</w:t>
      </w:r>
    </w:p>
    <w:p>
      <w:r>
        <w:t>A converted estimate is not a firm supplier commitment unless the applicable commercial terms establish the amount payable.</w:t>
      </w:r>
    </w:p>
    <w:p>
      <w:r>
        <w:t>Use a consistent exchange-rate basis across the comparison. If different suppliers quote in different currencies, document the conversion date and any assumptions used.</w:t>
      </w:r>
    </w:p>
    <w:p>
      <w:pPr>
        <w:pStyle w:val="Heading2"/>
      </w:pPr>
      <w:r>
        <w:t>27. Perform sensitivity analysis</w:t>
      </w:r>
    </w:p>
    <w:p>
      <w:r>
        <w:t>Sensitivity analysis identifies which uncertain inputs have the greatest effect on the final cost.</w:t>
      </w:r>
    </w:p>
    <w:p>
      <w:r>
        <w:t>Typical variables include:</w:t>
      </w:r>
    </w:p>
    <w:p>
      <w:pPr>
        <w:pStyle w:val="ListBullet"/>
      </w:pPr>
      <w:r>
        <w:t>Hardware unit prices.</w:t>
      </w:r>
    </w:p>
    <w:p>
      <w:pPr>
        <w:pStyle w:val="ListBullet"/>
      </w:pPr>
      <w:r>
        <w:t>Engineering hours.</w:t>
      </w:r>
    </w:p>
    <w:p>
      <w:pPr>
        <w:pStyle w:val="ListBullet"/>
      </w:pPr>
      <w:r>
        <w:t>Vendor service days.</w:t>
      </w:r>
    </w:p>
    <w:p>
      <w:pPr>
        <w:pStyle w:val="ListBullet"/>
      </w:pPr>
      <w:r>
        <w:t>Installation duration.</w:t>
      </w:r>
    </w:p>
    <w:p>
      <w:pPr>
        <w:pStyle w:val="ListBullet"/>
      </w:pPr>
      <w:r>
        <w:t>Freight and currency.</w:t>
      </w:r>
    </w:p>
    <w:p>
      <w:pPr>
        <w:pStyle w:val="ListBullet"/>
      </w:pPr>
      <w:r>
        <w:t>Contingency.</w:t>
      </w:r>
    </w:p>
    <w:p>
      <w:pPr>
        <w:pStyle w:val="ListBullet"/>
      </w:pPr>
      <w:r>
        <w:t>Shutdown duration.</w:t>
      </w:r>
    </w:p>
    <w:p>
      <w:pPr>
        <w:pStyle w:val="ListBullet"/>
      </w:pPr>
      <w:r>
        <w:t>Scope of existing equipment replacement.</w:t>
      </w:r>
    </w:p>
    <w:p>
      <w:r>
        <w:t>For a basic scenario analysis, prepare at least three cases.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Scenario</w:t>
            </w:r>
          </w:p>
        </w:tc>
        <w:tc>
          <w:tcPr>
            <w:tcW w:type="dxa" w:w="3600"/>
            <w:shd w:val="clear" w:color="auto" w:fill="EEF2F7"/>
          </w:tcPr>
          <w:p>
            <w:pPr>
              <w:spacing w:after="0" w:before="0" w:line="240" w:lineRule="auto"/>
              <w:jc w:val="left"/>
            </w:pPr>
            <w:r>
              <w:rPr>
                <w:b/>
                <w:color w:val="1A2E4A"/>
              </w:rPr>
              <w:t>Assumption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Low-cost case</w:t>
            </w:r>
          </w:p>
        </w:tc>
        <w:tc>
          <w:tcPr>
            <w:tcW w:type="dxa" w:w="3600"/>
          </w:tcPr>
          <w:p>
            <w:pPr>
              <w:spacing w:after="0" w:before="0" w:line="240" w:lineRule="auto"/>
              <w:jc w:val="left"/>
            </w:pPr>
            <w:r>
              <w:t>Favorable but credible conditions</w:t>
            </w:r>
          </w:p>
        </w:tc>
        <w:tc>
          <w:tcPr>
            <w:tcW w:type="dxa" w:w="3600"/>
          </w:tcPr>
          <w:p>
            <w:pPr>
              <w:spacing w:after="0" w:before="0" w:line="240" w:lineRule="auto"/>
              <w:jc w:val="left"/>
            </w:pPr>
            <w:r>
              <w:t>Shows potential lower expenditure</w:t>
            </w:r>
          </w:p>
        </w:tc>
      </w:tr>
      <w:tr>
        <w:tc>
          <w:tcPr>
            <w:tcW w:type="dxa" w:w="3600"/>
          </w:tcPr>
          <w:p>
            <w:pPr>
              <w:spacing w:after="0" w:before="0" w:line="240" w:lineRule="auto"/>
              <w:jc w:val="left"/>
            </w:pPr>
            <w:r>
              <w:t>Base case</w:t>
            </w:r>
          </w:p>
        </w:tc>
        <w:tc>
          <w:tcPr>
            <w:tcW w:type="dxa" w:w="3600"/>
          </w:tcPr>
          <w:p>
            <w:pPr>
              <w:spacing w:after="0" w:before="0" w:line="240" w:lineRule="auto"/>
              <w:jc w:val="left"/>
            </w:pPr>
            <w:r>
              <w:t>Most reasonable current assumptions</w:t>
            </w:r>
          </w:p>
        </w:tc>
        <w:tc>
          <w:tcPr>
            <w:tcW w:type="dxa" w:w="3600"/>
          </w:tcPr>
          <w:p>
            <w:pPr>
              <w:spacing w:after="0" w:before="0" w:line="240" w:lineRule="auto"/>
              <w:jc w:val="left"/>
            </w:pPr>
            <w:r>
              <w:t>Supports the working estimate</w:t>
            </w:r>
          </w:p>
        </w:tc>
      </w:tr>
      <w:tr>
        <w:tc>
          <w:tcPr>
            <w:tcW w:type="dxa" w:w="3600"/>
          </w:tcPr>
          <w:p>
            <w:pPr>
              <w:spacing w:after="0" w:before="0" w:line="240" w:lineRule="auto"/>
              <w:jc w:val="left"/>
            </w:pPr>
            <w:r>
              <w:t>High-cost case</w:t>
            </w:r>
          </w:p>
        </w:tc>
        <w:tc>
          <w:tcPr>
            <w:tcW w:type="dxa" w:w="3600"/>
          </w:tcPr>
          <w:p>
            <w:pPr>
              <w:spacing w:after="0" w:before="0" w:line="240" w:lineRule="auto"/>
              <w:jc w:val="left"/>
            </w:pPr>
            <w:r>
              <w:t>Adverse but plausible conditions</w:t>
            </w:r>
          </w:p>
        </w:tc>
        <w:tc>
          <w:tcPr>
            <w:tcW w:type="dxa" w:w="3600"/>
          </w:tcPr>
          <w:p>
            <w:pPr>
              <w:spacing w:after="0" w:before="0" w:line="240" w:lineRule="auto"/>
              <w:jc w:val="left"/>
            </w:pPr>
            <w:r>
              <w:t>Shows exposure and budget risk</w:t>
            </w:r>
          </w:p>
        </w:tc>
      </w:tr>
    </w:tbl>
    <w:p/>
    <w:p>
      <w:r>
        <w:t>Do not make the low-cost scenario depend on unsafe shortcuts or removal of mandatory requirements. Scenarios should differ in uncertain quantities, prices, or execution conditions, not in whether the project obeys essential engineering constraints.</w:t>
      </w:r>
    </w:p>
    <w:p>
      <w:r>
        <w:t>If the high-cost case exceeds the approved budget, identify the main drivers and decide whether additional investigation, scope clarification, or a different implementation strategy is justified.</w:t>
      </w:r>
    </w:p>
    <w:p>
      <w:pPr>
        <w:pStyle w:val="Heading2"/>
      </w:pPr>
      <w:r>
        <w:t>28. Use Excel to structure the estimate</w:t>
      </w:r>
    </w:p>
    <w:p>
      <w:r>
        <w:t>A practical workbook can contain the following sheets:</w:t>
      </w:r>
    </w:p>
    <w:p>
      <w:pPr>
        <w:pStyle w:val="ListBullet"/>
      </w:pPr>
      <w:r>
        <w:rPr>
          <w:rFonts w:ascii="Consolas" w:hAnsi="Consolas"/>
          <w:color w:val="333333"/>
          <w:sz w:val="19"/>
          <w:shd w:val="clear" w:color="auto" w:fill="EFEFEF"/>
        </w:rPr>
        <w:t>01_SCOPE_ASSUMPTIONS</w:t>
      </w:r>
    </w:p>
    <w:p>
      <w:pPr>
        <w:pStyle w:val="ListBullet"/>
      </w:pPr>
      <w:r>
        <w:rPr>
          <w:rFonts w:ascii="Consolas" w:hAnsi="Consolas"/>
          <w:color w:val="333333"/>
          <w:sz w:val="19"/>
          <w:shd w:val="clear" w:color="auto" w:fill="EFEFEF"/>
        </w:rPr>
        <w:t>02_BOM_COST</w:t>
      </w:r>
    </w:p>
    <w:p>
      <w:pPr>
        <w:pStyle w:val="ListBullet"/>
      </w:pPr>
      <w:r>
        <w:rPr>
          <w:rFonts w:ascii="Consolas" w:hAnsi="Consolas"/>
          <w:color w:val="333333"/>
          <w:sz w:val="19"/>
          <w:shd w:val="clear" w:color="auto" w:fill="EFEFEF"/>
        </w:rPr>
        <w:t>03_ENGINEERING_LABOR</w:t>
      </w:r>
    </w:p>
    <w:p>
      <w:pPr>
        <w:pStyle w:val="ListBullet"/>
      </w:pPr>
      <w:r>
        <w:rPr>
          <w:rFonts w:ascii="Consolas" w:hAnsi="Consolas"/>
          <w:color w:val="333333"/>
          <w:sz w:val="19"/>
          <w:shd w:val="clear" w:color="auto" w:fill="EFEFEF"/>
        </w:rPr>
        <w:t>04_INSTALLATION</w:t>
      </w:r>
    </w:p>
    <w:p>
      <w:pPr>
        <w:pStyle w:val="ListBullet"/>
      </w:pPr>
      <w:r>
        <w:rPr>
          <w:rFonts w:ascii="Consolas" w:hAnsi="Consolas"/>
          <w:color w:val="333333"/>
          <w:sz w:val="19"/>
          <w:shd w:val="clear" w:color="auto" w:fill="EFEFEF"/>
        </w:rPr>
        <w:t>05_VENDOR_SERVICES</w:t>
      </w:r>
    </w:p>
    <w:p>
      <w:pPr>
        <w:pStyle w:val="ListBullet"/>
      </w:pPr>
      <w:r>
        <w:rPr>
          <w:rFonts w:ascii="Consolas" w:hAnsi="Consolas"/>
          <w:color w:val="333333"/>
          <w:sz w:val="19"/>
          <w:shd w:val="clear" w:color="auto" w:fill="EFEFEF"/>
        </w:rPr>
        <w:t>06_TAX_LOGISTICS</w:t>
      </w:r>
    </w:p>
    <w:p>
      <w:pPr>
        <w:pStyle w:val="ListBullet"/>
      </w:pPr>
      <w:r>
        <w:rPr>
          <w:rFonts w:ascii="Consolas" w:hAnsi="Consolas"/>
          <w:color w:val="333333"/>
          <w:sz w:val="19"/>
          <w:shd w:val="clear" w:color="auto" w:fill="EFEFEF"/>
        </w:rPr>
        <w:t>07_RISK_CONTINGENCY</w:t>
      </w:r>
    </w:p>
    <w:p>
      <w:pPr>
        <w:pStyle w:val="ListBullet"/>
      </w:pPr>
      <w:r>
        <w:rPr>
          <w:rFonts w:ascii="Consolas" w:hAnsi="Consolas"/>
          <w:color w:val="333333"/>
          <w:sz w:val="19"/>
          <w:shd w:val="clear" w:color="auto" w:fill="EFEFEF"/>
        </w:rPr>
        <w:t>08_COST_SUMMARY</w:t>
      </w:r>
    </w:p>
    <w:p>
      <w:pPr>
        <w:pStyle w:val="ListBullet"/>
      </w:pPr>
      <w:r>
        <w:rPr>
          <w:rFonts w:ascii="Consolas" w:hAnsi="Consolas"/>
          <w:color w:val="333333"/>
          <w:sz w:val="19"/>
          <w:shd w:val="clear" w:color="auto" w:fill="EFEFEF"/>
        </w:rPr>
        <w:t>09_QUOTATION_COMPARISON</w:t>
      </w:r>
    </w:p>
    <w:p>
      <w:pPr>
        <w:pStyle w:val="ListBullet"/>
      </w:pPr>
      <w:r>
        <w:rPr>
          <w:rFonts w:ascii="Consolas" w:hAnsi="Consolas"/>
          <w:color w:val="333333"/>
          <w:sz w:val="19"/>
          <w:shd w:val="clear" w:color="auto" w:fill="EFEFEF"/>
        </w:rPr>
        <w:t>10_LIFECYCLE_ANALYSIS</w:t>
      </w:r>
    </w:p>
    <w:p>
      <w:r>
        <w:t>For the BOM sheet, use columns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Column</w:t>
            </w:r>
          </w:p>
        </w:tc>
        <w:tc>
          <w:tcPr>
            <w:tcW w:type="dxa" w:w="5400"/>
            <w:shd w:val="clear" w:color="auto" w:fill="EEF2F7"/>
          </w:tcPr>
          <w:p>
            <w:pPr>
              <w:spacing w:after="0" w:before="0" w:line="240" w:lineRule="auto"/>
              <w:jc w:val="left"/>
            </w:pPr>
            <w:r>
              <w:rPr>
                <w:b/>
                <w:color w:val="1A2E4A"/>
              </w:rPr>
              <w:t>Example field</w:t>
            </w:r>
          </w:p>
        </w:tc>
      </w:tr>
      <w:tr>
        <w:tc>
          <w:tcPr>
            <w:tcW w:type="dxa" w:w="5400"/>
          </w:tcPr>
          <w:p>
            <w:pPr>
              <w:spacing w:after="0" w:before="0" w:line="240" w:lineRule="auto"/>
              <w:jc w:val="left"/>
            </w:pPr>
            <w:r>
              <w:t>A</w:t>
            </w:r>
          </w:p>
        </w:tc>
        <w:tc>
          <w:tcPr>
            <w:tcW w:type="dxa" w:w="5400"/>
          </w:tcPr>
          <w:p>
            <w:pPr>
              <w:spacing w:after="0" w:before="0" w:line="240" w:lineRule="auto"/>
              <w:jc w:val="left"/>
            </w:pPr>
            <w:r>
              <w:t>Item ID</w:t>
            </w:r>
          </w:p>
        </w:tc>
      </w:tr>
      <w:tr>
        <w:tc>
          <w:tcPr>
            <w:tcW w:type="dxa" w:w="5400"/>
          </w:tcPr>
          <w:p>
            <w:pPr>
              <w:spacing w:after="0" w:before="0" w:line="240" w:lineRule="auto"/>
              <w:jc w:val="left"/>
            </w:pPr>
            <w:r>
              <w:t>B</w:t>
            </w:r>
          </w:p>
        </w:tc>
        <w:tc>
          <w:tcPr>
            <w:tcW w:type="dxa" w:w="5400"/>
          </w:tcPr>
          <w:p>
            <w:pPr>
              <w:spacing w:after="0" w:before="0" w:line="240" w:lineRule="auto"/>
              <w:jc w:val="left"/>
            </w:pPr>
            <w:r>
              <w:t>Category</w:t>
            </w:r>
          </w:p>
        </w:tc>
      </w:tr>
      <w:tr>
        <w:tc>
          <w:tcPr>
            <w:tcW w:type="dxa" w:w="5400"/>
          </w:tcPr>
          <w:p>
            <w:pPr>
              <w:spacing w:after="0" w:before="0" w:line="240" w:lineRule="auto"/>
              <w:jc w:val="left"/>
            </w:pPr>
            <w:r>
              <w:t>C</w:t>
            </w:r>
          </w:p>
        </w:tc>
        <w:tc>
          <w:tcPr>
            <w:tcW w:type="dxa" w:w="5400"/>
          </w:tcPr>
          <w:p>
            <w:pPr>
              <w:spacing w:after="0" w:before="0" w:line="240" w:lineRule="auto"/>
              <w:jc w:val="left"/>
            </w:pPr>
            <w:r>
              <w:t>Description</w:t>
            </w:r>
          </w:p>
        </w:tc>
      </w:tr>
      <w:tr>
        <w:tc>
          <w:tcPr>
            <w:tcW w:type="dxa" w:w="5400"/>
          </w:tcPr>
          <w:p>
            <w:pPr>
              <w:spacing w:after="0" w:before="0" w:line="240" w:lineRule="auto"/>
              <w:jc w:val="left"/>
            </w:pPr>
            <w:r>
              <w:t>D</w:t>
            </w:r>
          </w:p>
        </w:tc>
        <w:tc>
          <w:tcPr>
            <w:tcW w:type="dxa" w:w="5400"/>
          </w:tcPr>
          <w:p>
            <w:pPr>
              <w:spacing w:after="0" w:before="0" w:line="240" w:lineRule="auto"/>
              <w:jc w:val="left"/>
            </w:pPr>
            <w:r>
              <w:t>Manufacturer/model</w:t>
            </w:r>
          </w:p>
        </w:tc>
      </w:tr>
      <w:tr>
        <w:tc>
          <w:tcPr>
            <w:tcW w:type="dxa" w:w="5400"/>
          </w:tcPr>
          <w:p>
            <w:pPr>
              <w:spacing w:after="0" w:before="0" w:line="240" w:lineRule="auto"/>
              <w:jc w:val="left"/>
            </w:pPr>
            <w:r>
              <w:t>E</w:t>
            </w:r>
          </w:p>
        </w:tc>
        <w:tc>
          <w:tcPr>
            <w:tcW w:type="dxa" w:w="5400"/>
          </w:tcPr>
          <w:p>
            <w:pPr>
              <w:spacing w:after="0" w:before="0" w:line="240" w:lineRule="auto"/>
              <w:jc w:val="left"/>
            </w:pPr>
            <w:r>
              <w:t>Quantity</w:t>
            </w:r>
          </w:p>
        </w:tc>
      </w:tr>
      <w:tr>
        <w:tc>
          <w:tcPr>
            <w:tcW w:type="dxa" w:w="5400"/>
          </w:tcPr>
          <w:p>
            <w:pPr>
              <w:spacing w:after="0" w:before="0" w:line="240" w:lineRule="auto"/>
              <w:jc w:val="left"/>
            </w:pPr>
            <w:r>
              <w:t>F</w:t>
            </w:r>
          </w:p>
        </w:tc>
        <w:tc>
          <w:tcPr>
            <w:tcW w:type="dxa" w:w="5400"/>
          </w:tcPr>
          <w:p>
            <w:pPr>
              <w:spacing w:after="0" w:before="0" w:line="240" w:lineRule="auto"/>
              <w:jc w:val="left"/>
            </w:pPr>
            <w:r>
              <w:t>Unit</w:t>
            </w:r>
          </w:p>
        </w:tc>
      </w:tr>
      <w:tr>
        <w:tc>
          <w:tcPr>
            <w:tcW w:type="dxa" w:w="5400"/>
          </w:tcPr>
          <w:p>
            <w:pPr>
              <w:spacing w:after="0" w:before="0" w:line="240" w:lineRule="auto"/>
              <w:jc w:val="left"/>
            </w:pPr>
            <w:r>
              <w:t>G</w:t>
            </w:r>
          </w:p>
        </w:tc>
        <w:tc>
          <w:tcPr>
            <w:tcW w:type="dxa" w:w="5400"/>
          </w:tcPr>
          <w:p>
            <w:pPr>
              <w:spacing w:after="0" w:before="0" w:line="240" w:lineRule="auto"/>
              <w:jc w:val="left"/>
            </w:pPr>
            <w:r>
              <w:t>Unit price</w:t>
            </w:r>
          </w:p>
        </w:tc>
      </w:tr>
      <w:tr>
        <w:tc>
          <w:tcPr>
            <w:tcW w:type="dxa" w:w="5400"/>
          </w:tcPr>
          <w:p>
            <w:pPr>
              <w:spacing w:after="0" w:before="0" w:line="240" w:lineRule="auto"/>
              <w:jc w:val="left"/>
            </w:pPr>
            <w:r>
              <w:t>H</w:t>
            </w:r>
          </w:p>
        </w:tc>
        <w:tc>
          <w:tcPr>
            <w:tcW w:type="dxa" w:w="5400"/>
          </w:tcPr>
          <w:p>
            <w:pPr>
              <w:spacing w:after="0" w:before="0" w:line="240" w:lineRule="auto"/>
              <w:jc w:val="left"/>
            </w:pPr>
            <w:r>
              <w:t>Extended cost</w:t>
            </w:r>
          </w:p>
        </w:tc>
      </w:tr>
      <w:tr>
        <w:tc>
          <w:tcPr>
            <w:tcW w:type="dxa" w:w="5400"/>
          </w:tcPr>
          <w:p>
            <w:pPr>
              <w:spacing w:after="0" w:before="0" w:line="240" w:lineRule="auto"/>
              <w:jc w:val="left"/>
            </w:pPr>
            <w:r>
              <w:t>I</w:t>
            </w:r>
          </w:p>
        </w:tc>
        <w:tc>
          <w:tcPr>
            <w:tcW w:type="dxa" w:w="5400"/>
          </w:tcPr>
          <w:p>
            <w:pPr>
              <w:spacing w:after="0" w:before="0" w:line="240" w:lineRule="auto"/>
              <w:jc w:val="left"/>
            </w:pPr>
            <w:r>
              <w:t>Currency</w:t>
            </w:r>
          </w:p>
        </w:tc>
      </w:tr>
      <w:tr>
        <w:tc>
          <w:tcPr>
            <w:tcW w:type="dxa" w:w="5400"/>
          </w:tcPr>
          <w:p>
            <w:pPr>
              <w:spacing w:after="0" w:before="0" w:line="240" w:lineRule="auto"/>
              <w:jc w:val="left"/>
            </w:pPr>
            <w:r>
              <w:t>J</w:t>
            </w:r>
          </w:p>
        </w:tc>
        <w:tc>
          <w:tcPr>
            <w:tcW w:type="dxa" w:w="5400"/>
          </w:tcPr>
          <w:p>
            <w:pPr>
              <w:spacing w:after="0" w:before="0" w:line="240" w:lineRule="auto"/>
              <w:jc w:val="left"/>
            </w:pPr>
            <w:r>
              <w:t>Supplier</w:t>
            </w:r>
          </w:p>
        </w:tc>
      </w:tr>
      <w:tr>
        <w:tc>
          <w:tcPr>
            <w:tcW w:type="dxa" w:w="5400"/>
          </w:tcPr>
          <w:p>
            <w:pPr>
              <w:spacing w:after="0" w:before="0" w:line="240" w:lineRule="auto"/>
              <w:jc w:val="left"/>
            </w:pPr>
            <w:r>
              <w:t>K</w:t>
            </w:r>
          </w:p>
        </w:tc>
        <w:tc>
          <w:tcPr>
            <w:tcW w:type="dxa" w:w="5400"/>
          </w:tcPr>
          <w:p>
            <w:pPr>
              <w:spacing w:after="0" w:before="0" w:line="240" w:lineRule="auto"/>
              <w:jc w:val="left"/>
            </w:pPr>
            <w:r>
              <w:t>Quotation date</w:t>
            </w:r>
          </w:p>
        </w:tc>
      </w:tr>
      <w:tr>
        <w:tc>
          <w:tcPr>
            <w:tcW w:type="dxa" w:w="5400"/>
          </w:tcPr>
          <w:p>
            <w:pPr>
              <w:spacing w:after="0" w:before="0" w:line="240" w:lineRule="auto"/>
              <w:jc w:val="left"/>
            </w:pPr>
            <w:r>
              <w:t>L</w:t>
            </w:r>
          </w:p>
        </w:tc>
        <w:tc>
          <w:tcPr>
            <w:tcW w:type="dxa" w:w="5400"/>
          </w:tcPr>
          <w:p>
            <w:pPr>
              <w:spacing w:after="0" w:before="0" w:line="240" w:lineRule="auto"/>
              <w:jc w:val="left"/>
            </w:pPr>
            <w:r>
              <w:t>Status</w:t>
            </w:r>
          </w:p>
        </w:tc>
      </w:tr>
    </w:tbl>
    <w:p/>
    <w:p>
      <w:r>
        <w:t>The extended cost formula in row 2 would be:</w:t>
      </w:r>
    </w:p>
    <w:p>
      <w:pPr>
        <w:shd w:val="clear" w:color="auto" w:fill="F4F4F4"/>
        <w:spacing w:before="0" w:after="0" w:line="240" w:lineRule="auto"/>
        <w:ind w:left="216" w:right="216"/>
        <w:jc w:val="left"/>
      </w:pPr>
      <w:r>
        <w:rPr>
          <w:rFonts w:ascii="Consolas" w:hAnsi="Consolas"/>
          <w:color w:val="202020"/>
          <w:sz w:val="18"/>
        </w:rPr>
        <w:t>=E2*G2</w:t>
      </w:r>
    </w:p>
    <w:p/>
    <w:p>
      <w:r>
        <w:t>For a total over a defined range:</w:t>
      </w:r>
    </w:p>
    <w:p>
      <w:pPr>
        <w:shd w:val="clear" w:color="auto" w:fill="F4F4F4"/>
        <w:spacing w:before="0" w:after="0" w:line="240" w:lineRule="auto"/>
        <w:ind w:left="216" w:right="216"/>
        <w:jc w:val="left"/>
      </w:pPr>
      <w:r>
        <w:rPr>
          <w:rFonts w:ascii="Consolas" w:hAnsi="Consolas"/>
          <w:color w:val="202020"/>
          <w:sz w:val="18"/>
        </w:rPr>
        <w:t>=SUM(H2:H100)</w:t>
      </w:r>
    </w:p>
    <w:p/>
    <w:p>
      <w:r>
        <w:t>For a category subtotal using the category in column B:</w:t>
      </w:r>
    </w:p>
    <w:p>
      <w:pPr>
        <w:shd w:val="clear" w:color="auto" w:fill="F4F4F4"/>
        <w:spacing w:before="0" w:after="0" w:line="240" w:lineRule="auto"/>
        <w:ind w:left="216" w:right="216"/>
        <w:jc w:val="left"/>
      </w:pPr>
      <w:r>
        <w:rPr>
          <w:rFonts w:ascii="Consolas" w:hAnsi="Consolas"/>
          <w:color w:val="202020"/>
          <w:sz w:val="18"/>
        </w:rPr>
        <w:t>=SUMIF(B2:B100,"Hardware",H2:H100)</w:t>
      </w:r>
    </w:p>
    <w:p/>
    <w:p>
      <w:r>
        <w:t xml:space="preserve">Use a category name that matches the actual workbook entries. If the workbook uses </w:t>
      </w:r>
      <w:r>
        <w:rPr>
          <w:rFonts w:ascii="Consolas" w:hAnsi="Consolas"/>
          <w:color w:val="333333"/>
          <w:sz w:val="19"/>
          <w:shd w:val="clear" w:color="auto" w:fill="EFEFEF"/>
        </w:rPr>
        <w:t>Electrical Materials</w:t>
      </w:r>
      <w:r>
        <w:t xml:space="preserve"> instead of </w:t>
      </w:r>
      <w:r>
        <w:rPr>
          <w:rFonts w:ascii="Consolas" w:hAnsi="Consolas"/>
          <w:color w:val="333333"/>
          <w:sz w:val="19"/>
          <w:shd w:val="clear" w:color="auto" w:fill="EFEFEF"/>
        </w:rPr>
        <w:t>Hardware</w:t>
      </w:r>
      <w:r>
        <w:t>, the formula must use that exact category.</w:t>
      </w:r>
    </w:p>
    <w:p>
      <w:r>
        <w:t>A well-structured workbook should distinguish entered values from calculated values, identify provisional prices, and prevent the same work from being included in multiple sheets.</w:t>
      </w:r>
    </w:p>
    <w:p>
      <w:pPr>
        <w:pStyle w:val="Heading2"/>
      </w:pPr>
      <w:r>
        <w:t>29. Cost-estimation mistakes to avoid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Pricing only the PLC and HMI</w:t>
            </w:r>
          </w:p>
        </w:tc>
        <w:tc>
          <w:tcPr>
            <w:tcW w:type="dxa" w:w="3600"/>
          </w:tcPr>
          <w:p>
            <w:pPr>
              <w:spacing w:after="0" w:before="0" w:line="240" w:lineRule="auto"/>
              <w:jc w:val="left"/>
            </w:pPr>
            <w:r>
              <w:t>Missing materials and labor</w:t>
            </w:r>
          </w:p>
        </w:tc>
        <w:tc>
          <w:tcPr>
            <w:tcW w:type="dxa" w:w="3600"/>
          </w:tcPr>
          <w:p>
            <w:pPr>
              <w:spacing w:after="0" w:before="0" w:line="240" w:lineRule="auto"/>
              <w:jc w:val="left"/>
            </w:pPr>
            <w:r>
              <w:t>Use a complete WBS and BOM</w:t>
            </w:r>
          </w:p>
        </w:tc>
      </w:tr>
      <w:tr>
        <w:tc>
          <w:tcPr>
            <w:tcW w:type="dxa" w:w="3600"/>
          </w:tcPr>
          <w:p>
            <w:pPr>
              <w:spacing w:after="0" w:before="0" w:line="240" w:lineRule="auto"/>
              <w:jc w:val="left"/>
            </w:pPr>
            <w:r>
              <w:t>Ignoring software licenses</w:t>
            </w:r>
          </w:p>
        </w:tc>
        <w:tc>
          <w:tcPr>
            <w:tcW w:type="dxa" w:w="3600"/>
          </w:tcPr>
          <w:p>
            <w:pPr>
              <w:spacing w:after="0" w:before="0" w:line="240" w:lineRule="auto"/>
              <w:jc w:val="left"/>
            </w:pPr>
            <w:r>
              <w:t>Unexpected procurement cost</w:t>
            </w:r>
          </w:p>
        </w:tc>
        <w:tc>
          <w:tcPr>
            <w:tcW w:type="dxa" w:w="3600"/>
          </w:tcPr>
          <w:p>
            <w:pPr>
              <w:spacing w:after="0" w:before="0" w:line="240" w:lineRule="auto"/>
              <w:jc w:val="left"/>
            </w:pPr>
            <w:r>
              <w:t>Verify license scope and renewal conditions</w:t>
            </w:r>
          </w:p>
        </w:tc>
      </w:tr>
      <w:tr>
        <w:tc>
          <w:tcPr>
            <w:tcW w:type="dxa" w:w="3600"/>
          </w:tcPr>
          <w:p>
            <w:pPr>
              <w:spacing w:after="0" w:before="0" w:line="240" w:lineRule="auto"/>
              <w:jc w:val="left"/>
            </w:pPr>
            <w:r>
              <w:t>Guessing installation hours</w:t>
            </w:r>
          </w:p>
        </w:tc>
        <w:tc>
          <w:tcPr>
            <w:tcW w:type="dxa" w:w="3600"/>
          </w:tcPr>
          <w:p>
            <w:pPr>
              <w:spacing w:after="0" w:before="0" w:line="240" w:lineRule="auto"/>
              <w:jc w:val="left"/>
            </w:pPr>
            <w:r>
              <w:t>Underestimated site effort</w:t>
            </w:r>
          </w:p>
        </w:tc>
        <w:tc>
          <w:tcPr>
            <w:tcW w:type="dxa" w:w="3600"/>
          </w:tcPr>
          <w:p>
            <w:pPr>
              <w:spacing w:after="0" w:before="0" w:line="240" w:lineRule="auto"/>
              <w:jc w:val="left"/>
            </w:pPr>
            <w:r>
              <w:t>Survey routes and access conditions</w:t>
            </w:r>
          </w:p>
        </w:tc>
      </w:tr>
      <w:tr>
        <w:tc>
          <w:tcPr>
            <w:tcW w:type="dxa" w:w="3600"/>
          </w:tcPr>
          <w:p>
            <w:pPr>
              <w:spacing w:after="0" w:before="0" w:line="240" w:lineRule="auto"/>
              <w:jc w:val="left"/>
            </w:pPr>
            <w:r>
              <w:t>Using outdated prices</w:t>
            </w:r>
          </w:p>
        </w:tc>
        <w:tc>
          <w:tcPr>
            <w:tcW w:type="dxa" w:w="3600"/>
          </w:tcPr>
          <w:p>
            <w:pPr>
              <w:spacing w:after="0" w:before="0" w:line="240" w:lineRule="auto"/>
              <w:jc w:val="left"/>
            </w:pPr>
            <w:r>
              <w:t>Inaccurate estimate</w:t>
            </w:r>
          </w:p>
        </w:tc>
        <w:tc>
          <w:tcPr>
            <w:tcW w:type="dxa" w:w="3600"/>
          </w:tcPr>
          <w:p>
            <w:pPr>
              <w:spacing w:after="0" w:before="0" w:line="240" w:lineRule="auto"/>
              <w:jc w:val="left"/>
            </w:pPr>
            <w:r>
              <w:t>Record quote dates and validity</w:t>
            </w:r>
          </w:p>
        </w:tc>
      </w:tr>
      <w:tr>
        <w:tc>
          <w:tcPr>
            <w:tcW w:type="dxa" w:w="3600"/>
          </w:tcPr>
          <w:p>
            <w:pPr>
              <w:spacing w:after="0" w:before="0" w:line="240" w:lineRule="auto"/>
              <w:jc w:val="left"/>
            </w:pPr>
            <w:r>
              <w:t>Ignoring vendor travel charges</w:t>
            </w:r>
          </w:p>
        </w:tc>
        <w:tc>
          <w:tcPr>
            <w:tcW w:type="dxa" w:w="3600"/>
          </w:tcPr>
          <w:p>
            <w:pPr>
              <w:spacing w:after="0" w:before="0" w:line="240" w:lineRule="auto"/>
              <w:jc w:val="left"/>
            </w:pPr>
            <w:r>
              <w:t>Unplanned service costs</w:t>
            </w:r>
          </w:p>
        </w:tc>
        <w:tc>
          <w:tcPr>
            <w:tcW w:type="dxa" w:w="3600"/>
          </w:tcPr>
          <w:p>
            <w:pPr>
              <w:spacing w:after="0" w:before="0" w:line="240" w:lineRule="auto"/>
              <w:jc w:val="left"/>
            </w:pPr>
            <w:r>
              <w:t>Confirm service terms</w:t>
            </w:r>
          </w:p>
        </w:tc>
      </w:tr>
      <w:tr>
        <w:tc>
          <w:tcPr>
            <w:tcW w:type="dxa" w:w="3600"/>
          </w:tcPr>
          <w:p>
            <w:pPr>
              <w:spacing w:after="0" w:before="0" w:line="240" w:lineRule="auto"/>
              <w:jc w:val="left"/>
            </w:pPr>
            <w:r>
              <w:t>Double-counting services</w:t>
            </w:r>
          </w:p>
        </w:tc>
        <w:tc>
          <w:tcPr>
            <w:tcW w:type="dxa" w:w="3600"/>
          </w:tcPr>
          <w:p>
            <w:pPr>
              <w:spacing w:after="0" w:before="0" w:line="240" w:lineRule="auto"/>
              <w:jc w:val="left"/>
            </w:pPr>
            <w:r>
              <w:t>Inflated estimate</w:t>
            </w:r>
          </w:p>
        </w:tc>
        <w:tc>
          <w:tcPr>
            <w:tcW w:type="dxa" w:w="3600"/>
          </w:tcPr>
          <w:p>
            <w:pPr>
              <w:spacing w:after="0" w:before="0" w:line="240" w:lineRule="auto"/>
              <w:jc w:val="left"/>
            </w:pPr>
            <w:r>
              <w:t>Check supplier inclusions and exclusions</w:t>
            </w:r>
          </w:p>
        </w:tc>
      </w:tr>
      <w:tr>
        <w:tc>
          <w:tcPr>
            <w:tcW w:type="dxa" w:w="3600"/>
          </w:tcPr>
          <w:p>
            <w:pPr>
              <w:spacing w:after="0" w:before="0" w:line="240" w:lineRule="auto"/>
              <w:jc w:val="left"/>
            </w:pPr>
            <w:r>
              <w:t>Applying arbitrary contingency</w:t>
            </w:r>
          </w:p>
        </w:tc>
        <w:tc>
          <w:tcPr>
            <w:tcW w:type="dxa" w:w="3600"/>
          </w:tcPr>
          <w:p>
            <w:pPr>
              <w:spacing w:after="0" w:before="0" w:line="240" w:lineRule="auto"/>
              <w:jc w:val="left"/>
            </w:pPr>
            <w:r>
              <w:t>Poor budget credibility</w:t>
            </w:r>
          </w:p>
        </w:tc>
        <w:tc>
          <w:tcPr>
            <w:tcW w:type="dxa" w:w="3600"/>
          </w:tcPr>
          <w:p>
            <w:pPr>
              <w:spacing w:after="0" w:before="0" w:line="240" w:lineRule="auto"/>
              <w:jc w:val="left"/>
            </w:pPr>
            <w:r>
              <w:t>Link allowances to uncertainty and risk</w:t>
            </w:r>
          </w:p>
        </w:tc>
      </w:tr>
      <w:tr>
        <w:tc>
          <w:tcPr>
            <w:tcW w:type="dxa" w:w="3600"/>
          </w:tcPr>
          <w:p>
            <w:pPr>
              <w:spacing w:after="0" w:before="0" w:line="240" w:lineRule="auto"/>
              <w:jc w:val="left"/>
            </w:pPr>
            <w:r>
              <w:t>Ignoring shutdown impact</w:t>
            </w:r>
          </w:p>
        </w:tc>
        <w:tc>
          <w:tcPr>
            <w:tcW w:type="dxa" w:w="3600"/>
          </w:tcPr>
          <w:p>
            <w:pPr>
              <w:spacing w:after="0" w:before="0" w:line="240" w:lineRule="auto"/>
              <w:jc w:val="left"/>
            </w:pPr>
            <w:r>
              <w:t>Incomplete business case</w:t>
            </w:r>
          </w:p>
        </w:tc>
        <w:tc>
          <w:tcPr>
            <w:tcW w:type="dxa" w:w="3600"/>
          </w:tcPr>
          <w:p>
            <w:pPr>
              <w:spacing w:after="0" w:before="0" w:line="240" w:lineRule="auto"/>
              <w:jc w:val="left"/>
            </w:pPr>
            <w:r>
              <w:t>Assess production disruption separately</w:t>
            </w:r>
          </w:p>
        </w:tc>
      </w:tr>
      <w:tr>
        <w:tc>
          <w:tcPr>
            <w:tcW w:type="dxa" w:w="3600"/>
          </w:tcPr>
          <w:p>
            <w:pPr>
              <w:spacing w:after="0" w:before="0" w:line="240" w:lineRule="auto"/>
              <w:jc w:val="left"/>
            </w:pPr>
            <w:r>
              <w:t>Mixing currencies without a basis</w:t>
            </w:r>
          </w:p>
        </w:tc>
        <w:tc>
          <w:tcPr>
            <w:tcW w:type="dxa" w:w="3600"/>
          </w:tcPr>
          <w:p>
            <w:pPr>
              <w:spacing w:after="0" w:before="0" w:line="240" w:lineRule="auto"/>
              <w:jc w:val="left"/>
            </w:pPr>
            <w:r>
              <w:t>Invalid comparisons</w:t>
            </w:r>
          </w:p>
        </w:tc>
        <w:tc>
          <w:tcPr>
            <w:tcW w:type="dxa" w:w="3600"/>
          </w:tcPr>
          <w:p>
            <w:pPr>
              <w:spacing w:after="0" w:before="0" w:line="240" w:lineRule="auto"/>
              <w:jc w:val="left"/>
            </w:pPr>
            <w:r>
              <w:t>Record exchange-rate assumptions</w:t>
            </w:r>
          </w:p>
        </w:tc>
      </w:tr>
      <w:tr>
        <w:tc>
          <w:tcPr>
            <w:tcW w:type="dxa" w:w="3600"/>
          </w:tcPr>
          <w:p>
            <w:pPr>
              <w:spacing w:after="0" w:before="0" w:line="240" w:lineRule="auto"/>
              <w:jc w:val="left"/>
            </w:pPr>
            <w:r>
              <w:t>Treating quotation as total project cost</w:t>
            </w:r>
          </w:p>
        </w:tc>
        <w:tc>
          <w:tcPr>
            <w:tcW w:type="dxa" w:w="3600"/>
          </w:tcPr>
          <w:p>
            <w:pPr>
              <w:spacing w:after="0" w:before="0" w:line="240" w:lineRule="auto"/>
              <w:jc w:val="left"/>
            </w:pPr>
            <w:r>
              <w:t>Missing internal work</w:t>
            </w:r>
          </w:p>
        </w:tc>
        <w:tc>
          <w:tcPr>
            <w:tcW w:type="dxa" w:w="3600"/>
          </w:tcPr>
          <w:p>
            <w:pPr>
              <w:spacing w:after="0" w:before="0" w:line="240" w:lineRule="auto"/>
              <w:jc w:val="left"/>
            </w:pPr>
            <w:r>
              <w:t>Add internal and external scope</w:t>
            </w:r>
          </w:p>
        </w:tc>
      </w:tr>
      <w:tr>
        <w:tc>
          <w:tcPr>
            <w:tcW w:type="dxa" w:w="3600"/>
          </w:tcPr>
          <w:p>
            <w:pPr>
              <w:spacing w:after="0" w:before="0" w:line="240" w:lineRule="auto"/>
              <w:jc w:val="left"/>
            </w:pPr>
            <w:r>
              <w:t>Treating all tax as recoverable or non-recoverable</w:t>
            </w:r>
          </w:p>
        </w:tc>
        <w:tc>
          <w:tcPr>
            <w:tcW w:type="dxa" w:w="3600"/>
          </w:tcPr>
          <w:p>
            <w:pPr>
              <w:spacing w:after="0" w:before="0" w:line="240" w:lineRule="auto"/>
              <w:jc w:val="left"/>
            </w:pPr>
            <w:r>
              <w:t>Incorrect project cost</w:t>
            </w:r>
          </w:p>
        </w:tc>
        <w:tc>
          <w:tcPr>
            <w:tcW w:type="dxa" w:w="3600"/>
          </w:tcPr>
          <w:p>
            <w:pPr>
              <w:spacing w:after="0" w:before="0" w:line="240" w:lineRule="auto"/>
              <w:jc w:val="left"/>
            </w:pPr>
            <w:r>
              <w:t>Confirm applicable accounting treatment</w:t>
            </w:r>
          </w:p>
        </w:tc>
      </w:tr>
      <w:tr>
        <w:tc>
          <w:tcPr>
            <w:tcW w:type="dxa" w:w="3600"/>
          </w:tcPr>
          <w:p>
            <w:pPr>
              <w:spacing w:after="0" w:before="0" w:line="240" w:lineRule="auto"/>
              <w:jc w:val="left"/>
            </w:pPr>
            <w:r>
              <w:t>Counting benefits twice</w:t>
            </w:r>
          </w:p>
        </w:tc>
        <w:tc>
          <w:tcPr>
            <w:tcW w:type="dxa" w:w="3600"/>
          </w:tcPr>
          <w:p>
            <w:pPr>
              <w:spacing w:after="0" w:before="0" w:line="240" w:lineRule="auto"/>
              <w:jc w:val="left"/>
            </w:pPr>
            <w:r>
              <w:t>Inflated return calculations</w:t>
            </w:r>
          </w:p>
        </w:tc>
        <w:tc>
          <w:tcPr>
            <w:tcW w:type="dxa" w:w="3600"/>
          </w:tcPr>
          <w:p>
            <w:pPr>
              <w:spacing w:after="0" w:before="0" w:line="240" w:lineRule="auto"/>
              <w:jc w:val="left"/>
            </w:pPr>
            <w:r>
              <w:t>Define the financial model and benefit boundaries</w:t>
            </w:r>
          </w:p>
        </w:tc>
      </w:tr>
      <w:tr>
        <w:tc>
          <w:tcPr>
            <w:tcW w:type="dxa" w:w="3600"/>
          </w:tcPr>
          <w:p>
            <w:pPr>
              <w:spacing w:after="0" w:before="0" w:line="240" w:lineRule="auto"/>
              <w:jc w:val="left"/>
            </w:pPr>
            <w:r>
              <w:t>Using false precision</w:t>
            </w:r>
          </w:p>
        </w:tc>
        <w:tc>
          <w:tcPr>
            <w:tcW w:type="dxa" w:w="3600"/>
          </w:tcPr>
          <w:p>
            <w:pPr>
              <w:spacing w:after="0" w:before="0" w:line="240" w:lineRule="auto"/>
              <w:jc w:val="left"/>
            </w:pPr>
            <w:r>
              <w:t>Misleading approval decisions</w:t>
            </w:r>
          </w:p>
        </w:tc>
        <w:tc>
          <w:tcPr>
            <w:tcW w:type="dxa" w:w="3600"/>
          </w:tcPr>
          <w:p>
            <w:pPr>
              <w:spacing w:after="0" w:before="0" w:line="240" w:lineRule="auto"/>
              <w:jc w:val="left"/>
            </w:pPr>
            <w:r>
              <w:t>Report estimate maturity and uncertainty</w:t>
            </w:r>
          </w:p>
        </w:tc>
      </w:tr>
    </w:tbl>
    <w:p/>
    <w:p>
      <w:pPr>
        <w:pStyle w:val="Heading2"/>
      </w:pPr>
      <w:r>
        <w:t>30. Practical DAP cost-estimation workflow</w:t>
      </w:r>
    </w:p>
    <w:p>
      <w:r>
        <w:t>Use the following sequence when preparing an actual automation estimate.</w:t>
      </w:r>
    </w:p>
    <w:p>
      <w:pPr>
        <w:tabs>
          <w:tab w:pos="403" w:val="left"/>
        </w:tabs>
        <w:spacing w:after="40" w:line="276" w:lineRule="auto"/>
        <w:ind w:left="403" w:hanging="403"/>
        <w:jc w:val="left"/>
      </w:pPr>
      <w:r>
        <w:rPr>
          <w:color w:val="1A2E4A"/>
        </w:rPr>
        <w:t>1.</w:t>
        <w:tab/>
      </w:r>
      <w:r>
        <w:t>Freeze the scope sufficiently for the current estimate stage.</w:t>
      </w:r>
    </w:p>
    <w:p>
      <w:pPr>
        <w:tabs>
          <w:tab w:pos="403" w:val="left"/>
        </w:tabs>
        <w:spacing w:after="40" w:line="276" w:lineRule="auto"/>
        <w:ind w:left="403" w:hanging="403"/>
        <w:jc w:val="left"/>
      </w:pPr>
      <w:r>
        <w:rPr>
          <w:color w:val="1A2E4A"/>
        </w:rPr>
        <w:t>2.</w:t>
        <w:tab/>
      </w:r>
      <w:r>
        <w:t>Review the proposed architecture and equipment specifications.</w:t>
      </w:r>
    </w:p>
    <w:p>
      <w:pPr>
        <w:tabs>
          <w:tab w:pos="403" w:val="left"/>
        </w:tabs>
        <w:spacing w:after="40" w:line="276" w:lineRule="auto"/>
        <w:ind w:left="403" w:hanging="403"/>
        <w:jc w:val="left"/>
      </w:pPr>
      <w:r>
        <w:rPr>
          <w:color w:val="1A2E4A"/>
        </w:rPr>
        <w:t>3.</w:t>
        <w:tab/>
      </w:r>
      <w:r>
        <w:t>Prepare the WBS and detailed BOM.</w:t>
      </w:r>
    </w:p>
    <w:p>
      <w:pPr>
        <w:tabs>
          <w:tab w:pos="403" w:val="left"/>
        </w:tabs>
        <w:spacing w:after="40" w:line="276" w:lineRule="auto"/>
        <w:ind w:left="403" w:hanging="403"/>
        <w:jc w:val="left"/>
      </w:pPr>
      <w:r>
        <w:rPr>
          <w:color w:val="1A2E4A"/>
        </w:rPr>
        <w:t>4.</w:t>
        <w:tab/>
      </w:r>
      <w:r>
        <w:t>Verify quantities, part numbers, and compatible alternatives.</w:t>
      </w:r>
    </w:p>
    <w:p>
      <w:pPr>
        <w:tabs>
          <w:tab w:pos="403" w:val="left"/>
        </w:tabs>
        <w:spacing w:after="40" w:line="276" w:lineRule="auto"/>
        <w:ind w:left="403" w:hanging="403"/>
        <w:jc w:val="left"/>
      </w:pPr>
      <w:r>
        <w:rPr>
          <w:color w:val="1A2E4A"/>
        </w:rPr>
        <w:t>5.</w:t>
        <w:tab/>
      </w:r>
      <w:r>
        <w:t>Obtain budgetary or firm supplier quotations as appropriate.</w:t>
      </w:r>
    </w:p>
    <w:p>
      <w:pPr>
        <w:tabs>
          <w:tab w:pos="403" w:val="left"/>
        </w:tabs>
        <w:spacing w:after="40" w:line="276" w:lineRule="auto"/>
        <w:ind w:left="403" w:hanging="403"/>
        <w:jc w:val="left"/>
      </w:pPr>
      <w:r>
        <w:rPr>
          <w:color w:val="1A2E4A"/>
        </w:rPr>
        <w:t>6.</w:t>
        <w:tab/>
      </w:r>
      <w:r>
        <w:t>Estimate engineering, panel manufacturing, installation, and commissioning labor.</w:t>
      </w:r>
    </w:p>
    <w:p>
      <w:pPr>
        <w:tabs>
          <w:tab w:pos="403" w:val="left"/>
        </w:tabs>
        <w:spacing w:after="40" w:line="276" w:lineRule="auto"/>
        <w:ind w:left="403" w:hanging="403"/>
        <w:jc w:val="left"/>
      </w:pPr>
      <w:r>
        <w:rPr>
          <w:color w:val="1A2E4A"/>
        </w:rPr>
        <w:t>7.</w:t>
        <w:tab/>
      </w:r>
      <w:r>
        <w:t>Include software, licenses, vendor services, logistics, and documentation.</w:t>
      </w:r>
    </w:p>
    <w:p>
      <w:pPr>
        <w:tabs>
          <w:tab w:pos="403" w:val="left"/>
        </w:tabs>
        <w:spacing w:after="40" w:line="276" w:lineRule="auto"/>
        <w:ind w:left="403" w:hanging="403"/>
        <w:jc w:val="left"/>
      </w:pPr>
      <w:r>
        <w:rPr>
          <w:color w:val="1A2E4A"/>
        </w:rPr>
        <w:t>8.</w:t>
        <w:tab/>
      </w:r>
      <w:r>
        <w:t>Identify applicable taxes and commercial charges.</w:t>
      </w:r>
    </w:p>
    <w:p>
      <w:pPr>
        <w:tabs>
          <w:tab w:pos="403" w:val="left"/>
        </w:tabs>
        <w:spacing w:after="40" w:line="276" w:lineRule="auto"/>
        <w:ind w:left="403" w:hanging="403"/>
        <w:jc w:val="left"/>
      </w:pPr>
      <w:r>
        <w:rPr>
          <w:color w:val="1A2E4A"/>
        </w:rPr>
        <w:t>9.</w:t>
        <w:tab/>
      </w:r>
      <w:r>
        <w:t>Record assumptions, exclusions, dependencies, and quotation validity.</w:t>
      </w:r>
    </w:p>
    <w:p>
      <w:pPr>
        <w:tabs>
          <w:tab w:pos="403" w:val="left"/>
        </w:tabs>
        <w:spacing w:after="40" w:line="276" w:lineRule="auto"/>
        <w:ind w:left="403" w:hanging="403"/>
        <w:jc w:val="left"/>
      </w:pPr>
      <w:r>
        <w:rPr>
          <w:color w:val="1A2E4A"/>
        </w:rPr>
        <w:t>10.</w:t>
        <w:tab/>
      </w:r>
      <w:r>
        <w:t>Assess project risks and establish the contingency basis.</w:t>
      </w:r>
    </w:p>
    <w:p>
      <w:pPr>
        <w:tabs>
          <w:tab w:pos="403" w:val="left"/>
        </w:tabs>
        <w:spacing w:after="40" w:line="276" w:lineRule="auto"/>
        <w:ind w:left="403" w:hanging="403"/>
        <w:jc w:val="left"/>
      </w:pPr>
      <w:r>
        <w:rPr>
          <w:color w:val="1A2E4A"/>
        </w:rPr>
        <w:t>11.</w:t>
        <w:tab/>
      </w:r>
      <w:r>
        <w:t>Calculate the cost summary and check for double counting.</w:t>
      </w:r>
    </w:p>
    <w:p>
      <w:pPr>
        <w:tabs>
          <w:tab w:pos="403" w:val="left"/>
        </w:tabs>
        <w:spacing w:after="40" w:line="276" w:lineRule="auto"/>
        <w:ind w:left="403" w:hanging="403"/>
        <w:jc w:val="left"/>
      </w:pPr>
      <w:r>
        <w:rPr>
          <w:color w:val="1A2E4A"/>
        </w:rPr>
        <w:t>12.</w:t>
        <w:tab/>
      </w:r>
      <w:r>
        <w:t>Compare feasible alternatives on a consistent scope basis.</w:t>
      </w:r>
    </w:p>
    <w:p>
      <w:pPr>
        <w:tabs>
          <w:tab w:pos="403" w:val="left"/>
        </w:tabs>
        <w:spacing w:after="40" w:line="276" w:lineRule="auto"/>
        <w:ind w:left="403" w:hanging="403"/>
        <w:jc w:val="left"/>
      </w:pPr>
      <w:r>
        <w:rPr>
          <w:color w:val="1A2E4A"/>
        </w:rPr>
        <w:t>13.</w:t>
        <w:tab/>
      </w:r>
      <w:r>
        <w:t>Evaluate lifecycle costs and expected benefits where required.</w:t>
      </w:r>
    </w:p>
    <w:p>
      <w:pPr>
        <w:tabs>
          <w:tab w:pos="403" w:val="left"/>
        </w:tabs>
        <w:spacing w:after="40" w:line="276" w:lineRule="auto"/>
        <w:ind w:left="403" w:hanging="403"/>
        <w:jc w:val="left"/>
      </w:pPr>
      <w:r>
        <w:rPr>
          <w:color w:val="1A2E4A"/>
        </w:rPr>
        <w:t>14.</w:t>
        <w:tab/>
      </w:r>
      <w:r>
        <w:t>Review the estimate with engineering, maintenance, procurement, and finance.</w:t>
      </w:r>
    </w:p>
    <w:p>
      <w:pPr>
        <w:tabs>
          <w:tab w:pos="403" w:val="left"/>
        </w:tabs>
        <w:spacing w:after="40" w:line="276" w:lineRule="auto"/>
        <w:ind w:left="403" w:hanging="403"/>
        <w:jc w:val="left"/>
      </w:pPr>
      <w:r>
        <w:rPr>
          <w:color w:val="1A2E4A"/>
        </w:rPr>
        <w:t>15.</w:t>
        <w:tab/>
      </w:r>
      <w:r>
        <w:t>Establish the approved estimate baseline and revision-control process.</w:t>
      </w:r>
    </w:p>
    <w:p>
      <w:r>
        <w:t>The cost estimate should be updated when a significant design change, supplier quotation, scope change, or implementation constraint alters the expected expenditure.</w:t>
      </w:r>
    </w:p>
    <w:p>
      <w:pPr>
        <w:pStyle w:val="Heading2"/>
      </w:pPr>
      <w:r>
        <w:t>31. Final cost-estimation checklist</w:t>
      </w:r>
    </w:p>
    <w:p>
      <w:pPr>
        <w:pStyle w:val="Heading3"/>
      </w:pPr>
      <w:r>
        <w:t>Scope and quantities</w:t>
      </w:r>
    </w:p>
    <w:p>
      <w:pPr>
        <w:pStyle w:val="ListBullet"/>
      </w:pPr>
      <w:r>
        <w:t>Scope boundaries are documented.</w:t>
      </w:r>
    </w:p>
    <w:p>
      <w:pPr>
        <w:pStyle w:val="ListBullet"/>
      </w:pPr>
      <w:r>
        <w:t>Required equipment and material quantities are traceable.</w:t>
      </w:r>
    </w:p>
    <w:p>
      <w:pPr>
        <w:pStyle w:val="ListBullet"/>
      </w:pPr>
      <w:r>
        <w:t>Existing equipment retention and replacement are defined.</w:t>
      </w:r>
    </w:p>
    <w:p>
      <w:pPr>
        <w:pStyle w:val="ListBullet"/>
      </w:pPr>
      <w:r>
        <w:t>Engineering and installation deliverables are included.</w:t>
      </w:r>
    </w:p>
    <w:p>
      <w:pPr>
        <w:pStyle w:val="ListBullet"/>
      </w:pPr>
      <w:r>
        <w:t>Software and license requirements are checked.</w:t>
      </w:r>
    </w:p>
    <w:p>
      <w:pPr>
        <w:pStyle w:val="Heading3"/>
      </w:pPr>
      <w:r>
        <w:t>Pricing and calculation</w:t>
      </w:r>
    </w:p>
    <w:p>
      <w:pPr>
        <w:pStyle w:val="ListBullet"/>
      </w:pPr>
      <w:r>
        <w:t>Prices have sources and dates.</w:t>
      </w:r>
    </w:p>
    <w:p>
      <w:pPr>
        <w:pStyle w:val="ListBullet"/>
      </w:pPr>
      <w:r>
        <w:t>Currency and exchange-rate assumptions are documented.</w:t>
      </w:r>
    </w:p>
    <w:p>
      <w:pPr>
        <w:pStyle w:val="ListBullet"/>
      </w:pPr>
      <w:r>
        <w:t>Supplier inclusions and exclusions are verified.</w:t>
      </w:r>
    </w:p>
    <w:p>
      <w:pPr>
        <w:pStyle w:val="ListBullet"/>
      </w:pPr>
      <w:r>
        <w:t>Labor rates and estimated hours use a consistent basis.</w:t>
      </w:r>
    </w:p>
    <w:p>
      <w:pPr>
        <w:pStyle w:val="ListBullet"/>
      </w:pPr>
      <w:r>
        <w:t>Freight, taxes, and other charges are treated correctly.</w:t>
      </w:r>
    </w:p>
    <w:p>
      <w:pPr>
        <w:pStyle w:val="ListBullet"/>
      </w:pPr>
      <w:r>
        <w:t>Double counting has been checked.</w:t>
      </w:r>
    </w:p>
    <w:p>
      <w:pPr>
        <w:pStyle w:val="Heading3"/>
      </w:pPr>
      <w:r>
        <w:t>Risk and lifecycle</w:t>
      </w:r>
    </w:p>
    <w:p>
      <w:pPr>
        <w:pStyle w:val="ListBullet"/>
      </w:pPr>
      <w:r>
        <w:t>Major cost uncertainties are documented.</w:t>
      </w:r>
    </w:p>
    <w:p>
      <w:pPr>
        <w:pStyle w:val="ListBullet"/>
      </w:pPr>
      <w:r>
        <w:t>Contingency is based on project risk and estimate maturity.</w:t>
      </w:r>
    </w:p>
    <w:p>
      <w:pPr>
        <w:pStyle w:val="ListBullet"/>
      </w:pPr>
      <w:r>
        <w:t>Shutdown and commissioning constraints are considered.</w:t>
      </w:r>
    </w:p>
    <w:p>
      <w:pPr>
        <w:pStyle w:val="ListBullet"/>
      </w:pPr>
      <w:r>
        <w:t>Lifecycle costs are assessed where appropriate.</w:t>
      </w:r>
    </w:p>
    <w:p>
      <w:pPr>
        <w:pStyle w:val="ListBullet"/>
      </w:pPr>
      <w:r>
        <w:t>Savings and payback claims have supporting assumptions.</w:t>
      </w:r>
    </w:p>
    <w:p>
      <w:pPr>
        <w:pStyle w:val="Heading3"/>
      </w:pPr>
      <w:r>
        <w:t>Approval and control</w:t>
      </w:r>
    </w:p>
    <w:p>
      <w:pPr>
        <w:pStyle w:val="ListBullet"/>
      </w:pPr>
      <w:r>
        <w:t>Estimate maturity is stated.</w:t>
      </w:r>
    </w:p>
    <w:p>
      <w:pPr>
        <w:pStyle w:val="ListBullet"/>
      </w:pPr>
      <w:r>
        <w:t>Provisional allowances are clearly identified.</w:t>
      </w:r>
    </w:p>
    <w:p>
      <w:pPr>
        <w:pStyle w:val="ListBullet"/>
      </w:pPr>
      <w:r>
        <w:t>Technical alternatives are compared consistently.</w:t>
      </w:r>
    </w:p>
    <w:p>
      <w:pPr>
        <w:pStyle w:val="ListBullet"/>
      </w:pPr>
      <w:r>
        <w:t>Estimate assumptions have owners.</w:t>
      </w:r>
    </w:p>
    <w:p>
      <w:pPr>
        <w:pStyle w:val="ListBullet"/>
      </w:pPr>
      <w:r>
        <w:t>Revisions and approvals are traceable.</w:t>
      </w:r>
    </w:p>
    <w:p>
      <w:pPr>
        <w:pStyle w:val="ListBullet"/>
      </w:pPr>
      <w:r>
        <w:t>The estimate matches the proposed technical scope.</w:t>
      </w:r>
    </w:p>
    <w:p>
      <w:pPr>
        <w:pStyle w:val="Heading2"/>
      </w:pPr>
      <w:r>
        <w:t>32. Interview questions and answers</w:t>
      </w:r>
    </w:p>
    <w:p>
      <w:r>
        <w:t>1\. What is cost estimation in an automation project?</w:t>
      </w:r>
    </w:p>
    <w:p>
      <w:r>
        <w:t>It is the structured calculation of the expected expenditure for equipment, materials, engineering, software, installation, integration, testing, commissioning, and other relevant project activities.</w:t>
      </w:r>
    </w:p>
    <w:p>
      <w:r>
        <w:t>2\. What is the difference between a BOM and a cost estimate?</w:t>
      </w:r>
    </w:p>
    <w:p>
      <w:r>
        <w:t>A BOM identifies required items and quantities. A cost estimate assigns prices and also includes labor, services, logistics, taxes, risk allowances, and other applicable project costs.</w:t>
      </w:r>
    </w:p>
    <w:p>
      <w:r>
        <w:t>3\. How do you estimate PLC programming effort?</w:t>
      </w:r>
    </w:p>
    <w:p>
      <w:r>
        <w:t>Assess sequence complexity, I/O count, operating modes, alarms, interlocks, motion requirements, external interfaces, existing code quality, test coverage, and documentation requirements. I/O count alone is insufficient.</w:t>
      </w:r>
    </w:p>
    <w:p>
      <w:r>
        <w:t>4\. What is contingency?</w:t>
      </w:r>
    </w:p>
    <w:p>
      <w:r>
        <w:t>It is a controlled allowance for uncertainty and residual risks within the defined scope. It should be based on project maturity and risk, not chosen arbitrarily.</w:t>
      </w:r>
    </w:p>
    <w:p>
      <w:r>
        <w:t>5\. Why is the lowest vendor quotation not always the best choice?</w:t>
      </w:r>
    </w:p>
    <w:p>
      <w:r>
        <w:t>It may exclude necessary components, software, commissioning, documentation, or support. The comparison must use equivalent technical scope and commercial terms.</w:t>
      </w:r>
    </w:p>
    <w:p>
      <w:r>
        <w:t>6\. What is the difference between direct and indirect costs?</w:t>
      </w:r>
    </w:p>
    <w:p>
      <w:r>
        <w:t>Direct costs can be attributed to specific project work or deliverables, while indirect costs support the project more broadly. The exact classification depends on the organization's accounting and costing rules.</w:t>
      </w:r>
    </w:p>
    <w:p>
      <w:r>
        <w:t>7\. What is lifecycle costing?</w:t>
      </w:r>
    </w:p>
    <w:p>
      <w:r>
        <w:t>It estimates costs over the useful life of the system, including initial purchase, operation, maintenance, support, spares, and eventual replacement or decommissioning.</w:t>
      </w:r>
    </w:p>
    <w:p>
      <w:r>
        <w:t>8\. How do you calculate simple payback?</w:t>
      </w:r>
    </w:p>
    <w:p>
      <w:r>
        <w:t>Divide the initial investment by the annual net benefit when benefits are reasonably stable. For changing cash flows, use a period-by-period analysis instead.</w:t>
      </w:r>
    </w:p>
    <w:p>
      <w:r>
        <w:t>9\. How do you estimate commissioning costs?</w:t>
      </w:r>
    </w:p>
    <w:p>
      <w:r>
        <w:t>Break commissioning into defined activities such as I/O checks, sequence testing, communication tests, tuning, safety validation, production trials, and handover. Estimate effort using complexity, site conditions, and relevant project history.</w:t>
      </w:r>
    </w:p>
    <w:p>
      <w:r>
        <w:t>10\. How do you prevent cost-estimation errors?</w:t>
      </w:r>
    </w:p>
    <w:p>
      <w:r>
        <w:t>Use a traceable WBS and BOM, verified quantities, current quotations, consistent labor rates, explicit assumptions, controlled contingency, and a review for omissions and double counting.</w:t>
      </w:r>
    </w:p>
    <w:p>
      <w:r>
        <w:t>11\. What should happen if the estimate exceeds the budget?</w:t>
      </w:r>
    </w:p>
    <w:p>
      <w:r>
        <w:t>Identify the main cost drivers, reassess feasible alternatives, clarify scope, validate uncertain quantities and prices, and evaluate lifecycle implications. Do not remove mandatory safety or performance requirements simply to force the total below budget.</w:t>
      </w:r>
    </w:p>
    <w:p>
      <w:r>
        <w:t>12\. When is a cost estimate ready for approval?</w:t>
      </w:r>
    </w:p>
    <w:p>
      <w:r>
        <w:t>When the scope and estimate maturity are clear, major quantities and prices are supported, labor and services are included, taxes and commercial terms are addressed, assumptions and risks are documented, and the approval authority understands the remaining uncertainty.</w:t>
      </w:r>
    </w:p>
    <w:p>
      <w:pPr>
        <w:pStyle w:val="Heading2"/>
      </w:pPr>
      <w:r>
        <w:t>33. Final engineering principle</w:t>
      </w:r>
    </w:p>
    <w:p>
      <w:r>
        <w:t>A reliable cost estimate connects the technical solution to its real implementation cost. It accounts for the components that must be purchased, the work that must be performed, the constraints that affect execution, and the uncertainty that remains.</w:t>
      </w:r>
    </w:p>
    <w:p>
      <w:r>
        <w:t>The estimate should be detailed enough to support the current decision without pretending that every cost is already known. Its credibility comes from traceability, transparent assumptions, consistent calculations, and disciplined revision control.</w:t>
      </w:r>
    </w:p>
    <w:p>
      <w:pPr>
        <w:pStyle w:val="Heading2"/>
      </w:pPr>
      <w:r>
        <w:t>NEXT TOPIC</w:t>
      </w:r>
    </w:p>
    <w:p>
      <w:r>
        <w:rPr>
          <w:rFonts w:ascii="Consolas" w:hAnsi="Consolas"/>
          <w:color w:val="333333"/>
          <w:sz w:val="19"/>
          <w:shd w:val="clear" w:color="auto" w:fill="EFEFEF"/>
        </w:rPr>
        <w:t>02_PLAN_WISE_2026\02_INDUSTRY3_0\08_DAP\06_Vendor_Details - Vendor details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02_PLAN_WISE_2026\02_INDUSTRY3_0\08_DAP\05_Cost_Estimation - Cost estimation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