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02_PLAN_WISE_2026\02_INDUSTRY3_0\08_DAP\06_Vendor_Details - Vendor details</w:t>
      </w:r>
    </w:p>
    <w:p>
      <w:pPr>
        <w:pStyle w:val="Heading2"/>
      </w:pPr>
      <w:r>
        <w:t>1. Purpose of vendor details in a Detailed Automation Proposal</w:t>
      </w:r>
    </w:p>
    <w:p>
      <w:r>
        <w:t>Vendor details identify the suppliers, original equipment manufacturers (OEMs), system integrators, and service providers capable of delivering the proposed automation solution.</w:t>
      </w:r>
    </w:p>
    <w:p>
      <w:r>
        <w:t>In a Detailed Automation Proposal (DAP), vendor information supports technical feasibility, procurement planning, cost validation, delivery planning, maintainability, and lifecycle support.</w:t>
      </w:r>
    </w:p>
    <w:p>
      <w:r>
        <w:t>The purpose is not merely to list company names and contact numbers. A useful vendor assessment establishes whether a supplier can provide the required equipment or services, meet technical specifications, deliver within the required schedule, support the installation, and maintain the system throughout its useful life.</w:t>
      </w:r>
    </w:p>
    <w:p>
      <w:r>
        <w:t>Vendor details should answer:</w:t>
      </w:r>
    </w:p>
    <w:p>
      <w:pPr>
        <w:pStyle w:val="ListBullet"/>
      </w:pPr>
      <w:r>
        <w:t>Who can supply the required equipment or execute the required work?</w:t>
      </w:r>
    </w:p>
    <w:p>
      <w:pPr>
        <w:pStyle w:val="ListBullet"/>
      </w:pPr>
      <w:r>
        <w:t>Which manufacturer, model, and technical configuration are proposed?</w:t>
      </w:r>
    </w:p>
    <w:p>
      <w:pPr>
        <w:pStyle w:val="ListBullet"/>
      </w:pPr>
      <w:r>
        <w:t>Does the vendor meet the mandatory technical requirements?</w:t>
      </w:r>
    </w:p>
    <w:p>
      <w:pPr>
        <w:pStyle w:val="ListBullet"/>
      </w:pPr>
      <w:r>
        <w:t>Is the vendor an OEM, authorized distributor, panel builder, or system integrator?</w:t>
      </w:r>
    </w:p>
    <w:p>
      <w:pPr>
        <w:pStyle w:val="ListBullet"/>
      </w:pPr>
      <w:r>
        <w:t>What are the quotation, delivery, warranty, and payment conditions?</w:t>
      </w:r>
    </w:p>
    <w:p>
      <w:pPr>
        <w:pStyle w:val="ListBullet"/>
      </w:pPr>
      <w:r>
        <w:t>Is local service and spare-parts support available?</w:t>
      </w:r>
    </w:p>
    <w:p>
      <w:pPr>
        <w:pStyle w:val="ListBullet"/>
      </w:pPr>
      <w:r>
        <w:t>What documentation, software access, and training will be provided?</w:t>
      </w:r>
    </w:p>
    <w:p>
      <w:pPr>
        <w:pStyle w:val="ListBullet"/>
      </w:pPr>
      <w:r>
        <w:t>What technical and commercial risks remain?</w:t>
      </w:r>
    </w:p>
    <w:p>
      <w:pPr>
        <w:pStyle w:val="ListBullet"/>
      </w:pPr>
      <w:r>
        <w:t>What evidence supports the recommendation?</w:t>
      </w:r>
    </w:p>
    <w:p>
      <w:pPr>
        <w:pStyle w:val="Heading2"/>
      </w:pPr>
      <w:r>
        <w:t>2. Position in the DAP lifecycle</w:t>
      </w:r>
    </w:p>
    <w:p>
      <w:r>
        <w:t>Vendor identification follows the definition of the proposed solution and supports procurement preparation and project scheduling.</w:t>
      </w:r>
    </w:p>
    <w:p>
      <w:pPr>
        <w:shd w:val="clear" w:color="auto" w:fill="F4F4F4"/>
        <w:spacing w:before="0" w:after="0" w:line="240" w:lineRule="auto"/>
        <w:ind w:left="216" w:right="216"/>
        <w:jc w:val="left"/>
      </w:pPr>
      <w:r>
        <w:rPr>
          <w:rFonts w:ascii="Consolas" w:hAnsi="Consolas"/>
          <w:color w:val="202020"/>
          <w:sz w:val="18"/>
        </w:rPr>
        <w:t>Existing-machine study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Proposed 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justification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Cost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Vendor identification and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Timeline and procurement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Approval and purchase process</w:t>
      </w:r>
    </w:p>
    <w:p/>
    <w:p>
      <w:r>
        <w:t>The process is iterative. Vendor information may reveal that a component is obsolete, has a long lead time, requires a separate software license, or is incompatible with the existing system. Such findings may require changes to the architecture, cost estimate, or implementation plan.</w:t>
      </w:r>
    </w:p>
    <w:p>
      <w:r>
        <w:t>Vendor selection should therefore be based on the defined requirement, not on whichever supplier responds first.</w:t>
      </w:r>
    </w:p>
    <w:p>
      <w:pPr>
        <w:pStyle w:val="Heading2"/>
      </w:pPr>
      <w:r>
        <w:t>3. Types of vendors in industrial automation</w:t>
      </w:r>
    </w:p>
    <w:p>
      <w:r>
        <w:t>Different suppliers have different capabilities. Identifying the correct vendor category helps prevent responsibility gaps.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Vendor category</w:t>
            </w:r>
          </w:p>
        </w:tc>
        <w:tc>
          <w:tcPr>
            <w:tcW w:type="dxa" w:w="3600"/>
            <w:shd w:val="clear" w:color="auto" w:fill="EEF2F7"/>
          </w:tcPr>
          <w:p>
            <w:pPr>
              <w:spacing w:after="0" w:before="0" w:line="240" w:lineRule="auto"/>
              <w:jc w:val="left"/>
            </w:pPr>
            <w:r>
              <w:rPr>
                <w:b/>
                <w:color w:val="1A2E4A"/>
              </w:rPr>
              <w:t>Typical responsibility</w:t>
            </w:r>
          </w:p>
        </w:tc>
        <w:tc>
          <w:tcPr>
            <w:tcW w:type="dxa" w:w="3600"/>
            <w:shd w:val="clear" w:color="auto" w:fill="EEF2F7"/>
          </w:tcPr>
          <w:p>
            <w:pPr>
              <w:spacing w:after="0" w:before="0" w:line="240" w:lineRule="auto"/>
              <w:jc w:val="left"/>
            </w:pPr>
            <w:r>
              <w:rPr>
                <w:b/>
                <w:color w:val="1A2E4A"/>
              </w:rPr>
              <w:t>Example deliverable</w:t>
            </w:r>
          </w:p>
        </w:tc>
      </w:tr>
      <w:tr>
        <w:tc>
          <w:tcPr>
            <w:tcW w:type="dxa" w:w="3600"/>
          </w:tcPr>
          <w:p>
            <w:pPr>
              <w:spacing w:after="0" w:before="0" w:line="240" w:lineRule="auto"/>
              <w:jc w:val="left"/>
            </w:pPr>
            <w:r>
              <w:t>Equipment OEM</w:t>
            </w:r>
          </w:p>
        </w:tc>
        <w:tc>
          <w:tcPr>
            <w:tcW w:type="dxa" w:w="3600"/>
          </w:tcPr>
          <w:p>
            <w:pPr>
              <w:spacing w:after="0" w:before="0" w:line="240" w:lineRule="auto"/>
              <w:jc w:val="left"/>
            </w:pPr>
            <w:r>
              <w:t>Manufactures automation equipment</w:t>
            </w:r>
          </w:p>
        </w:tc>
        <w:tc>
          <w:tcPr>
            <w:tcW w:type="dxa" w:w="3600"/>
          </w:tcPr>
          <w:p>
            <w:pPr>
              <w:spacing w:after="0" w:before="0" w:line="240" w:lineRule="auto"/>
              <w:jc w:val="left"/>
            </w:pPr>
            <w:r>
              <w:t>PLC, HMI, drive, sensor, robot, CNC</w:t>
            </w:r>
          </w:p>
        </w:tc>
      </w:tr>
      <w:tr>
        <w:tc>
          <w:tcPr>
            <w:tcW w:type="dxa" w:w="3600"/>
          </w:tcPr>
          <w:p>
            <w:pPr>
              <w:spacing w:after="0" w:before="0" w:line="240" w:lineRule="auto"/>
              <w:jc w:val="left"/>
            </w:pPr>
            <w:r>
              <w:t>Authorized distributor</w:t>
            </w:r>
          </w:p>
        </w:tc>
        <w:tc>
          <w:tcPr>
            <w:tcW w:type="dxa" w:w="3600"/>
          </w:tcPr>
          <w:p>
            <w:pPr>
              <w:spacing w:after="0" w:before="0" w:line="240" w:lineRule="auto"/>
              <w:jc w:val="left"/>
            </w:pPr>
            <w:r>
              <w:t>Supplies manufacturer products</w:t>
            </w:r>
          </w:p>
        </w:tc>
        <w:tc>
          <w:tcPr>
            <w:tcW w:type="dxa" w:w="3600"/>
          </w:tcPr>
          <w:p>
            <w:pPr>
              <w:spacing w:after="0" w:before="0" w:line="240" w:lineRule="auto"/>
              <w:jc w:val="left"/>
            </w:pPr>
            <w:r>
              <w:t>Hardware, accessories, product support</w:t>
            </w:r>
          </w:p>
        </w:tc>
      </w:tr>
      <w:tr>
        <w:tc>
          <w:tcPr>
            <w:tcW w:type="dxa" w:w="3600"/>
          </w:tcPr>
          <w:p>
            <w:pPr>
              <w:spacing w:after="0" w:before="0" w:line="240" w:lineRule="auto"/>
              <w:jc w:val="left"/>
            </w:pPr>
            <w:r>
              <w:t>System integrator</w:t>
            </w:r>
          </w:p>
        </w:tc>
        <w:tc>
          <w:tcPr>
            <w:tcW w:type="dxa" w:w="3600"/>
          </w:tcPr>
          <w:p>
            <w:pPr>
              <w:spacing w:after="0" w:before="0" w:line="240" w:lineRule="auto"/>
              <w:jc w:val="left"/>
            </w:pPr>
            <w:r>
              <w:t>Integrates hardware and software</w:t>
            </w:r>
          </w:p>
        </w:tc>
        <w:tc>
          <w:tcPr>
            <w:tcW w:type="dxa" w:w="3600"/>
          </w:tcPr>
          <w:p>
            <w:pPr>
              <w:spacing w:after="0" w:before="0" w:line="240" w:lineRule="auto"/>
              <w:jc w:val="left"/>
            </w:pPr>
            <w:r>
              <w:t>PLC program, HMI, network, machine sequence</w:t>
            </w:r>
          </w:p>
        </w:tc>
      </w:tr>
      <w:tr>
        <w:tc>
          <w:tcPr>
            <w:tcW w:type="dxa" w:w="3600"/>
          </w:tcPr>
          <w:p>
            <w:pPr>
              <w:spacing w:after="0" w:before="0" w:line="240" w:lineRule="auto"/>
              <w:jc w:val="left"/>
            </w:pPr>
            <w:r>
              <w:t>Panel builder</w:t>
            </w:r>
          </w:p>
        </w:tc>
        <w:tc>
          <w:tcPr>
            <w:tcW w:type="dxa" w:w="3600"/>
          </w:tcPr>
          <w:p>
            <w:pPr>
              <w:spacing w:after="0" w:before="0" w:line="240" w:lineRule="auto"/>
              <w:jc w:val="left"/>
            </w:pPr>
            <w:r>
              <w:t>Designs or manufactures control panels</w:t>
            </w:r>
          </w:p>
        </w:tc>
        <w:tc>
          <w:tcPr>
            <w:tcW w:type="dxa" w:w="3600"/>
          </w:tcPr>
          <w:p>
            <w:pPr>
              <w:spacing w:after="0" w:before="0" w:line="240" w:lineRule="auto"/>
              <w:jc w:val="left"/>
            </w:pPr>
            <w:r>
              <w:t>Wired and tested electrical panel</w:t>
            </w:r>
          </w:p>
        </w:tc>
      </w:tr>
      <w:tr>
        <w:tc>
          <w:tcPr>
            <w:tcW w:type="dxa" w:w="3600"/>
          </w:tcPr>
          <w:p>
            <w:pPr>
              <w:spacing w:after="0" w:before="0" w:line="240" w:lineRule="auto"/>
              <w:jc w:val="left"/>
            </w:pPr>
            <w:r>
              <w:t>Machine builder</w:t>
            </w:r>
          </w:p>
        </w:tc>
        <w:tc>
          <w:tcPr>
            <w:tcW w:type="dxa" w:w="3600"/>
          </w:tcPr>
          <w:p>
            <w:pPr>
              <w:spacing w:after="0" w:before="0" w:line="240" w:lineRule="auto"/>
              <w:jc w:val="left"/>
            </w:pPr>
            <w:r>
              <w:t>Supplies or modifies complete machinery</w:t>
            </w:r>
          </w:p>
        </w:tc>
        <w:tc>
          <w:tcPr>
            <w:tcW w:type="dxa" w:w="3600"/>
          </w:tcPr>
          <w:p>
            <w:pPr>
              <w:spacing w:after="0" w:before="0" w:line="240" w:lineRule="auto"/>
              <w:jc w:val="left"/>
            </w:pPr>
            <w:r>
              <w:t>Machine, fixtures, mechanical modifications</w:t>
            </w:r>
          </w:p>
        </w:tc>
      </w:tr>
      <w:tr>
        <w:tc>
          <w:tcPr>
            <w:tcW w:type="dxa" w:w="3600"/>
          </w:tcPr>
          <w:p>
            <w:pPr>
              <w:spacing w:after="0" w:before="0" w:line="240" w:lineRule="auto"/>
              <w:jc w:val="left"/>
            </w:pPr>
            <w:r>
              <w:t>Electrical contractor</w:t>
            </w:r>
          </w:p>
        </w:tc>
        <w:tc>
          <w:tcPr>
            <w:tcW w:type="dxa" w:w="3600"/>
          </w:tcPr>
          <w:p>
            <w:pPr>
              <w:spacing w:after="0" w:before="0" w:line="240" w:lineRule="auto"/>
              <w:jc w:val="left"/>
            </w:pPr>
            <w:r>
              <w:t>Performs electrical installation</w:t>
            </w:r>
          </w:p>
        </w:tc>
        <w:tc>
          <w:tcPr>
            <w:tcW w:type="dxa" w:w="3600"/>
          </w:tcPr>
          <w:p>
            <w:pPr>
              <w:spacing w:after="0" w:before="0" w:line="240" w:lineRule="auto"/>
              <w:jc w:val="left"/>
            </w:pPr>
            <w:r>
              <w:t>Cabling, termination, panel installation</w:t>
            </w:r>
          </w:p>
        </w:tc>
      </w:tr>
      <w:tr>
        <w:tc>
          <w:tcPr>
            <w:tcW w:type="dxa" w:w="3600"/>
          </w:tcPr>
          <w:p>
            <w:pPr>
              <w:spacing w:after="0" w:before="0" w:line="240" w:lineRule="auto"/>
              <w:jc w:val="left"/>
            </w:pPr>
            <w:r>
              <w:t>Software provider</w:t>
            </w:r>
          </w:p>
        </w:tc>
        <w:tc>
          <w:tcPr>
            <w:tcW w:type="dxa" w:w="3600"/>
          </w:tcPr>
          <w:p>
            <w:pPr>
              <w:spacing w:after="0" w:before="0" w:line="240" w:lineRule="auto"/>
              <w:jc w:val="left"/>
            </w:pPr>
            <w:r>
              <w:t>Supplies software or licenses</w:t>
            </w:r>
          </w:p>
        </w:tc>
        <w:tc>
          <w:tcPr>
            <w:tcW w:type="dxa" w:w="3600"/>
          </w:tcPr>
          <w:p>
            <w:pPr>
              <w:spacing w:after="0" w:before="0" w:line="240" w:lineRule="auto"/>
              <w:jc w:val="left"/>
            </w:pPr>
            <w:r>
              <w:t>SCADA, historian, engineering software</w:t>
            </w:r>
          </w:p>
        </w:tc>
      </w:tr>
      <w:tr>
        <w:tc>
          <w:tcPr>
            <w:tcW w:type="dxa" w:w="3600"/>
          </w:tcPr>
          <w:p>
            <w:pPr>
              <w:spacing w:after="0" w:before="0" w:line="240" w:lineRule="auto"/>
              <w:jc w:val="left"/>
            </w:pPr>
            <w:r>
              <w:t>Service provider</w:t>
            </w:r>
          </w:p>
        </w:tc>
        <w:tc>
          <w:tcPr>
            <w:tcW w:type="dxa" w:w="3600"/>
          </w:tcPr>
          <w:p>
            <w:pPr>
              <w:spacing w:after="0" w:before="0" w:line="240" w:lineRule="auto"/>
              <w:jc w:val="left"/>
            </w:pPr>
            <w:r>
              <w:t>Performs specialized technical work</w:t>
            </w:r>
          </w:p>
        </w:tc>
        <w:tc>
          <w:tcPr>
            <w:tcW w:type="dxa" w:w="3600"/>
          </w:tcPr>
          <w:p>
            <w:pPr>
              <w:spacing w:after="0" w:before="0" w:line="240" w:lineRule="auto"/>
              <w:jc w:val="left"/>
            </w:pPr>
            <w:r>
              <w:t>Commissioning, repair, calibration</w:t>
            </w:r>
          </w:p>
        </w:tc>
      </w:tr>
      <w:tr>
        <w:tc>
          <w:tcPr>
            <w:tcW w:type="dxa" w:w="3600"/>
          </w:tcPr>
          <w:p>
            <w:pPr>
              <w:spacing w:after="0" w:before="0" w:line="240" w:lineRule="auto"/>
              <w:jc w:val="left"/>
            </w:pPr>
            <w:r>
              <w:t>Industrial networking specialist</w:t>
            </w:r>
          </w:p>
        </w:tc>
        <w:tc>
          <w:tcPr>
            <w:tcW w:type="dxa" w:w="3600"/>
          </w:tcPr>
          <w:p>
            <w:pPr>
              <w:spacing w:after="0" w:before="0" w:line="240" w:lineRule="auto"/>
              <w:jc w:val="left"/>
            </w:pPr>
            <w:r>
              <w:t>Designs or supports OT communications</w:t>
            </w:r>
          </w:p>
        </w:tc>
        <w:tc>
          <w:tcPr>
            <w:tcW w:type="dxa" w:w="3600"/>
          </w:tcPr>
          <w:p>
            <w:pPr>
              <w:spacing w:after="0" w:before="0" w:line="240" w:lineRule="auto"/>
              <w:jc w:val="left"/>
            </w:pPr>
            <w:r>
              <w:t>Network design, switches, diagnostics</w:t>
            </w:r>
          </w:p>
        </w:tc>
      </w:tr>
      <w:tr>
        <w:tc>
          <w:tcPr>
            <w:tcW w:type="dxa" w:w="3600"/>
          </w:tcPr>
          <w:p>
            <w:pPr>
              <w:spacing w:after="0" w:before="0" w:line="240" w:lineRule="auto"/>
              <w:jc w:val="left"/>
            </w:pPr>
            <w:r>
              <w:t>Safety specialist</w:t>
            </w:r>
          </w:p>
        </w:tc>
        <w:tc>
          <w:tcPr>
            <w:tcW w:type="dxa" w:w="3600"/>
          </w:tcPr>
          <w:p>
            <w:pPr>
              <w:spacing w:after="0" w:before="0" w:line="240" w:lineRule="auto"/>
              <w:jc w:val="left"/>
            </w:pPr>
            <w:r>
              <w:t>Supports safety engineering and validation</w:t>
            </w:r>
          </w:p>
        </w:tc>
        <w:tc>
          <w:tcPr>
            <w:tcW w:type="dxa" w:w="3600"/>
          </w:tcPr>
          <w:p>
            <w:pPr>
              <w:spacing w:after="0" w:before="0" w:line="240" w:lineRule="auto"/>
              <w:jc w:val="left"/>
            </w:pPr>
            <w:r>
              <w:t>Safety assessment, validation records</w:t>
            </w:r>
          </w:p>
        </w:tc>
      </w:tr>
    </w:tbl>
    <w:p/>
    <w:p>
      <w:r>
        <w:t>One supplier may cover several categories. For example, a system integrator may design the panel, purchase PLC hardware, develop software, and perform commissioning. The DAP should still identify which activities are performed directly and which are subcontracted.</w:t>
      </w:r>
    </w:p>
    <w:p>
      <w:pPr>
        <w:pStyle w:val="Heading2"/>
      </w:pPr>
      <w:r>
        <w:t>4. Distinguish OEM, distributor, integrator, and reseller</w:t>
      </w:r>
    </w:p>
    <w:p>
      <w:r>
        <w:t>These terms are related but not interchangeable.</w:t>
      </w:r>
    </w:p>
    <w:p>
      <w:pPr>
        <w:pStyle w:val="ListBullet"/>
      </w:pPr>
      <w:r>
        <w:t>OEM: The original manufacturer of the equipment or machine.</w:t>
      </w:r>
    </w:p>
    <w:p>
      <w:pPr>
        <w:pStyle w:val="ListBullet"/>
      </w:pPr>
      <w:r>
        <w:t>Authorized distributor: A supplier authorized by the manufacturer to sell its products under defined terms.</w:t>
      </w:r>
    </w:p>
    <w:p>
      <w:pPr>
        <w:pStyle w:val="ListBullet"/>
      </w:pPr>
      <w:r>
        <w:t>System integrator: An organization that combines components, programs, networks, and interfaces into a working solution.</w:t>
      </w:r>
    </w:p>
    <w:p>
      <w:pPr>
        <w:pStyle w:val="ListBullet"/>
      </w:pPr>
      <w:r>
        <w:t>Reseller: An organization that sells products but may not provide manufacturer-authorized support.</w:t>
      </w:r>
    </w:p>
    <w:p>
      <w:pPr>
        <w:pStyle w:val="ListBullet"/>
      </w:pPr>
      <w:r>
        <w:t>Panel builder: A company that assembles, wires, tests, or manufactures electrical control panels.</w:t>
      </w:r>
    </w:p>
    <w:p>
      <w:pPr>
        <w:pStyle w:val="ListBullet"/>
      </w:pPr>
      <w:r>
        <w:t>Service partner: A company that performs maintenance, commissioning, repair, or technical support.</w:t>
      </w:r>
    </w:p>
    <w:p>
      <w:r>
        <w:t>A vendor may be technically capable of supplying a device without being authorized to provide its warranty or manufacturer-level support.</w:t>
      </w:r>
    </w:p>
    <w:p>
      <w:r>
        <w:t>For critical equipment, verify authorization and the exact scope of the claimed support.</w:t>
      </w:r>
    </w:p>
    <w:p>
      <w:pPr>
        <w:pStyle w:val="Heading2"/>
      </w:pPr>
      <w:r>
        <w:t>5. Information to capture for each vendor</w:t>
      </w:r>
    </w:p>
    <w:p>
      <w:r>
        <w:t>The DAP vendor register should contain enough information to identify the supplier, assess suitability, and trace the evidence used in the recommendation.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Vendor ID</w:t>
            </w:r>
          </w:p>
        </w:tc>
        <w:tc>
          <w:tcPr>
            <w:tcW w:type="dxa" w:w="5400"/>
          </w:tcPr>
          <w:p>
            <w:pPr>
              <w:spacing w:after="0" w:before="0" w:line="240" w:lineRule="auto"/>
              <w:jc w:val="left"/>
            </w:pPr>
            <w:r>
              <w:t>Unique internal reference</w:t>
            </w:r>
          </w:p>
        </w:tc>
      </w:tr>
      <w:tr>
        <w:tc>
          <w:tcPr>
            <w:tcW w:type="dxa" w:w="5400"/>
          </w:tcPr>
          <w:p>
            <w:pPr>
              <w:spacing w:after="0" w:before="0" w:line="240" w:lineRule="auto"/>
              <w:jc w:val="left"/>
            </w:pPr>
            <w:r>
              <w:t>Legal company name</w:t>
            </w:r>
          </w:p>
        </w:tc>
        <w:tc>
          <w:tcPr>
            <w:tcW w:type="dxa" w:w="5400"/>
          </w:tcPr>
          <w:p>
            <w:pPr>
              <w:spacing w:after="0" w:before="0" w:line="240" w:lineRule="auto"/>
              <w:jc w:val="left"/>
            </w:pPr>
            <w:r>
              <w:t>Identifies the contracting entity</w:t>
            </w:r>
          </w:p>
        </w:tc>
      </w:tr>
      <w:tr>
        <w:tc>
          <w:tcPr>
            <w:tcW w:type="dxa" w:w="5400"/>
          </w:tcPr>
          <w:p>
            <w:pPr>
              <w:spacing w:after="0" w:before="0" w:line="240" w:lineRule="auto"/>
              <w:jc w:val="left"/>
            </w:pPr>
            <w:r>
              <w:t>Vendor category</w:t>
            </w:r>
          </w:p>
        </w:tc>
        <w:tc>
          <w:tcPr>
            <w:tcW w:type="dxa" w:w="5400"/>
          </w:tcPr>
          <w:p>
            <w:pPr>
              <w:spacing w:after="0" w:before="0" w:line="240" w:lineRule="auto"/>
              <w:jc w:val="left"/>
            </w:pPr>
            <w:r>
              <w:t>OEM, distributor, integrator, contractor, or other</w:t>
            </w:r>
          </w:p>
        </w:tc>
      </w:tr>
      <w:tr>
        <w:tc>
          <w:tcPr>
            <w:tcW w:type="dxa" w:w="5400"/>
          </w:tcPr>
          <w:p>
            <w:pPr>
              <w:spacing w:after="0" w:before="0" w:line="240" w:lineRule="auto"/>
              <w:jc w:val="left"/>
            </w:pPr>
            <w:r>
              <w:t>Product or service scope</w:t>
            </w:r>
          </w:p>
        </w:tc>
        <w:tc>
          <w:tcPr>
            <w:tcW w:type="dxa" w:w="5400"/>
          </w:tcPr>
          <w:p>
            <w:pPr>
              <w:spacing w:after="0" w:before="0" w:line="240" w:lineRule="auto"/>
              <w:jc w:val="left"/>
            </w:pPr>
            <w:r>
              <w:t>Defines what the vendor can provide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actual equipment manufacturer</w:t>
            </w:r>
          </w:p>
        </w:tc>
      </w:tr>
      <w:tr>
        <w:tc>
          <w:tcPr>
            <w:tcW w:type="dxa" w:w="5400"/>
          </w:tcPr>
          <w:p>
            <w:pPr>
              <w:spacing w:after="0" w:before="0" w:line="240" w:lineRule="auto"/>
              <w:jc w:val="left"/>
            </w:pPr>
            <w:r>
              <w:t>Proposed model or solution</w:t>
            </w:r>
          </w:p>
        </w:tc>
        <w:tc>
          <w:tcPr>
            <w:tcW w:type="dxa" w:w="5400"/>
          </w:tcPr>
          <w:p>
            <w:pPr>
              <w:spacing w:after="0" w:before="0" w:line="240" w:lineRule="auto"/>
              <w:jc w:val="left"/>
            </w:pPr>
            <w:r>
              <w:t>Identifies the technical offering</w:t>
            </w:r>
          </w:p>
        </w:tc>
      </w:tr>
      <w:tr>
        <w:tc>
          <w:tcPr>
            <w:tcW w:type="dxa" w:w="5400"/>
          </w:tcPr>
          <w:p>
            <w:pPr>
              <w:spacing w:after="0" w:before="0" w:line="240" w:lineRule="auto"/>
              <w:jc w:val="left"/>
            </w:pPr>
            <w:r>
              <w:t>Office or service location</w:t>
            </w:r>
          </w:p>
        </w:tc>
        <w:tc>
          <w:tcPr>
            <w:tcW w:type="dxa" w:w="5400"/>
          </w:tcPr>
          <w:p>
            <w:pPr>
              <w:spacing w:after="0" w:before="0" w:line="240" w:lineRule="auto"/>
              <w:jc w:val="left"/>
            </w:pPr>
            <w:r>
              <w:t>Indicates geographic support capability</w:t>
            </w:r>
          </w:p>
        </w:tc>
      </w:tr>
      <w:tr>
        <w:tc>
          <w:tcPr>
            <w:tcW w:type="dxa" w:w="5400"/>
          </w:tcPr>
          <w:p>
            <w:pPr>
              <w:spacing w:after="0" w:before="0" w:line="240" w:lineRule="auto"/>
              <w:jc w:val="left"/>
            </w:pPr>
            <w:r>
              <w:t>Sales contact</w:t>
            </w:r>
          </w:p>
        </w:tc>
        <w:tc>
          <w:tcPr>
            <w:tcW w:type="dxa" w:w="5400"/>
          </w:tcPr>
          <w:p>
            <w:pPr>
              <w:spacing w:after="0" w:before="0" w:line="240" w:lineRule="auto"/>
              <w:jc w:val="left"/>
            </w:pPr>
            <w:r>
              <w:t>Commercial communication</w:t>
            </w:r>
          </w:p>
        </w:tc>
      </w:tr>
      <w:tr>
        <w:tc>
          <w:tcPr>
            <w:tcW w:type="dxa" w:w="5400"/>
          </w:tcPr>
          <w:p>
            <w:pPr>
              <w:spacing w:after="0" w:before="0" w:line="240" w:lineRule="auto"/>
              <w:jc w:val="left"/>
            </w:pPr>
            <w:r>
              <w:t>Technical contact</w:t>
            </w:r>
          </w:p>
        </w:tc>
        <w:tc>
          <w:tcPr>
            <w:tcW w:type="dxa" w:w="5400"/>
          </w:tcPr>
          <w:p>
            <w:pPr>
              <w:spacing w:after="0" w:before="0" w:line="240" w:lineRule="auto"/>
              <w:jc w:val="left"/>
            </w:pPr>
            <w:r>
              <w:t>Engineering clarification</w:t>
            </w:r>
          </w:p>
        </w:tc>
      </w:tr>
      <w:tr>
        <w:tc>
          <w:tcPr>
            <w:tcW w:type="dxa" w:w="5400"/>
          </w:tcPr>
          <w:p>
            <w:pPr>
              <w:spacing w:after="0" w:before="0" w:line="240" w:lineRule="auto"/>
              <w:jc w:val="left"/>
            </w:pPr>
            <w:r>
              <w:t>Authorized status</w:t>
            </w:r>
          </w:p>
        </w:tc>
        <w:tc>
          <w:tcPr>
            <w:tcW w:type="dxa" w:w="5400"/>
          </w:tcPr>
          <w:p>
            <w:pPr>
              <w:spacing w:after="0" w:before="0" w:line="240" w:lineRule="auto"/>
              <w:jc w:val="left"/>
            </w:pPr>
            <w:r>
              <w:t>Records verified manufacturer authorization where applicable</w:t>
            </w:r>
          </w:p>
        </w:tc>
      </w:tr>
      <w:tr>
        <w:tc>
          <w:tcPr>
            <w:tcW w:type="dxa" w:w="5400"/>
          </w:tcPr>
          <w:p>
            <w:pPr>
              <w:spacing w:after="0" w:before="0" w:line="240" w:lineRule="auto"/>
              <w:jc w:val="left"/>
            </w:pPr>
            <w:r>
              <w:t>Quotation reference</w:t>
            </w:r>
          </w:p>
        </w:tc>
        <w:tc>
          <w:tcPr>
            <w:tcW w:type="dxa" w:w="5400"/>
          </w:tcPr>
          <w:p>
            <w:pPr>
              <w:spacing w:after="0" w:before="0" w:line="240" w:lineRule="auto"/>
              <w:jc w:val="left"/>
            </w:pPr>
            <w:r>
              <w:t>Connects the vendor to its offer</w:t>
            </w:r>
          </w:p>
        </w:tc>
      </w:tr>
      <w:tr>
        <w:tc>
          <w:tcPr>
            <w:tcW w:type="dxa" w:w="5400"/>
          </w:tcPr>
          <w:p>
            <w:pPr>
              <w:spacing w:after="0" w:before="0" w:line="240" w:lineRule="auto"/>
              <w:jc w:val="left"/>
            </w:pPr>
            <w:r>
              <w:t>Quotation date</w:t>
            </w:r>
          </w:p>
        </w:tc>
        <w:tc>
          <w:tcPr>
            <w:tcW w:type="dxa" w:w="5400"/>
          </w:tcPr>
          <w:p>
            <w:pPr>
              <w:spacing w:after="0" w:before="0" w:line="240" w:lineRule="auto"/>
              <w:jc w:val="left"/>
            </w:pPr>
            <w:r>
              <w:t>Establishes pricing freshness</w:t>
            </w:r>
          </w:p>
        </w:tc>
      </w:tr>
      <w:tr>
        <w:tc>
          <w:tcPr>
            <w:tcW w:type="dxa" w:w="5400"/>
          </w:tcPr>
          <w:p>
            <w:pPr>
              <w:spacing w:after="0" w:before="0" w:line="240" w:lineRule="auto"/>
              <w:jc w:val="left"/>
            </w:pPr>
            <w:r>
              <w:t>Quotation validity</w:t>
            </w:r>
          </w:p>
        </w:tc>
        <w:tc>
          <w:tcPr>
            <w:tcW w:type="dxa" w:w="5400"/>
          </w:tcPr>
          <w:p>
            <w:pPr>
              <w:spacing w:after="0" w:before="0" w:line="240" w:lineRule="auto"/>
              <w:jc w:val="left"/>
            </w:pPr>
            <w:r>
              <w:t>Identifies the period for which terms apply</w:t>
            </w:r>
          </w:p>
        </w:tc>
      </w:tr>
      <w:tr>
        <w:tc>
          <w:tcPr>
            <w:tcW w:type="dxa" w:w="5400"/>
          </w:tcPr>
          <w:p>
            <w:pPr>
              <w:spacing w:after="0" w:before="0" w:line="240" w:lineRule="auto"/>
              <w:jc w:val="left"/>
            </w:pPr>
            <w:r>
              <w:t>Estimated delivery</w:t>
            </w:r>
          </w:p>
        </w:tc>
        <w:tc>
          <w:tcPr>
            <w:tcW w:type="dxa" w:w="5400"/>
          </w:tcPr>
          <w:p>
            <w:pPr>
              <w:spacing w:after="0" w:before="0" w:line="240" w:lineRule="auto"/>
              <w:jc w:val="left"/>
            </w:pPr>
            <w:r>
              <w:t>Supports schedule planning</w:t>
            </w:r>
          </w:p>
        </w:tc>
      </w:tr>
      <w:tr>
        <w:tc>
          <w:tcPr>
            <w:tcW w:type="dxa" w:w="5400"/>
          </w:tcPr>
          <w:p>
            <w:pPr>
              <w:spacing w:after="0" w:before="0" w:line="240" w:lineRule="auto"/>
              <w:jc w:val="left"/>
            </w:pPr>
            <w:r>
              <w:t>Warranty</w:t>
            </w:r>
          </w:p>
        </w:tc>
        <w:tc>
          <w:tcPr>
            <w:tcW w:type="dxa" w:w="5400"/>
          </w:tcPr>
          <w:p>
            <w:pPr>
              <w:spacing w:after="0" w:before="0" w:line="240" w:lineRule="auto"/>
              <w:jc w:val="left"/>
            </w:pPr>
            <w:r>
              <w:t>Records coverage and conditions</w:t>
            </w:r>
          </w:p>
        </w:tc>
      </w:tr>
      <w:tr>
        <w:tc>
          <w:tcPr>
            <w:tcW w:type="dxa" w:w="5400"/>
          </w:tcPr>
          <w:p>
            <w:pPr>
              <w:spacing w:after="0" w:before="0" w:line="240" w:lineRule="auto"/>
              <w:jc w:val="left"/>
            </w:pPr>
            <w:r>
              <w:t>Service capability</w:t>
            </w:r>
          </w:p>
        </w:tc>
        <w:tc>
          <w:tcPr>
            <w:tcW w:type="dxa" w:w="5400"/>
          </w:tcPr>
          <w:p>
            <w:pPr>
              <w:spacing w:after="0" w:before="0" w:line="240" w:lineRule="auto"/>
              <w:jc w:val="left"/>
            </w:pPr>
            <w:r>
              <w:t>Records installation, commissioning, repair, and support</w:t>
            </w:r>
          </w:p>
        </w:tc>
      </w:tr>
      <w:tr>
        <w:tc>
          <w:tcPr>
            <w:tcW w:type="dxa" w:w="5400"/>
          </w:tcPr>
          <w:p>
            <w:pPr>
              <w:spacing w:after="0" w:before="0" w:line="240" w:lineRule="auto"/>
              <w:jc w:val="left"/>
            </w:pPr>
            <w:r>
              <w:t>Technical compliance</w:t>
            </w:r>
          </w:p>
        </w:tc>
        <w:tc>
          <w:tcPr>
            <w:tcW w:type="dxa" w:w="5400"/>
          </w:tcPr>
          <w:p>
            <w:pPr>
              <w:spacing w:after="0" w:before="0" w:line="240" w:lineRule="auto"/>
              <w:jc w:val="left"/>
            </w:pPr>
            <w:r>
              <w:t>Records compliance and deviations</w:t>
            </w:r>
          </w:p>
        </w:tc>
      </w:tr>
      <w:tr>
        <w:tc>
          <w:tcPr>
            <w:tcW w:type="dxa" w:w="5400"/>
          </w:tcPr>
          <w:p>
            <w:pPr>
              <w:spacing w:after="0" w:before="0" w:line="240" w:lineRule="auto"/>
              <w:jc w:val="left"/>
            </w:pPr>
            <w:r>
              <w:t>Commercial status</w:t>
            </w:r>
          </w:p>
        </w:tc>
        <w:tc>
          <w:tcPr>
            <w:tcW w:type="dxa" w:w="5400"/>
          </w:tcPr>
          <w:p>
            <w:pPr>
              <w:spacing w:after="0" w:before="0" w:line="240" w:lineRule="auto"/>
              <w:jc w:val="left"/>
            </w:pPr>
            <w:r>
              <w:t>Indicates quotation and negotiation status</w:t>
            </w:r>
          </w:p>
        </w:tc>
      </w:tr>
      <w:tr>
        <w:tc>
          <w:tcPr>
            <w:tcW w:type="dxa" w:w="5400"/>
          </w:tcPr>
          <w:p>
            <w:pPr>
              <w:spacing w:after="0" w:before="0" w:line="240" w:lineRule="auto"/>
              <w:jc w:val="left"/>
            </w:pPr>
            <w:r>
              <w:t>Evaluation status</w:t>
            </w:r>
          </w:p>
        </w:tc>
        <w:tc>
          <w:tcPr>
            <w:tcW w:type="dxa" w:w="5400"/>
          </w:tcPr>
          <w:p>
            <w:pPr>
              <w:spacing w:after="0" w:before="0" w:line="240" w:lineRule="auto"/>
              <w:jc w:val="left"/>
            </w:pPr>
            <w:r>
              <w:t>Records assessment and approval progress</w:t>
            </w:r>
          </w:p>
        </w:tc>
      </w:tr>
      <w:tr>
        <w:tc>
          <w:tcPr>
            <w:tcW w:type="dxa" w:w="5400"/>
          </w:tcPr>
          <w:p>
            <w:pPr>
              <w:spacing w:after="0" w:before="0" w:line="240" w:lineRule="auto"/>
              <w:jc w:val="left"/>
            </w:pPr>
            <w:r>
              <w:t>Remarks</w:t>
            </w:r>
          </w:p>
        </w:tc>
        <w:tc>
          <w:tcPr>
            <w:tcW w:type="dxa" w:w="5400"/>
          </w:tcPr>
          <w:p>
            <w:pPr>
              <w:spacing w:after="0" w:before="0" w:line="240" w:lineRule="auto"/>
              <w:jc w:val="left"/>
            </w:pPr>
            <w:r>
              <w:t>Captures unresolved items and assumptions</w:t>
            </w:r>
          </w:p>
        </w:tc>
      </w:tr>
    </w:tbl>
    <w:p/>
    <w:p>
      <w:r>
        <w:t>Store sensitive commercial and contact information in the organization's approved systems. A DAP summary does not need to reproduce every confidential document or personal contact detail.</w:t>
      </w:r>
    </w:p>
    <w:p>
      <w:pPr>
        <w:pStyle w:val="Heading2"/>
      </w:pPr>
      <w:r>
        <w:t>6. Vendor details versus vendor evaluation</w:t>
      </w:r>
    </w:p>
    <w:p>
      <w:r>
        <w:t>Vendor details and vendor evaluation are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Vendor details</w:t>
            </w:r>
          </w:p>
        </w:tc>
        <w:tc>
          <w:tcPr>
            <w:tcW w:type="dxa" w:w="3600"/>
            <w:shd w:val="clear" w:color="auto" w:fill="EEF2F7"/>
          </w:tcPr>
          <w:p>
            <w:pPr>
              <w:spacing w:after="0" w:before="0" w:line="240" w:lineRule="auto"/>
              <w:jc w:val="left"/>
            </w:pPr>
            <w:r>
              <w:rPr>
                <w:b/>
                <w:color w:val="1A2E4A"/>
              </w:rPr>
              <w:t>Vendor evaluation</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Who is the vendor and what do they offer?</w:t>
            </w:r>
          </w:p>
        </w:tc>
        <w:tc>
          <w:tcPr>
            <w:tcW w:type="dxa" w:w="3600"/>
          </w:tcPr>
          <w:p>
            <w:pPr>
              <w:spacing w:after="0" w:before="0" w:line="240" w:lineRule="auto"/>
              <w:jc w:val="left"/>
            </w:pPr>
            <w:r>
              <w:t>Is the vendor suitable for this requirement?</w:t>
            </w:r>
          </w:p>
        </w:tc>
      </w:tr>
      <w:tr>
        <w:tc>
          <w:tcPr>
            <w:tcW w:type="dxa" w:w="3600"/>
          </w:tcPr>
          <w:p>
            <w:pPr>
              <w:spacing w:after="0" w:before="0" w:line="240" w:lineRule="auto"/>
              <w:jc w:val="left"/>
            </w:pPr>
            <w:r>
              <w:t>Information</w:t>
            </w:r>
          </w:p>
        </w:tc>
        <w:tc>
          <w:tcPr>
            <w:tcW w:type="dxa" w:w="3600"/>
          </w:tcPr>
          <w:p>
            <w:pPr>
              <w:spacing w:after="0" w:before="0" w:line="240" w:lineRule="auto"/>
              <w:jc w:val="left"/>
            </w:pPr>
            <w:r>
              <w:t>Company, product, contacts, quotation, support</w:t>
            </w:r>
          </w:p>
        </w:tc>
        <w:tc>
          <w:tcPr>
            <w:tcW w:type="dxa" w:w="3600"/>
          </w:tcPr>
          <w:p>
            <w:pPr>
              <w:spacing w:after="0" w:before="0" w:line="240" w:lineRule="auto"/>
              <w:jc w:val="left"/>
            </w:pPr>
            <w:r>
              <w:t>Compliance, capability, risk, cost, delivery</w:t>
            </w:r>
          </w:p>
        </w:tc>
      </w:tr>
      <w:tr>
        <w:tc>
          <w:tcPr>
            <w:tcW w:type="dxa" w:w="3600"/>
          </w:tcPr>
          <w:p>
            <w:pPr>
              <w:spacing w:after="0" w:before="0" w:line="240" w:lineRule="auto"/>
              <w:jc w:val="left"/>
            </w:pPr>
            <w:r>
              <w:t>Evidence</w:t>
            </w:r>
          </w:p>
        </w:tc>
        <w:tc>
          <w:tcPr>
            <w:tcW w:type="dxa" w:w="3600"/>
          </w:tcPr>
          <w:p>
            <w:pPr>
              <w:spacing w:after="0" w:before="0" w:line="240" w:lineRule="auto"/>
              <w:jc w:val="left"/>
            </w:pPr>
            <w:r>
              <w:t>Company documents and quotations</w:t>
            </w:r>
          </w:p>
        </w:tc>
        <w:tc>
          <w:tcPr>
            <w:tcW w:type="dxa" w:w="3600"/>
          </w:tcPr>
          <w:p>
            <w:pPr>
              <w:spacing w:after="0" w:before="0" w:line="240" w:lineRule="auto"/>
              <w:jc w:val="left"/>
            </w:pPr>
            <w:r>
              <w:t>Technical review, references, tests, assessments</w:t>
            </w:r>
          </w:p>
        </w:tc>
      </w:tr>
      <w:tr>
        <w:tc>
          <w:tcPr>
            <w:tcW w:type="dxa" w:w="3600"/>
          </w:tcPr>
          <w:p>
            <w:pPr>
              <w:spacing w:after="0" w:before="0" w:line="240" w:lineRule="auto"/>
              <w:jc w:val="left"/>
            </w:pPr>
            <w:r>
              <w:t>Output</w:t>
            </w:r>
          </w:p>
        </w:tc>
        <w:tc>
          <w:tcPr>
            <w:tcW w:type="dxa" w:w="3600"/>
          </w:tcPr>
          <w:p>
            <w:pPr>
              <w:spacing w:after="0" w:before="0" w:line="240" w:lineRule="auto"/>
              <w:jc w:val="left"/>
            </w:pPr>
            <w:r>
              <w:t>Vendor register or profile</w:t>
            </w:r>
          </w:p>
        </w:tc>
        <w:tc>
          <w:tcPr>
            <w:tcW w:type="dxa" w:w="3600"/>
          </w:tcPr>
          <w:p>
            <w:pPr>
              <w:spacing w:after="0" w:before="0" w:line="240" w:lineRule="auto"/>
              <w:jc w:val="left"/>
            </w:pPr>
            <w:r>
              <w:t>Evaluation result and recommendation</w:t>
            </w:r>
          </w:p>
        </w:tc>
      </w:tr>
      <w:tr>
        <w:tc>
          <w:tcPr>
            <w:tcW w:type="dxa" w:w="3600"/>
          </w:tcPr>
          <w:p>
            <w:pPr>
              <w:spacing w:after="0" w:before="0" w:line="240" w:lineRule="auto"/>
              <w:jc w:val="left"/>
            </w:pPr>
            <w:r>
              <w:t>Decision</w:t>
            </w:r>
          </w:p>
        </w:tc>
        <w:tc>
          <w:tcPr>
            <w:tcW w:type="dxa" w:w="3600"/>
          </w:tcPr>
          <w:p>
            <w:pPr>
              <w:spacing w:after="0" w:before="0" w:line="240" w:lineRule="auto"/>
              <w:jc w:val="left"/>
            </w:pPr>
            <w:r>
              <w:t>Establishes available options</w:t>
            </w:r>
          </w:p>
        </w:tc>
        <w:tc>
          <w:tcPr>
            <w:tcW w:type="dxa" w:w="3600"/>
          </w:tcPr>
          <w:p>
            <w:pPr>
              <w:spacing w:after="0" w:before="0" w:line="240" w:lineRule="auto"/>
              <w:jc w:val="left"/>
            </w:pPr>
            <w:r>
              <w:t>Supports shortlisting or selection</w:t>
            </w:r>
          </w:p>
        </w:tc>
      </w:tr>
    </w:tbl>
    <w:p/>
    <w:p>
      <w:r>
        <w:t>A vendor register is not proof that a supplier has been approved. A vendor may be listed for investigation while its technical compliance, authorization, or commercial status remains unverified.</w:t>
      </w:r>
    </w:p>
    <w:p>
      <w:pPr>
        <w:pStyle w:val="Heading2"/>
      </w:pPr>
      <w:r>
        <w:t>7. Define the requirement before approaching vendors</w:t>
      </w:r>
    </w:p>
    <w:p>
      <w:r>
        <w:t>Vendor identification should begin with a defined technical and commercial requirement.</w:t>
      </w:r>
    </w:p>
    <w:p>
      <w:r>
        <w:t>For an automation retrofit, the requirement may include:</w:t>
      </w:r>
    </w:p>
    <w:p>
      <w:pPr>
        <w:pStyle w:val="ListBullet"/>
      </w:pPr>
      <w:r>
        <w:t>Required function and operating sequence.</w:t>
      </w:r>
    </w:p>
    <w:p>
      <w:pPr>
        <w:pStyle w:val="ListBullet"/>
      </w:pPr>
      <w:r>
        <w:t>PLC, HMI, drive, robot, CNC, or SCADA interfaces.</w:t>
      </w:r>
    </w:p>
    <w:p>
      <w:pPr>
        <w:pStyle w:val="ListBullet"/>
      </w:pPr>
      <w:r>
        <w:t>Required I/O types and quantities.</w:t>
      </w:r>
    </w:p>
    <w:p>
      <w:pPr>
        <w:pStyle w:val="ListBullet"/>
      </w:pPr>
      <w:r>
        <w:t>Communication protocols.</w:t>
      </w:r>
    </w:p>
    <w:p>
      <w:pPr>
        <w:pStyle w:val="ListBullet"/>
      </w:pPr>
      <w:r>
        <w:t>Environmental and electrical ratings.</w:t>
      </w:r>
    </w:p>
    <w:p>
      <w:pPr>
        <w:pStyle w:val="ListBullet"/>
      </w:pPr>
      <w:r>
        <w:t>Safety-related functions and required validation.</w:t>
      </w:r>
    </w:p>
    <w:p>
      <w:pPr>
        <w:pStyle w:val="ListBullet"/>
      </w:pPr>
      <w:r>
        <w:t>Existing-system compatibility.</w:t>
      </w:r>
    </w:p>
    <w:p>
      <w:pPr>
        <w:pStyle w:val="ListBullet"/>
      </w:pPr>
      <w:r>
        <w:t>Software, firmware, and configuration requirements.</w:t>
      </w:r>
    </w:p>
    <w:p>
      <w:pPr>
        <w:pStyle w:val="ListBullet"/>
      </w:pPr>
      <w:r>
        <w:t>Documentation and training.</w:t>
      </w:r>
    </w:p>
    <w:p>
      <w:pPr>
        <w:pStyle w:val="ListBullet"/>
      </w:pPr>
      <w:r>
        <w:t>Installation and commissioning scope.</w:t>
      </w:r>
    </w:p>
    <w:p>
      <w:pPr>
        <w:pStyle w:val="ListBullet"/>
      </w:pPr>
      <w:r>
        <w:t>Delivery requirements.</w:t>
      </w:r>
    </w:p>
    <w:p>
      <w:pPr>
        <w:pStyle w:val="ListBullet"/>
      </w:pPr>
      <w:r>
        <w:t>Warranty and support expectations.</w:t>
      </w:r>
    </w:p>
    <w:p>
      <w:r>
        <w:t>Where the design permits technically equivalent alternatives, specify measurable performance and interface requirements rather than unnecessarily restricting the solution to one model.</w:t>
      </w:r>
    </w:p>
    <w:p>
      <w:r>
        <w:t>However, existing-system compatibility may legitimately require a specific platform or model family. The reason should be documented.</w:t>
      </w:r>
    </w:p>
    <w:p>
      <w:pPr>
        <w:pStyle w:val="Heading2"/>
      </w:pPr>
      <w:r>
        <w:t>8. Vendor identification workflow</w:t>
      </w:r>
    </w:p>
    <w:p>
      <w:pPr>
        <w:shd w:val="clear" w:color="auto" w:fill="F4F4F4"/>
        <w:spacing w:before="0" w:after="0" w:line="240" w:lineRule="auto"/>
        <w:ind w:left="216" w:right="216"/>
        <w:jc w:val="left"/>
      </w:pPr>
      <w:r>
        <w:rPr>
          <w:rFonts w:ascii="Consolas" w:hAnsi="Consolas"/>
          <w:color w:val="202020"/>
          <w:sz w:val="18"/>
        </w:rPr>
        <w:t>Define technical and service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potential OEMs and suppliers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product range 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Collect technical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Issue RFQ or technical inquiry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Review technical compliance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Evaluate commercial terms and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Assess support and project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Prepare recommendation for approval</w:t>
      </w:r>
    </w:p>
    <w:p/>
    <w:p>
      <w:r>
        <w:t>The sequence can vary depending on procurement policy. Some organizations prequalify vendors before issuing an RFQ, while others conduct preliminary screening after receiving responses.</w:t>
      </w:r>
    </w:p>
    <w:p>
      <w:r>
        <w:t>Technical and commercial evaluations should remain distinguishable even when the same team coordinates both.</w:t>
      </w:r>
    </w:p>
    <w:p>
      <w:pPr>
        <w:pStyle w:val="Heading2"/>
      </w:pPr>
      <w:r>
        <w:t>9. Identify vendors using multiple evidence sources</w:t>
      </w:r>
    </w:p>
    <w:p>
      <w:r>
        <w:t>Potential vendors can be identified through:</w:t>
      </w:r>
    </w:p>
    <w:p>
      <w:pPr>
        <w:pStyle w:val="ListBullet"/>
      </w:pPr>
      <w:r>
        <w:t>Existing approved-vendor lists.</w:t>
      </w:r>
    </w:p>
    <w:p>
      <w:pPr>
        <w:pStyle w:val="ListBullet"/>
      </w:pPr>
      <w:r>
        <w:t>Previous purchase records.</w:t>
      </w:r>
    </w:p>
    <w:p>
      <w:pPr>
        <w:pStyle w:val="ListBullet"/>
      </w:pPr>
      <w:r>
        <w:t>Manufacturer websites and authorized partner directories.</w:t>
      </w:r>
    </w:p>
    <w:p>
      <w:pPr>
        <w:pStyle w:val="ListBullet"/>
      </w:pPr>
      <w:r>
        <w:t>OEM recommendations.</w:t>
      </w:r>
    </w:p>
    <w:p>
      <w:pPr>
        <w:pStyle w:val="ListBullet"/>
      </w:pPr>
      <w:r>
        <w:t>References from machine builders.</w:t>
      </w:r>
    </w:p>
    <w:p>
      <w:pPr>
        <w:pStyle w:val="ListBullet"/>
      </w:pPr>
      <w:r>
        <w:t>System-integrator capability records.</w:t>
      </w:r>
    </w:p>
    <w:p>
      <w:pPr>
        <w:pStyle w:val="ListBullet"/>
      </w:pPr>
      <w:r>
        <w:t>Internal maintenance and engineering experience.</w:t>
      </w:r>
    </w:p>
    <w:p>
      <w:pPr>
        <w:pStyle w:val="ListBullet"/>
      </w:pPr>
      <w:r>
        <w:t>Previous project performance.</w:t>
      </w:r>
    </w:p>
    <w:p>
      <w:pPr>
        <w:pStyle w:val="ListBullet"/>
      </w:pPr>
      <w:r>
        <w:t>Formal requests for information.</w:t>
      </w:r>
    </w:p>
    <w:p>
      <w:pPr>
        <w:pStyle w:val="ListBullet"/>
      </w:pPr>
      <w:r>
        <w:t>Supplier qualification databases.</w:t>
      </w:r>
    </w:p>
    <w:p>
      <w:r>
        <w:t>Vendor discovery should not be confused with vendor approval. A company appearing on a manufacturer's website or submitting a quotation does not automatically establish its suitability for the specific project.</w:t>
      </w:r>
    </w:p>
    <w:p>
      <w:r>
        <w:t>For critical or proprietary equipment, verify that the proposed product is genuine, supported, available for the intended region, and compatible with the existing installation.</w:t>
      </w:r>
    </w:p>
    <w:p>
      <w:pPr>
        <w:pStyle w:val="Heading2"/>
      </w:pPr>
      <w:r>
        <w:t>10. Evaluate technical capability</w:t>
      </w:r>
    </w:p>
    <w:p>
      <w:r>
        <w:t>Technical capability is the vendor's ability to supply a solution that meets the defined requirements.</w:t>
      </w:r>
    </w:p>
    <w:p>
      <w:r>
        <w:t>Consider the following areas:</w:t>
      </w:r>
    </w:p>
    <w:p>
      <w:pPr>
        <w:pStyle w:val="ListBullet"/>
      </w:pPr>
      <w:r>
        <w:t>Product compatibility.</w:t>
      </w:r>
    </w:p>
    <w:p>
      <w:pPr>
        <w:pStyle w:val="ListBullet"/>
      </w:pPr>
      <w:r>
        <w:t>Performance and capacity.</w:t>
      </w:r>
    </w:p>
    <w:p>
      <w:pPr>
        <w:pStyle w:val="ListBullet"/>
      </w:pPr>
      <w:r>
        <w:t>Supported communication protocols.</w:t>
      </w:r>
    </w:p>
    <w:p>
      <w:pPr>
        <w:pStyle w:val="ListBullet"/>
      </w:pPr>
      <w:r>
        <w:t>Availability of required accessories.</w:t>
      </w:r>
    </w:p>
    <w:p>
      <w:pPr>
        <w:pStyle w:val="ListBullet"/>
      </w:pPr>
      <w:r>
        <w:t>Engineering and configuration capabilities.</w:t>
      </w:r>
    </w:p>
    <w:p>
      <w:pPr>
        <w:pStyle w:val="ListBullet"/>
      </w:pPr>
      <w:r>
        <w:t>Integration experience.</w:t>
      </w:r>
    </w:p>
    <w:p>
      <w:pPr>
        <w:pStyle w:val="ListBullet"/>
      </w:pPr>
      <w:r>
        <w:t>Safety-related competence where applicable.</w:t>
      </w:r>
    </w:p>
    <w:p>
      <w:pPr>
        <w:pStyle w:val="ListBullet"/>
      </w:pPr>
      <w:r>
        <w:t>Ability to support the existing installed base.</w:t>
      </w:r>
    </w:p>
    <w:p>
      <w:pPr>
        <w:pStyle w:val="ListBullet"/>
      </w:pPr>
      <w:r>
        <w:t>Availability of software and configuration tools.</w:t>
      </w:r>
    </w:p>
    <w:p>
      <w:pPr>
        <w:pStyle w:val="ListBullet"/>
      </w:pPr>
      <w:r>
        <w:t>Quality of documentation.</w:t>
      </w:r>
    </w:p>
    <w:p>
      <w:pPr>
        <w:pStyle w:val="ListBullet"/>
      </w:pPr>
      <w:r>
        <w:t>Testing and commissioning capability.</w:t>
      </w:r>
    </w:p>
    <w:p>
      <w:pPr>
        <w:pStyle w:val="ListBullet"/>
      </w:pPr>
      <w:r>
        <w:t>Obsolescence and migration strategy.</w:t>
      </w:r>
    </w:p>
    <w:p>
      <w:r>
        <w:t>For a PLC retrofit, a vendor may supply the correct CPU but fail to provide the required communication module, software license, memory capacity, or compatible I/O. The individual product being technically valid does not guarantee that the complete proposed configuration will work.</w:t>
      </w:r>
    </w:p>
    <w:p>
      <w:r>
        <w:t>Assess the entire solution and its interfaces.</w:t>
      </w:r>
    </w:p>
    <w:p>
      <w:pPr>
        <w:pStyle w:val="Heading2"/>
      </w:pPr>
      <w:r>
        <w:t>11. Technical compliance matrix</w:t>
      </w:r>
    </w:p>
    <w:p>
      <w:r>
        <w:t>A compliance matrix compares the requirement with the vendor's offer.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Required condition</w:t>
            </w:r>
          </w:p>
        </w:tc>
        <w:tc>
          <w:tcPr>
            <w:tcW w:type="dxa" w:w="2700"/>
            <w:shd w:val="clear" w:color="auto" w:fill="EEF2F7"/>
          </w:tcPr>
          <w:p>
            <w:pPr>
              <w:spacing w:after="0" w:before="0" w:line="240" w:lineRule="auto"/>
              <w:jc w:val="left"/>
            </w:pPr>
            <w:r>
              <w:rPr>
                <w:b/>
                <w:color w:val="1A2E4A"/>
              </w:rPr>
              <w:t>Vendor response</w:t>
            </w:r>
          </w:p>
        </w:tc>
        <w:tc>
          <w:tcPr>
            <w:tcW w:type="dxa" w:w="2700"/>
            <w:shd w:val="clear" w:color="auto" w:fill="EEF2F7"/>
          </w:tcPr>
          <w:p>
            <w:pPr>
              <w:spacing w:after="0" w:before="0" w:line="240" w:lineRule="auto"/>
              <w:jc w:val="left"/>
            </w:pPr>
            <w:r>
              <w:rPr>
                <w:b/>
                <w:color w:val="1A2E4A"/>
              </w:rPr>
              <w:t>Assessment</w:t>
            </w:r>
          </w:p>
        </w:tc>
      </w:tr>
      <w:tr>
        <w:tc>
          <w:tcPr>
            <w:tcW w:type="dxa" w:w="2700"/>
          </w:tcPr>
          <w:p>
            <w:pPr>
              <w:spacing w:after="0" w:before="0" w:line="240" w:lineRule="auto"/>
              <w:jc w:val="left"/>
            </w:pPr>
            <w:r>
              <w:t>PLC communication</w:t>
            </w:r>
          </w:p>
        </w:tc>
        <w:tc>
          <w:tcPr>
            <w:tcW w:type="dxa" w:w="2700"/>
          </w:tcPr>
          <w:p>
            <w:pPr>
              <w:spacing w:after="0" w:before="0" w:line="240" w:lineRule="auto"/>
              <w:jc w:val="left"/>
            </w:pPr>
            <w:r>
              <w:t>Required industrial protocol</w:t>
            </w:r>
          </w:p>
        </w:tc>
        <w:tc>
          <w:tcPr>
            <w:tcW w:type="dxa" w:w="2700"/>
          </w:tcPr>
          <w:p>
            <w:pPr>
              <w:spacing w:after="0" w:before="0" w:line="240" w:lineRule="auto"/>
              <w:jc w:val="left"/>
            </w:pPr>
            <w:r>
              <w:t>Explicitly stated protocol</w:t>
            </w:r>
          </w:p>
        </w:tc>
        <w:tc>
          <w:tcPr>
            <w:tcW w:type="dxa" w:w="2700"/>
          </w:tcPr>
          <w:p>
            <w:pPr>
              <w:spacing w:after="0" w:before="0" w:line="240" w:lineRule="auto"/>
              <w:jc w:val="left"/>
            </w:pPr>
            <w:r>
              <w:t>Compliant if verified</w:t>
            </w:r>
          </w:p>
        </w:tc>
      </w:tr>
      <w:tr>
        <w:tc>
          <w:tcPr>
            <w:tcW w:type="dxa" w:w="2700"/>
          </w:tcPr>
          <w:p>
            <w:pPr>
              <w:spacing w:after="0" w:before="0" w:line="240" w:lineRule="auto"/>
              <w:jc w:val="left"/>
            </w:pPr>
            <w:r>
              <w:t>Digital I/O</w:t>
            </w:r>
          </w:p>
        </w:tc>
        <w:tc>
          <w:tcPr>
            <w:tcW w:type="dxa" w:w="2700"/>
          </w:tcPr>
          <w:p>
            <w:pPr>
              <w:spacing w:after="0" w:before="0" w:line="240" w:lineRule="auto"/>
              <w:jc w:val="left"/>
            </w:pPr>
            <w:r>
              <w:t>Required quantity and electrical type</w:t>
            </w:r>
          </w:p>
        </w:tc>
        <w:tc>
          <w:tcPr>
            <w:tcW w:type="dxa" w:w="2700"/>
          </w:tcPr>
          <w:p>
            <w:pPr>
              <w:spacing w:after="0" w:before="0" w:line="240" w:lineRule="auto"/>
              <w:jc w:val="left"/>
            </w:pPr>
            <w:r>
              <w:t>Offered module configuration</w:t>
            </w:r>
          </w:p>
        </w:tc>
        <w:tc>
          <w:tcPr>
            <w:tcW w:type="dxa" w:w="2700"/>
          </w:tcPr>
          <w:p>
            <w:pPr>
              <w:spacing w:after="0" w:before="0" w:line="240" w:lineRule="auto"/>
              <w:jc w:val="left"/>
            </w:pPr>
            <w:r>
              <w:t>Verify capacity and compatibility</w:t>
            </w:r>
          </w:p>
        </w:tc>
      </w:tr>
      <w:tr>
        <w:tc>
          <w:tcPr>
            <w:tcW w:type="dxa" w:w="2700"/>
          </w:tcPr>
          <w:p>
            <w:pPr>
              <w:spacing w:after="0" w:before="0" w:line="240" w:lineRule="auto"/>
              <w:jc w:val="left"/>
            </w:pPr>
            <w:r>
              <w:t>HMI interface</w:t>
            </w:r>
          </w:p>
        </w:tc>
        <w:tc>
          <w:tcPr>
            <w:tcW w:type="dxa" w:w="2700"/>
          </w:tcPr>
          <w:p>
            <w:pPr>
              <w:spacing w:after="0" w:before="0" w:line="240" w:lineRule="auto"/>
              <w:jc w:val="left"/>
            </w:pPr>
            <w:r>
              <w:t>Required data and control functions</w:t>
            </w:r>
          </w:p>
        </w:tc>
        <w:tc>
          <w:tcPr>
            <w:tcW w:type="dxa" w:w="2700"/>
          </w:tcPr>
          <w:p>
            <w:pPr>
              <w:spacing w:after="0" w:before="0" w:line="240" w:lineRule="auto"/>
              <w:jc w:val="left"/>
            </w:pPr>
            <w:r>
              <w:t>Offered HMI and driver support</w:t>
            </w:r>
          </w:p>
        </w:tc>
        <w:tc>
          <w:tcPr>
            <w:tcW w:type="dxa" w:w="2700"/>
          </w:tcPr>
          <w:p>
            <w:pPr>
              <w:spacing w:after="0" w:before="0" w:line="240" w:lineRule="auto"/>
              <w:jc w:val="left"/>
            </w:pPr>
            <w:r>
              <w:t>Verify integration</w:t>
            </w:r>
          </w:p>
        </w:tc>
      </w:tr>
      <w:tr>
        <w:tc>
          <w:tcPr>
            <w:tcW w:type="dxa" w:w="2700"/>
          </w:tcPr>
          <w:p>
            <w:pPr>
              <w:spacing w:after="0" w:before="0" w:line="240" w:lineRule="auto"/>
              <w:jc w:val="left"/>
            </w:pPr>
            <w:r>
              <w:t>Environmental rating</w:t>
            </w:r>
          </w:p>
        </w:tc>
        <w:tc>
          <w:tcPr>
            <w:tcW w:type="dxa" w:w="2700"/>
          </w:tcPr>
          <w:p>
            <w:pPr>
              <w:spacing w:after="0" w:before="0" w:line="240" w:lineRule="auto"/>
              <w:jc w:val="left"/>
            </w:pPr>
            <w:r>
              <w:t>Site-specific minimum rating</w:t>
            </w:r>
          </w:p>
        </w:tc>
        <w:tc>
          <w:tcPr>
            <w:tcW w:type="dxa" w:w="2700"/>
          </w:tcPr>
          <w:p>
            <w:pPr>
              <w:spacing w:after="0" w:before="0" w:line="240" w:lineRule="auto"/>
              <w:jc w:val="left"/>
            </w:pPr>
            <w:r>
              <w:t>Manufacturer-declared rating</w:t>
            </w:r>
          </w:p>
        </w:tc>
        <w:tc>
          <w:tcPr>
            <w:tcW w:type="dxa" w:w="2700"/>
          </w:tcPr>
          <w:p>
            <w:pPr>
              <w:spacing w:after="0" w:before="0" w:line="240" w:lineRule="auto"/>
              <w:jc w:val="left"/>
            </w:pPr>
            <w:r>
              <w:t>Compare with requirement</w:t>
            </w:r>
          </w:p>
        </w:tc>
      </w:tr>
      <w:tr>
        <w:tc>
          <w:tcPr>
            <w:tcW w:type="dxa" w:w="2700"/>
          </w:tcPr>
          <w:p>
            <w:pPr>
              <w:spacing w:after="0" w:before="0" w:line="240" w:lineRule="auto"/>
              <w:jc w:val="left"/>
            </w:pPr>
            <w:r>
              <w:t>Software access</w:t>
            </w:r>
          </w:p>
        </w:tc>
        <w:tc>
          <w:tcPr>
            <w:tcW w:type="dxa" w:w="2700"/>
          </w:tcPr>
          <w:p>
            <w:pPr>
              <w:spacing w:after="0" w:before="0" w:line="240" w:lineRule="auto"/>
              <w:jc w:val="left"/>
            </w:pPr>
            <w:r>
              <w:t>Required engineering and backup access</w:t>
            </w:r>
          </w:p>
        </w:tc>
        <w:tc>
          <w:tcPr>
            <w:tcW w:type="dxa" w:w="2700"/>
          </w:tcPr>
          <w:p>
            <w:pPr>
              <w:spacing w:after="0" w:before="0" w:line="240" w:lineRule="auto"/>
              <w:jc w:val="left"/>
            </w:pPr>
            <w:r>
              <w:t>License and access terms</w:t>
            </w:r>
          </w:p>
        </w:tc>
        <w:tc>
          <w:tcPr>
            <w:tcW w:type="dxa" w:w="2700"/>
          </w:tcPr>
          <w:p>
            <w:pPr>
              <w:spacing w:after="0" w:before="0" w:line="240" w:lineRule="auto"/>
              <w:jc w:val="left"/>
            </w:pPr>
            <w:r>
              <w:t>Confirm in writing</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Required drawings and manuals</w:t>
            </w:r>
          </w:p>
        </w:tc>
        <w:tc>
          <w:tcPr>
            <w:tcW w:type="dxa" w:w="2700"/>
          </w:tcPr>
          <w:p>
            <w:pPr>
              <w:spacing w:after="0" w:before="0" w:line="240" w:lineRule="auto"/>
              <w:jc w:val="left"/>
            </w:pPr>
            <w:r>
              <w:t>Listed deliverables</w:t>
            </w:r>
          </w:p>
        </w:tc>
        <w:tc>
          <w:tcPr>
            <w:tcW w:type="dxa" w:w="2700"/>
          </w:tcPr>
          <w:p>
            <w:pPr>
              <w:spacing w:after="0" w:before="0" w:line="240" w:lineRule="auto"/>
              <w:jc w:val="left"/>
            </w:pPr>
            <w:r>
              <w:t>Check completeness</w:t>
            </w:r>
          </w:p>
        </w:tc>
      </w:tr>
      <w:tr>
        <w:tc>
          <w:tcPr>
            <w:tcW w:type="dxa" w:w="2700"/>
          </w:tcPr>
          <w:p>
            <w:pPr>
              <w:spacing w:after="0" w:before="0" w:line="240" w:lineRule="auto"/>
              <w:jc w:val="left"/>
            </w:pPr>
            <w:r>
              <w:t>Warranty</w:t>
            </w:r>
          </w:p>
        </w:tc>
        <w:tc>
          <w:tcPr>
            <w:tcW w:type="dxa" w:w="2700"/>
          </w:tcPr>
          <w:p>
            <w:pPr>
              <w:spacing w:after="0" w:before="0" w:line="240" w:lineRule="auto"/>
              <w:jc w:val="left"/>
            </w:pPr>
            <w:r>
              <w:t>Required warranty conditions</w:t>
            </w:r>
          </w:p>
        </w:tc>
        <w:tc>
          <w:tcPr>
            <w:tcW w:type="dxa" w:w="2700"/>
          </w:tcPr>
          <w:p>
            <w:pPr>
              <w:spacing w:after="0" w:before="0" w:line="240" w:lineRule="auto"/>
              <w:jc w:val="left"/>
            </w:pPr>
            <w:r>
              <w:t>Quoted warranty</w:t>
            </w:r>
          </w:p>
        </w:tc>
        <w:tc>
          <w:tcPr>
            <w:tcW w:type="dxa" w:w="2700"/>
          </w:tcPr>
          <w:p>
            <w:pPr>
              <w:spacing w:after="0" w:before="0" w:line="240" w:lineRule="auto"/>
              <w:jc w:val="left"/>
            </w:pPr>
            <w:r>
              <w:t>Review deviations</w:t>
            </w:r>
          </w:p>
        </w:tc>
      </w:tr>
      <w:tr>
        <w:tc>
          <w:tcPr>
            <w:tcW w:type="dxa" w:w="2700"/>
          </w:tcPr>
          <w:p>
            <w:pPr>
              <w:spacing w:after="0" w:before="0" w:line="240" w:lineRule="auto"/>
              <w:jc w:val="left"/>
            </w:pPr>
            <w:r>
              <w:t>Delivery</w:t>
            </w:r>
          </w:p>
        </w:tc>
        <w:tc>
          <w:tcPr>
            <w:tcW w:type="dxa" w:w="2700"/>
          </w:tcPr>
          <w:p>
            <w:pPr>
              <w:spacing w:after="0" w:before="0" w:line="240" w:lineRule="auto"/>
              <w:jc w:val="left"/>
            </w:pPr>
            <w:r>
              <w:t>Required project date</w:t>
            </w:r>
          </w:p>
        </w:tc>
        <w:tc>
          <w:tcPr>
            <w:tcW w:type="dxa" w:w="2700"/>
          </w:tcPr>
          <w:p>
            <w:pPr>
              <w:spacing w:after="0" w:before="0" w:line="240" w:lineRule="auto"/>
              <w:jc w:val="left"/>
            </w:pPr>
            <w:r>
              <w:t>Quoted lead time</w:t>
            </w:r>
          </w:p>
        </w:tc>
        <w:tc>
          <w:tcPr>
            <w:tcW w:type="dxa" w:w="2700"/>
          </w:tcPr>
          <w:p>
            <w:pPr>
              <w:spacing w:after="0" w:before="0" w:line="240" w:lineRule="auto"/>
              <w:jc w:val="left"/>
            </w:pPr>
            <w:r>
              <w:t>Assess schedule feasibility</w:t>
            </w:r>
          </w:p>
        </w:tc>
      </w:tr>
    </w:tbl>
    <w:p/>
    <w:p>
      <w:r>
        <w:t>Use controlled status values such as:</w:t>
      </w:r>
    </w:p>
    <w:p>
      <w:pPr>
        <w:pStyle w:val="ListBullet"/>
      </w:pPr>
      <w:r>
        <w:t>Compliant.</w:t>
      </w:r>
    </w:p>
    <w:p>
      <w:pPr>
        <w:pStyle w:val="ListBullet"/>
      </w:pPr>
      <w:r>
        <w:t>Compliant with clarification.</w:t>
      </w:r>
    </w:p>
    <w:p>
      <w:pPr>
        <w:pStyle w:val="ListBullet"/>
      </w:pPr>
      <w:r>
        <w:t>Deviated.</w:t>
      </w:r>
    </w:p>
    <w:p>
      <w:pPr>
        <w:pStyle w:val="ListBullet"/>
      </w:pPr>
      <w:r>
        <w:t>Not compliant.</w:t>
      </w:r>
    </w:p>
    <w:p>
      <w:pPr>
        <w:pStyle w:val="ListBullet"/>
      </w:pPr>
      <w:r>
        <w:t>Not confirmed.</w:t>
      </w:r>
    </w:p>
    <w:p>
      <w:pPr>
        <w:pStyle w:val="ListBullet"/>
      </w:pPr>
      <w:r>
        <w:t>Not applicable.</w:t>
      </w:r>
    </w:p>
    <w:p>
      <w:r>
        <w:t>Do not classify an item as compliant simply because the vendor has not objected. An unanswered requirement is unconfirmed, not automatically accepted.</w:t>
      </w:r>
    </w:p>
    <w:p>
      <w:pPr>
        <w:pStyle w:val="Heading2"/>
      </w:pPr>
      <w:r>
        <w:t>12. Assess integration capability</w:t>
      </w:r>
    </w:p>
    <w:p>
      <w:r>
        <w:t>Integration capability is especially important in retrofit projects, where the new equipment must interact with an existing machine and its control system.</w:t>
      </w:r>
    </w:p>
    <w:p>
      <w:r>
        <w:t>Verify whether the vendor can support:</w:t>
      </w:r>
    </w:p>
    <w:p>
      <w:pPr>
        <w:pStyle w:val="ListBullet"/>
      </w:pPr>
      <w:r>
        <w:t>Existing PLC program analysis.</w:t>
      </w:r>
    </w:p>
    <w:p>
      <w:pPr>
        <w:pStyle w:val="ListBullet"/>
      </w:pPr>
      <w:r>
        <w:t>PLC and HMI modifications.</w:t>
      </w:r>
    </w:p>
    <w:p>
      <w:pPr>
        <w:pStyle w:val="ListBullet"/>
      </w:pPr>
      <w:r>
        <w:t>CNC and robot handshakes.</w:t>
      </w:r>
    </w:p>
    <w:p>
      <w:pPr>
        <w:pStyle w:val="ListBullet"/>
      </w:pPr>
      <w:r>
        <w:t>Drive control and feedback.</w:t>
      </w:r>
    </w:p>
    <w:p>
      <w:pPr>
        <w:pStyle w:val="ListBullet"/>
      </w:pPr>
      <w:r>
        <w:t>Remote I/O and fieldbus integration.</w:t>
      </w:r>
    </w:p>
    <w:p>
      <w:pPr>
        <w:pStyle w:val="ListBullet"/>
      </w:pPr>
      <w:r>
        <w:t>Industrial Ethernet configuration.</w:t>
      </w:r>
    </w:p>
    <w:p>
      <w:pPr>
        <w:pStyle w:val="ListBullet"/>
      </w:pPr>
      <w:r>
        <w:t>Existing safety-system interfaces.</w:t>
      </w:r>
    </w:p>
    <w:p>
      <w:pPr>
        <w:pStyle w:val="ListBullet"/>
      </w:pPr>
      <w:r>
        <w:t>SCADA and data collection.</w:t>
      </w:r>
    </w:p>
    <w:p>
      <w:pPr>
        <w:pStyle w:val="ListBullet"/>
      </w:pPr>
      <w:r>
        <w:t>Production data and quality-system interfaces.</w:t>
      </w:r>
    </w:p>
    <w:p>
      <w:pPr>
        <w:pStyle w:val="ListBullet"/>
      </w:pPr>
      <w:r>
        <w:t>Fault diagnosis and recovery.</w:t>
      </w:r>
    </w:p>
    <w:p>
      <w:pPr>
        <w:pStyle w:val="ListBullet"/>
      </w:pPr>
      <w:r>
        <w:t>Migration from obsolete platforms.</w:t>
      </w:r>
    </w:p>
    <w:p>
      <w:r>
        <w:t>Ask for evidence of relevant experience rather than relying only on a general statement that the vendor handles automation.</w:t>
      </w:r>
    </w:p>
    <w:p>
      <w:r>
        <w:t>Useful evidence includes completed-project records, sample documentation, technical staff qualifications, demonstrated product knowledge, and a clear approach to commissioning and fault recovery.</w:t>
      </w:r>
    </w:p>
    <w:p>
      <w:pPr>
        <w:pStyle w:val="Heading2"/>
      </w:pPr>
      <w:r>
        <w:t>13. Assess local service and support</w:t>
      </w:r>
    </w:p>
    <w:p>
      <w:r>
        <w:t>Equipment suitability is not only a matter of initial purchase. A supplier's support capability affects machine availability after handover.</w:t>
      </w:r>
    </w:p>
    <w:p>
      <w:r>
        <w:t>Review:</w:t>
      </w:r>
    </w:p>
    <w:p>
      <w:pPr>
        <w:pStyle w:val="ListBullet"/>
      </w:pPr>
      <w:r>
        <w:t>Distance from the plant.</w:t>
      </w:r>
    </w:p>
    <w:p>
      <w:pPr>
        <w:pStyle w:val="ListBullet"/>
      </w:pPr>
      <w:r>
        <w:t>Availability of trained service personnel.</w:t>
      </w:r>
    </w:p>
    <w:p>
      <w:pPr>
        <w:pStyle w:val="ListBullet"/>
      </w:pPr>
      <w:r>
        <w:t>Response-time commitments.</w:t>
      </w:r>
    </w:p>
    <w:p>
      <w:pPr>
        <w:pStyle w:val="ListBullet"/>
      </w:pPr>
      <w:r>
        <w:t>Availability of emergency support.</w:t>
      </w:r>
    </w:p>
    <w:p>
      <w:pPr>
        <w:pStyle w:val="ListBullet"/>
      </w:pPr>
      <w:r>
        <w:t>Spare-parts stocking and delivery arrangements.</w:t>
      </w:r>
    </w:p>
    <w:p>
      <w:pPr>
        <w:pStyle w:val="ListBullet"/>
      </w:pPr>
      <w:r>
        <w:t>Repair capability.</w:t>
      </w:r>
    </w:p>
    <w:p>
      <w:pPr>
        <w:pStyle w:val="ListBullet"/>
      </w:pPr>
      <w:r>
        <w:t>Warranty claim procedure.</w:t>
      </w:r>
    </w:p>
    <w:p>
      <w:pPr>
        <w:pStyle w:val="ListBullet"/>
      </w:pPr>
      <w:r>
        <w:t>Escalation to the OEM.</w:t>
      </w:r>
    </w:p>
    <w:p>
      <w:pPr>
        <w:pStyle w:val="ListBullet"/>
      </w:pPr>
      <w:r>
        <w:t>Availability of engineering software and technical documentation.</w:t>
      </w:r>
    </w:p>
    <w:p>
      <w:pPr>
        <w:pStyle w:val="ListBullet"/>
      </w:pPr>
      <w:r>
        <w:t>Support for obsolete or legacy equipment.</w:t>
      </w:r>
    </w:p>
    <w:p>
      <w:r>
        <w:t>A local distributor may provide rapid delivery but depend on a distant specialist for software troubleshooting. That dependency should be visible in the assessment.</w:t>
      </w:r>
    </w:p>
    <w:p>
      <w:r>
        <w:t>For production-critical systems, define the difference between a stated target response time and a contractual service-level commitment.</w:t>
      </w:r>
    </w:p>
    <w:p>
      <w:pPr>
        <w:pStyle w:val="Heading2"/>
      </w:pPr>
      <w:r>
        <w:t>14. Evaluate vendor experience and references</w:t>
      </w:r>
    </w:p>
    <w:p>
      <w:r>
        <w:t>Relevant experience should be assessed against the proposed work, not simply the vendor's age or company size.</w:t>
      </w:r>
    </w:p>
    <w:p>
      <w:r>
        <w:t>Consider:</w:t>
      </w:r>
    </w:p>
    <w:p>
      <w:pPr>
        <w:pStyle w:val="ListBullet"/>
      </w:pPr>
      <w:r>
        <w:t>Similar machine types.</w:t>
      </w:r>
    </w:p>
    <w:p>
      <w:pPr>
        <w:pStyle w:val="ListBullet"/>
      </w:pPr>
      <w:r>
        <w:t>Similar control platforms.</w:t>
      </w:r>
    </w:p>
    <w:p>
      <w:pPr>
        <w:pStyle w:val="ListBullet"/>
      </w:pPr>
      <w:r>
        <w:t>Similar production environments.</w:t>
      </w:r>
    </w:p>
    <w:p>
      <w:pPr>
        <w:pStyle w:val="ListBullet"/>
      </w:pPr>
      <w:r>
        <w:t>Comparable retrofit complexity.</w:t>
      </w:r>
    </w:p>
    <w:p>
      <w:pPr>
        <w:pStyle w:val="ListBullet"/>
      </w:pPr>
      <w:r>
        <w:t>Similar communication interfaces.</w:t>
      </w:r>
    </w:p>
    <w:p>
      <w:pPr>
        <w:pStyle w:val="ListBullet"/>
      </w:pPr>
      <w:r>
        <w:t>Successful commissioning records.</w:t>
      </w:r>
    </w:p>
    <w:p>
      <w:pPr>
        <w:pStyle w:val="ListBullet"/>
      </w:pPr>
      <w:r>
        <w:t>Reliability after handover.</w:t>
      </w:r>
    </w:p>
    <w:p>
      <w:pPr>
        <w:pStyle w:val="ListBullet"/>
      </w:pPr>
      <w:r>
        <w:t>Quality of documentation.</w:t>
      </w:r>
    </w:p>
    <w:p>
      <w:pPr>
        <w:pStyle w:val="ListBullet"/>
      </w:pPr>
      <w:r>
        <w:t>Ability to resolve integration problems.</w:t>
      </w:r>
    </w:p>
    <w:p>
      <w:pPr>
        <w:pStyle w:val="ListBullet"/>
      </w:pPr>
      <w:r>
        <w:t>Compliance with site safety and access requirements.</w:t>
      </w:r>
    </w:p>
    <w:p>
      <w:r>
        <w:t>Where references are available, establish what the vendor actually delivered and whether the project was comparable.</w:t>
      </w:r>
    </w:p>
    <w:p>
      <w:r>
        <w:t>A vendor with extensive experience in new-machine construction may not automatically be the best choice for a legacy-machine retrofit requiring reverse engineering, program recovery, and minimal production interruption.</w:t>
      </w:r>
    </w:p>
    <w:p>
      <w:pPr>
        <w:pStyle w:val="Heading2"/>
      </w:pPr>
      <w:r>
        <w:t>15. Review the commercial offer</w:t>
      </w:r>
    </w:p>
    <w:p>
      <w:r>
        <w:t>A vendor quotation should be reviewed for scope, price, delivery, warranty, payment, and exclusions.</w:t>
      </w:r>
    </w:p>
    <w:p>
      <w:r>
        <w:t>Confirm:</w:t>
      </w:r>
    </w:p>
    <w:p>
      <w:pPr>
        <w:pStyle w:val="ListBullet"/>
      </w:pPr>
      <w:r>
        <w:t>Exact model numbers and quantities.</w:t>
      </w:r>
    </w:p>
    <w:p>
      <w:pPr>
        <w:pStyle w:val="ListBullet"/>
      </w:pPr>
      <w:r>
        <w:t>Included accessories.</w:t>
      </w:r>
    </w:p>
    <w:p>
      <w:pPr>
        <w:pStyle w:val="ListBullet"/>
      </w:pPr>
      <w:r>
        <w:t>Software licenses and license types.</w:t>
      </w:r>
    </w:p>
    <w:p>
      <w:pPr>
        <w:pStyle w:val="ListBullet"/>
      </w:pPr>
      <w:r>
        <w:t>Engineering and programming charges.</w:t>
      </w:r>
    </w:p>
    <w:p>
      <w:pPr>
        <w:pStyle w:val="ListBullet"/>
      </w:pPr>
      <w:r>
        <w:t>Installation and commissioning charges.</w:t>
      </w:r>
    </w:p>
    <w:p>
      <w:pPr>
        <w:pStyle w:val="ListBullet"/>
      </w:pPr>
      <w:r>
        <w:t>Travel and accommodation.</w:t>
      </w:r>
    </w:p>
    <w:p>
      <w:pPr>
        <w:pStyle w:val="ListBullet"/>
      </w:pPr>
      <w:r>
        <w:t>Packing, freight, and insurance.</w:t>
      </w:r>
    </w:p>
    <w:p>
      <w:pPr>
        <w:pStyle w:val="ListBullet"/>
      </w:pPr>
      <w:r>
        <w:t>Applicable taxes and duties.</w:t>
      </w:r>
    </w:p>
    <w:p>
      <w:pPr>
        <w:pStyle w:val="ListBullet"/>
      </w:pPr>
      <w:r>
        <w:t>Payment milestones.</w:t>
      </w:r>
    </w:p>
    <w:p>
      <w:pPr>
        <w:pStyle w:val="ListBullet"/>
      </w:pPr>
      <w:r>
        <w:t>Warranty duration and exclusions.</w:t>
      </w:r>
    </w:p>
    <w:p>
      <w:pPr>
        <w:pStyle w:val="ListBullet"/>
      </w:pPr>
      <w:r>
        <w:t>Delivery lead time.</w:t>
      </w:r>
    </w:p>
    <w:p>
      <w:pPr>
        <w:pStyle w:val="ListBullet"/>
      </w:pPr>
      <w:r>
        <w:t>Quotation validity.</w:t>
      </w:r>
    </w:p>
    <w:p>
      <w:pPr>
        <w:pStyle w:val="ListBullet"/>
      </w:pPr>
      <w:r>
        <w:t>Price escalation conditions.</w:t>
      </w:r>
    </w:p>
    <w:p>
      <w:pPr>
        <w:pStyle w:val="ListBullet"/>
      </w:pPr>
      <w:r>
        <w:t>Cancellation and change terms.</w:t>
      </w:r>
    </w:p>
    <w:p>
      <w:pPr>
        <w:pStyle w:val="ListBullet"/>
      </w:pPr>
      <w:r>
        <w:t>Required documentation.</w:t>
      </w:r>
    </w:p>
    <w:p>
      <w:pPr>
        <w:pStyle w:val="ListBullet"/>
      </w:pPr>
      <w:r>
        <w:t>Support after commissioning.</w:t>
      </w:r>
    </w:p>
    <w:p>
      <w:r>
        <w:t>The quoted amount should be compared on an equivalent scope basis. A low equipment-only quote should not be compared directly with a complete supply-and-commissioning package.</w:t>
      </w:r>
    </w:p>
    <w:p>
      <w:r>
        <w:t>If the vendor excludes cable installation, panel fabrication, software migration, or SAT, those items must be assigned elsewhere in the project estimate.</w:t>
      </w:r>
    </w:p>
    <w:p>
      <w:pPr>
        <w:pStyle w:val="Heading2"/>
      </w:pPr>
      <w:r>
        <w:t>16. Review vendor documentation</w:t>
      </w:r>
    </w:p>
    <w:p>
      <w:r>
        <w:t>The DAP or procurement package may require documents from the vendor before approval, during engineering, before delivery, and at handover.</w:t>
      </w:r>
    </w:p>
    <w:p>
      <w:r>
        <w:t>Typical documents include:</w:t>
      </w:r>
    </w:p>
    <w:p>
      <w:pPr>
        <w:pStyle w:val="ListBullet"/>
      </w:pPr>
      <w:r>
        <w:t>Company and product information.</w:t>
      </w:r>
    </w:p>
    <w:p>
      <w:pPr>
        <w:pStyle w:val="ListBullet"/>
      </w:pPr>
      <w:r>
        <w:t>Technical datasheets.</w:t>
      </w:r>
    </w:p>
    <w:p>
      <w:pPr>
        <w:pStyle w:val="ListBullet"/>
      </w:pPr>
      <w:r>
        <w:t>Product selection and sizing calculations.</w:t>
      </w:r>
    </w:p>
    <w:p>
      <w:pPr>
        <w:pStyle w:val="ListBullet"/>
      </w:pPr>
      <w:r>
        <w:t>General arrangement drawings.</w:t>
      </w:r>
    </w:p>
    <w:p>
      <w:pPr>
        <w:pStyle w:val="ListBullet"/>
      </w:pPr>
      <w:r>
        <w:t>Electrical schematics.</w:t>
      </w:r>
    </w:p>
    <w:p>
      <w:pPr>
        <w:pStyle w:val="ListBullet"/>
      </w:pPr>
      <w:r>
        <w:t>I/O lists.</w:t>
      </w:r>
    </w:p>
    <w:p>
      <w:pPr>
        <w:pStyle w:val="ListBullet"/>
      </w:pPr>
      <w:r>
        <w:t>Network architecture.</w:t>
      </w:r>
    </w:p>
    <w:p>
      <w:pPr>
        <w:pStyle w:val="ListBullet"/>
      </w:pPr>
      <w:r>
        <w:t>Communication and interface descriptions.</w:t>
      </w:r>
    </w:p>
    <w:p>
      <w:pPr>
        <w:pStyle w:val="ListBullet"/>
      </w:pPr>
      <w:r>
        <w:t>Bills of material.</w:t>
      </w:r>
    </w:p>
    <w:p>
      <w:pPr>
        <w:pStyle w:val="ListBullet"/>
      </w:pPr>
      <w:r>
        <w:t>Compliance statements.</w:t>
      </w:r>
    </w:p>
    <w:p>
      <w:pPr>
        <w:pStyle w:val="ListBullet"/>
      </w:pPr>
      <w:r>
        <w:t>Deviations and exceptions.</w:t>
      </w:r>
    </w:p>
    <w:p>
      <w:pPr>
        <w:pStyle w:val="ListBullet"/>
      </w:pPr>
      <w:r>
        <w:t>Delivery schedule.</w:t>
      </w:r>
    </w:p>
    <w:p>
      <w:pPr>
        <w:pStyle w:val="ListBullet"/>
      </w:pPr>
      <w:r>
        <w:t>Quality plans and test procedures.</w:t>
      </w:r>
    </w:p>
    <w:p>
      <w:pPr>
        <w:pStyle w:val="ListBullet"/>
      </w:pPr>
      <w:r>
        <w:t>FAT and SAT procedures.</w:t>
      </w:r>
    </w:p>
    <w:p>
      <w:pPr>
        <w:pStyle w:val="ListBullet"/>
      </w:pPr>
      <w:r>
        <w:t>Installation and maintenance manuals.</w:t>
      </w:r>
    </w:p>
    <w:p>
      <w:pPr>
        <w:pStyle w:val="ListBullet"/>
      </w:pPr>
      <w:r>
        <w:t>Spare-parts lists.</w:t>
      </w:r>
    </w:p>
    <w:p>
      <w:pPr>
        <w:pStyle w:val="ListBullet"/>
      </w:pPr>
      <w:r>
        <w:t>Software backups and configuration files.</w:t>
      </w:r>
    </w:p>
    <w:p>
      <w:pPr>
        <w:pStyle w:val="ListBullet"/>
      </w:pPr>
      <w:r>
        <w:t>Training records.</w:t>
      </w:r>
    </w:p>
    <w:p>
      <w:pPr>
        <w:pStyle w:val="ListBullet"/>
      </w:pPr>
      <w:r>
        <w:t>Warranty certificates.</w:t>
      </w:r>
    </w:p>
    <w:p>
      <w:pPr>
        <w:pStyle w:val="ListBullet"/>
      </w:pPr>
      <w:r>
        <w:t>As-built drawings.</w:t>
      </w:r>
    </w:p>
    <w:p>
      <w:r>
        <w:t>The required documents depend on the equipment and project contract. A small sensor purchase does not need the same documentation package as a complete PLC-controlled production line.</w:t>
      </w:r>
    </w:p>
    <w:p>
      <w:r>
        <w:t>Define document formats, review stages, approval responsibilities, and delivery dates so that documentation does not become an afterthought.</w:t>
      </w:r>
    </w:p>
    <w:p>
      <w:pPr>
        <w:pStyle w:val="Heading2"/>
      </w:pPr>
      <w:r>
        <w:t>17. Vendor risks and controls</w:t>
      </w:r>
    </w:p>
    <w:p>
      <w:r>
        <w:t>Vendor-related risks should be identified early enough to influence technical and commercial decisions.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Obsolete product</w:t>
            </w:r>
          </w:p>
        </w:tc>
        <w:tc>
          <w:tcPr>
            <w:tcW w:type="dxa" w:w="3600"/>
          </w:tcPr>
          <w:p>
            <w:pPr>
              <w:spacing w:after="0" w:before="0" w:line="240" w:lineRule="auto"/>
              <w:jc w:val="left"/>
            </w:pPr>
            <w:r>
              <w:t>Limited future support</w:t>
            </w:r>
          </w:p>
        </w:tc>
        <w:tc>
          <w:tcPr>
            <w:tcW w:type="dxa" w:w="3600"/>
          </w:tcPr>
          <w:p>
            <w:pPr>
              <w:spacing w:after="0" w:before="0" w:line="240" w:lineRule="auto"/>
              <w:jc w:val="left"/>
            </w:pPr>
            <w:r>
              <w:t>Verify lifecycle status and migration options</w:t>
            </w:r>
          </w:p>
        </w:tc>
      </w:tr>
      <w:tr>
        <w:tc>
          <w:tcPr>
            <w:tcW w:type="dxa" w:w="3600"/>
          </w:tcPr>
          <w:p>
            <w:pPr>
              <w:spacing w:after="0" w:before="0" w:line="240" w:lineRule="auto"/>
              <w:jc w:val="left"/>
            </w:pPr>
            <w:r>
              <w:t>Long lead time</w:t>
            </w:r>
          </w:p>
        </w:tc>
        <w:tc>
          <w:tcPr>
            <w:tcW w:type="dxa" w:w="3600"/>
          </w:tcPr>
          <w:p>
            <w:pPr>
              <w:spacing w:after="0" w:before="0" w:line="240" w:lineRule="auto"/>
              <w:jc w:val="left"/>
            </w:pPr>
            <w:r>
              <w:t>Delayed project completion</w:t>
            </w:r>
          </w:p>
        </w:tc>
        <w:tc>
          <w:tcPr>
            <w:tcW w:type="dxa" w:w="3600"/>
          </w:tcPr>
          <w:p>
            <w:pPr>
              <w:spacing w:after="0" w:before="0" w:line="240" w:lineRule="auto"/>
              <w:jc w:val="left"/>
            </w:pPr>
            <w:r>
              <w:t>Confirm availability and delivery commitments</w:t>
            </w:r>
          </w:p>
        </w:tc>
      </w:tr>
      <w:tr>
        <w:tc>
          <w:tcPr>
            <w:tcW w:type="dxa" w:w="3600"/>
          </w:tcPr>
          <w:p>
            <w:pPr>
              <w:spacing w:after="0" w:before="0" w:line="240" w:lineRule="auto"/>
              <w:jc w:val="left"/>
            </w:pPr>
            <w:r>
              <w:t>Unverified authorization</w:t>
            </w:r>
          </w:p>
        </w:tc>
        <w:tc>
          <w:tcPr>
            <w:tcW w:type="dxa" w:w="3600"/>
          </w:tcPr>
          <w:p>
            <w:pPr>
              <w:spacing w:after="0" w:before="0" w:line="240" w:lineRule="auto"/>
              <w:jc w:val="left"/>
            </w:pPr>
            <w:r>
              <w:t>Warranty or authenticity concerns</w:t>
            </w:r>
          </w:p>
        </w:tc>
        <w:tc>
          <w:tcPr>
            <w:tcW w:type="dxa" w:w="3600"/>
          </w:tcPr>
          <w:p>
            <w:pPr>
              <w:spacing w:after="0" w:before="0" w:line="240" w:lineRule="auto"/>
              <w:jc w:val="left"/>
            </w:pPr>
            <w:r>
              <w:t>Verify authorization with the manufacturer</w:t>
            </w:r>
          </w:p>
        </w:tc>
      </w:tr>
      <w:tr>
        <w:tc>
          <w:tcPr>
            <w:tcW w:type="dxa" w:w="3600"/>
          </w:tcPr>
          <w:p>
            <w:pPr>
              <w:spacing w:after="0" w:before="0" w:line="240" w:lineRule="auto"/>
              <w:jc w:val="left"/>
            </w:pPr>
            <w:r>
              <w:t>Weak integration capability</w:t>
            </w:r>
          </w:p>
        </w:tc>
        <w:tc>
          <w:tcPr>
            <w:tcW w:type="dxa" w:w="3600"/>
          </w:tcPr>
          <w:p>
            <w:pPr>
              <w:spacing w:after="0" w:before="0" w:line="240" w:lineRule="auto"/>
              <w:jc w:val="left"/>
            </w:pPr>
            <w:r>
              <w:t>Commissioning delays</w:t>
            </w:r>
          </w:p>
        </w:tc>
        <w:tc>
          <w:tcPr>
            <w:tcW w:type="dxa" w:w="3600"/>
          </w:tcPr>
          <w:p>
            <w:pPr>
              <w:spacing w:after="0" w:before="0" w:line="240" w:lineRule="auto"/>
              <w:jc w:val="left"/>
            </w:pPr>
            <w:r>
              <w:t>Assess relevant project experience</w:t>
            </w:r>
          </w:p>
        </w:tc>
      </w:tr>
      <w:tr>
        <w:tc>
          <w:tcPr>
            <w:tcW w:type="dxa" w:w="3600"/>
          </w:tcPr>
          <w:p>
            <w:pPr>
              <w:spacing w:after="0" w:before="0" w:line="240" w:lineRule="auto"/>
              <w:jc w:val="left"/>
            </w:pPr>
            <w:r>
              <w:t>Incomplete quotation</w:t>
            </w:r>
          </w:p>
        </w:tc>
        <w:tc>
          <w:tcPr>
            <w:tcW w:type="dxa" w:w="3600"/>
          </w:tcPr>
          <w:p>
            <w:pPr>
              <w:spacing w:after="0" w:before="0" w:line="240" w:lineRule="auto"/>
              <w:jc w:val="left"/>
            </w:pPr>
            <w:r>
              <w:t>Unbudgeted expenditure</w:t>
            </w:r>
          </w:p>
        </w:tc>
        <w:tc>
          <w:tcPr>
            <w:tcW w:type="dxa" w:w="3600"/>
          </w:tcPr>
          <w:p>
            <w:pPr>
              <w:spacing w:after="0" w:before="0" w:line="240" w:lineRule="auto"/>
              <w:jc w:val="left"/>
            </w:pPr>
            <w:r>
              <w:t>Clarify scope and exclusions</w:t>
            </w:r>
          </w:p>
        </w:tc>
      </w:tr>
      <w:tr>
        <w:tc>
          <w:tcPr>
            <w:tcW w:type="dxa" w:w="3600"/>
          </w:tcPr>
          <w:p>
            <w:pPr>
              <w:spacing w:after="0" w:before="0" w:line="240" w:lineRule="auto"/>
              <w:jc w:val="left"/>
            </w:pPr>
            <w:r>
              <w:t>Proprietary dependency</w:t>
            </w:r>
          </w:p>
        </w:tc>
        <w:tc>
          <w:tcPr>
            <w:tcW w:type="dxa" w:w="3600"/>
          </w:tcPr>
          <w:p>
            <w:pPr>
              <w:spacing w:after="0" w:before="0" w:line="240" w:lineRule="auto"/>
              <w:jc w:val="left"/>
            </w:pPr>
            <w:r>
              <w:t>Restricted future maintenance</w:t>
            </w:r>
          </w:p>
        </w:tc>
        <w:tc>
          <w:tcPr>
            <w:tcW w:type="dxa" w:w="3600"/>
          </w:tcPr>
          <w:p>
            <w:pPr>
              <w:spacing w:after="0" w:before="0" w:line="240" w:lineRule="auto"/>
              <w:jc w:val="left"/>
            </w:pPr>
            <w:r>
              <w:t>Define access, backups, and licensing</w:t>
            </w:r>
          </w:p>
        </w:tc>
      </w:tr>
      <w:tr>
        <w:tc>
          <w:tcPr>
            <w:tcW w:type="dxa" w:w="3600"/>
          </w:tcPr>
          <w:p>
            <w:pPr>
              <w:spacing w:after="0" w:before="0" w:line="240" w:lineRule="auto"/>
              <w:jc w:val="left"/>
            </w:pPr>
            <w:r>
              <w:t>Poor documentation</w:t>
            </w:r>
          </w:p>
        </w:tc>
        <w:tc>
          <w:tcPr>
            <w:tcW w:type="dxa" w:w="3600"/>
          </w:tcPr>
          <w:p>
            <w:pPr>
              <w:spacing w:after="0" w:before="0" w:line="240" w:lineRule="auto"/>
              <w:jc w:val="left"/>
            </w:pPr>
            <w:r>
              <w:t>Difficult troubleshooting</w:t>
            </w:r>
          </w:p>
        </w:tc>
        <w:tc>
          <w:tcPr>
            <w:tcW w:type="dxa" w:w="3600"/>
          </w:tcPr>
          <w:p>
            <w:pPr>
              <w:spacing w:after="0" w:before="0" w:line="240" w:lineRule="auto"/>
              <w:jc w:val="left"/>
            </w:pPr>
            <w:r>
              <w:t>Make documentation a contractual deliverable</w:t>
            </w:r>
          </w:p>
        </w:tc>
      </w:tr>
      <w:tr>
        <w:tc>
          <w:tcPr>
            <w:tcW w:type="dxa" w:w="3600"/>
          </w:tcPr>
          <w:p>
            <w:pPr>
              <w:spacing w:after="0" w:before="0" w:line="240" w:lineRule="auto"/>
              <w:jc w:val="left"/>
            </w:pPr>
            <w:r>
              <w:t>Limited local support</w:t>
            </w:r>
          </w:p>
        </w:tc>
        <w:tc>
          <w:tcPr>
            <w:tcW w:type="dxa" w:w="3600"/>
          </w:tcPr>
          <w:p>
            <w:pPr>
              <w:spacing w:after="0" w:before="0" w:line="240" w:lineRule="auto"/>
              <w:jc w:val="left"/>
            </w:pPr>
            <w:r>
              <w:t>Extended downtime</w:t>
            </w:r>
          </w:p>
        </w:tc>
        <w:tc>
          <w:tcPr>
            <w:tcW w:type="dxa" w:w="3600"/>
          </w:tcPr>
          <w:p>
            <w:pPr>
              <w:spacing w:after="0" w:before="0" w:line="240" w:lineRule="auto"/>
              <w:jc w:val="left"/>
            </w:pPr>
            <w:r>
              <w:t>Confirm service arrangements and spares</w:t>
            </w:r>
          </w:p>
        </w:tc>
      </w:tr>
      <w:tr>
        <w:tc>
          <w:tcPr>
            <w:tcW w:type="dxa" w:w="3600"/>
          </w:tcPr>
          <w:p>
            <w:pPr>
              <w:spacing w:after="0" w:before="0" w:line="240" w:lineRule="auto"/>
              <w:jc w:val="left"/>
            </w:pPr>
            <w:r>
              <w:t>Single-source dependence</w:t>
            </w:r>
          </w:p>
        </w:tc>
        <w:tc>
          <w:tcPr>
            <w:tcW w:type="dxa" w:w="3600"/>
          </w:tcPr>
          <w:p>
            <w:pPr>
              <w:spacing w:after="0" w:before="0" w:line="240" w:lineRule="auto"/>
              <w:jc w:val="left"/>
            </w:pPr>
            <w:r>
              <w:t>Procurement vulnerability</w:t>
            </w:r>
          </w:p>
        </w:tc>
        <w:tc>
          <w:tcPr>
            <w:tcW w:type="dxa" w:w="3600"/>
          </w:tcPr>
          <w:p>
            <w:pPr>
              <w:spacing w:after="0" w:before="0" w:line="240" w:lineRule="auto"/>
              <w:jc w:val="left"/>
            </w:pPr>
            <w:r>
              <w:t>Assess approved alternatives where feasible</w:t>
            </w:r>
          </w:p>
        </w:tc>
      </w:tr>
      <w:tr>
        <w:tc>
          <w:tcPr>
            <w:tcW w:type="dxa" w:w="3600"/>
          </w:tcPr>
          <w:p>
            <w:pPr>
              <w:spacing w:after="0" w:before="0" w:line="240" w:lineRule="auto"/>
              <w:jc w:val="left"/>
            </w:pPr>
            <w:r>
              <w:t>Financial or capacity concerns</w:t>
            </w:r>
          </w:p>
        </w:tc>
        <w:tc>
          <w:tcPr>
            <w:tcW w:type="dxa" w:w="3600"/>
          </w:tcPr>
          <w:p>
            <w:pPr>
              <w:spacing w:after="0" w:before="0" w:line="240" w:lineRule="auto"/>
              <w:jc w:val="left"/>
            </w:pPr>
            <w:r>
              <w:t>Delivery or service failure</w:t>
            </w:r>
          </w:p>
        </w:tc>
        <w:tc>
          <w:tcPr>
            <w:tcW w:type="dxa" w:w="3600"/>
          </w:tcPr>
          <w:p>
            <w:pPr>
              <w:spacing w:after="0" w:before="0" w:line="240" w:lineRule="auto"/>
              <w:jc w:val="left"/>
            </w:pPr>
            <w:r>
              <w:t>Apply supplier qualification procedures</w:t>
            </w:r>
          </w:p>
        </w:tc>
      </w:tr>
      <w:tr>
        <w:tc>
          <w:tcPr>
            <w:tcW w:type="dxa" w:w="3600"/>
          </w:tcPr>
          <w:p>
            <w:pPr>
              <w:spacing w:after="0" w:before="0" w:line="240" w:lineRule="auto"/>
              <w:jc w:val="left"/>
            </w:pPr>
            <w:r>
              <w:t>Unclear warranty</w:t>
            </w:r>
          </w:p>
        </w:tc>
        <w:tc>
          <w:tcPr>
            <w:tcW w:type="dxa" w:w="3600"/>
          </w:tcPr>
          <w:p>
            <w:pPr>
              <w:spacing w:after="0" w:before="0" w:line="240" w:lineRule="auto"/>
              <w:jc w:val="left"/>
            </w:pPr>
            <w:r>
              <w:t>Disputes during failures</w:t>
            </w:r>
          </w:p>
        </w:tc>
        <w:tc>
          <w:tcPr>
            <w:tcW w:type="dxa" w:w="3600"/>
          </w:tcPr>
          <w:p>
            <w:pPr>
              <w:spacing w:after="0" w:before="0" w:line="240" w:lineRule="auto"/>
              <w:jc w:val="left"/>
            </w:pPr>
            <w:r>
              <w:t>Document coverage and exclusions</w:t>
            </w:r>
          </w:p>
        </w:tc>
      </w:tr>
      <w:tr>
        <w:tc>
          <w:tcPr>
            <w:tcW w:type="dxa" w:w="3600"/>
          </w:tcPr>
          <w:p>
            <w:pPr>
              <w:spacing w:after="0" w:before="0" w:line="240" w:lineRule="auto"/>
              <w:jc w:val="left"/>
            </w:pPr>
            <w:r>
              <w:t>Unconfirmed technical compliance</w:t>
            </w:r>
          </w:p>
        </w:tc>
        <w:tc>
          <w:tcPr>
            <w:tcW w:type="dxa" w:w="3600"/>
          </w:tcPr>
          <w:p>
            <w:pPr>
              <w:spacing w:after="0" w:before="0" w:line="240" w:lineRule="auto"/>
              <w:jc w:val="left"/>
            </w:pPr>
            <w:r>
              <w:t>Design and performance risk</w:t>
            </w:r>
          </w:p>
        </w:tc>
        <w:tc>
          <w:tcPr>
            <w:tcW w:type="dxa" w:w="3600"/>
          </w:tcPr>
          <w:p>
            <w:pPr>
              <w:spacing w:after="0" w:before="0" w:line="240" w:lineRule="auto"/>
              <w:jc w:val="left"/>
            </w:pPr>
            <w:r>
              <w:t>Resolve deviations before approval</w:t>
            </w:r>
          </w:p>
        </w:tc>
      </w:tr>
    </w:tbl>
    <w:p/>
    <w:p>
      <w:r>
        <w:t>The risk treatment should be proportionate to the criticality of the equipment and the impact of supplier failure.</w:t>
      </w:r>
    </w:p>
    <w:p>
      <w:pPr>
        <w:pStyle w:val="Heading2"/>
      </w:pPr>
      <w:r>
        <w:t>18. Single-source and multiple-source procurement</w:t>
      </w:r>
    </w:p>
    <w:p>
      <w:r>
        <w:t>Some equipment can be purchased from several qualified suppliers. Other items may be constrained by the installed architecture.</w:t>
      </w:r>
    </w:p>
    <w:p>
      <w:r>
        <w:t>Multiple-source procurement may improve competition, supply flexibility, and price discovery. It is useful when products meet the same technical requirements and can be substituted without unacceptable integration or lifecycle consequences.</w:t>
      </w:r>
    </w:p>
    <w:p>
      <w:r>
        <w:t>Single-source procurement may be justified where compatibility, proprietary technology, warranty conditions, technical ownership, or a genuine lack of alternatives makes another supplier unsuitable.</w:t>
      </w:r>
    </w:p>
    <w:p>
      <w:r>
        <w:t>Single-source justification should document:</w:t>
      </w:r>
    </w:p>
    <w:p>
      <w:pPr>
        <w:pStyle w:val="ListBullet"/>
      </w:pPr>
      <w:r>
        <w:t>The technical reason for restricting the source.</w:t>
      </w:r>
    </w:p>
    <w:p>
      <w:pPr>
        <w:pStyle w:val="ListBullet"/>
      </w:pPr>
      <w:r>
        <w:t>Compatibility requirements.</w:t>
      </w:r>
    </w:p>
    <w:p>
      <w:pPr>
        <w:pStyle w:val="ListBullet"/>
      </w:pPr>
      <w:r>
        <w:t>Available alternatives investigated.</w:t>
      </w:r>
    </w:p>
    <w:p>
      <w:pPr>
        <w:pStyle w:val="ListBullet"/>
      </w:pPr>
      <w:r>
        <w:t>Consequences of changing manufacturer or platform.</w:t>
      </w:r>
    </w:p>
    <w:p>
      <w:pPr>
        <w:pStyle w:val="ListBullet"/>
      </w:pPr>
      <w:r>
        <w:t>Commercial and lifecycle risks.</w:t>
      </w:r>
    </w:p>
    <w:p>
      <w:pPr>
        <w:pStyle w:val="ListBullet"/>
      </w:pPr>
      <w:r>
        <w:t>Approval required under procurement policy.</w:t>
      </w:r>
    </w:p>
    <w:p>
      <w:r>
        <w:t>A familiar manufacturer is not automatically the only technically viable source. Equally, selecting a different brand purely for a lower purchase price can introduce substantial engineering and support costs.</w:t>
      </w:r>
    </w:p>
    <w:p>
      <w:pPr>
        <w:pStyle w:val="Heading2"/>
      </w:pPr>
      <w:r>
        <w:t>19. Supplier qualification and approval status</w:t>
      </w:r>
    </w:p>
    <w:p>
      <w:r>
        <w:t>A vendor's progress should be tracked with clear, controlled statuses.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Identified</w:t>
            </w:r>
          </w:p>
        </w:tc>
        <w:tc>
          <w:tcPr>
            <w:tcW w:type="dxa" w:w="5400"/>
          </w:tcPr>
          <w:p>
            <w:pPr>
              <w:spacing w:after="0" w:before="0" w:line="240" w:lineRule="auto"/>
              <w:jc w:val="left"/>
            </w:pPr>
            <w:r>
              <w:t>Potential supplier found</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Basic suitability is being investigated</w:t>
            </w:r>
          </w:p>
        </w:tc>
      </w:tr>
      <w:tr>
        <w:tc>
          <w:tcPr>
            <w:tcW w:type="dxa" w:w="5400"/>
          </w:tcPr>
          <w:p>
            <w:pPr>
              <w:spacing w:after="0" w:before="0" w:line="240" w:lineRule="auto"/>
              <w:jc w:val="left"/>
            </w:pPr>
            <w:r>
              <w:t>Technically evaluated</w:t>
            </w:r>
          </w:p>
        </w:tc>
        <w:tc>
          <w:tcPr>
            <w:tcW w:type="dxa" w:w="5400"/>
          </w:tcPr>
          <w:p>
            <w:pPr>
              <w:spacing w:after="0" w:before="0" w:line="240" w:lineRule="auto"/>
              <w:jc w:val="left"/>
            </w:pPr>
            <w:r>
              <w:t>Technical offer has been assessed</w:t>
            </w:r>
          </w:p>
        </w:tc>
      </w:tr>
      <w:tr>
        <w:tc>
          <w:tcPr>
            <w:tcW w:type="dxa" w:w="5400"/>
          </w:tcPr>
          <w:p>
            <w:pPr>
              <w:spacing w:after="0" w:before="0" w:line="240" w:lineRule="auto"/>
              <w:jc w:val="left"/>
            </w:pPr>
            <w:r>
              <w:t>Commercially evaluated</w:t>
            </w:r>
          </w:p>
        </w:tc>
        <w:tc>
          <w:tcPr>
            <w:tcW w:type="dxa" w:w="5400"/>
          </w:tcPr>
          <w:p>
            <w:pPr>
              <w:spacing w:after="0" w:before="0" w:line="240" w:lineRule="auto"/>
              <w:jc w:val="left"/>
            </w:pPr>
            <w:r>
              <w:t>Commercial offer has been assessed</w:t>
            </w:r>
          </w:p>
        </w:tc>
      </w:tr>
      <w:tr>
        <w:tc>
          <w:tcPr>
            <w:tcW w:type="dxa" w:w="5400"/>
          </w:tcPr>
          <w:p>
            <w:pPr>
              <w:spacing w:after="0" w:before="0" w:line="240" w:lineRule="auto"/>
              <w:jc w:val="left"/>
            </w:pPr>
            <w:r>
              <w:t>Qualified</w:t>
            </w:r>
          </w:p>
        </w:tc>
        <w:tc>
          <w:tcPr>
            <w:tcW w:type="dxa" w:w="5400"/>
          </w:tcPr>
          <w:p>
            <w:pPr>
              <w:spacing w:after="0" w:before="0" w:line="240" w:lineRule="auto"/>
              <w:jc w:val="left"/>
            </w:pPr>
            <w:r>
              <w:t>Supplier has met the defined qualification criteria</w:t>
            </w:r>
          </w:p>
        </w:tc>
      </w:tr>
      <w:tr>
        <w:tc>
          <w:tcPr>
            <w:tcW w:type="dxa" w:w="5400"/>
          </w:tcPr>
          <w:p>
            <w:pPr>
              <w:spacing w:after="0" w:before="0" w:line="240" w:lineRule="auto"/>
              <w:jc w:val="left"/>
            </w:pPr>
            <w:r>
              <w:t>Approved</w:t>
            </w:r>
          </w:p>
        </w:tc>
        <w:tc>
          <w:tcPr>
            <w:tcW w:type="dxa" w:w="5400"/>
          </w:tcPr>
          <w:p>
            <w:pPr>
              <w:spacing w:after="0" w:before="0" w:line="240" w:lineRule="auto"/>
              <w:jc w:val="left"/>
            </w:pPr>
            <w:r>
              <w:t>Accepted under the organization's approval process</w:t>
            </w:r>
          </w:p>
        </w:tc>
      </w:tr>
      <w:tr>
        <w:tc>
          <w:tcPr>
            <w:tcW w:type="dxa" w:w="5400"/>
          </w:tcPr>
          <w:p>
            <w:pPr>
              <w:spacing w:after="0" w:before="0" w:line="240" w:lineRule="auto"/>
              <w:jc w:val="left"/>
            </w:pPr>
            <w:r>
              <w:t>Selected</w:t>
            </w:r>
          </w:p>
        </w:tc>
        <w:tc>
          <w:tcPr>
            <w:tcW w:type="dxa" w:w="5400"/>
          </w:tcPr>
          <w:p>
            <w:pPr>
              <w:spacing w:after="0" w:before="0" w:line="240" w:lineRule="auto"/>
              <w:jc w:val="left"/>
            </w:pPr>
            <w:r>
              <w:t>Chosen for the specific project or procurement package</w:t>
            </w:r>
          </w:p>
        </w:tc>
      </w:tr>
      <w:tr>
        <w:tc>
          <w:tcPr>
            <w:tcW w:type="dxa" w:w="5400"/>
          </w:tcPr>
          <w:p>
            <w:pPr>
              <w:spacing w:after="0" w:before="0" w:line="240" w:lineRule="auto"/>
              <w:jc w:val="left"/>
            </w:pPr>
            <w:r>
              <w:t>Ordered</w:t>
            </w:r>
          </w:p>
        </w:tc>
        <w:tc>
          <w:tcPr>
            <w:tcW w:type="dxa" w:w="5400"/>
          </w:tcPr>
          <w:p>
            <w:pPr>
              <w:spacing w:after="0" w:before="0" w:line="240" w:lineRule="auto"/>
              <w:jc w:val="left"/>
            </w:pPr>
            <w:r>
              <w:t>Purchase order or equivalent commitment issued</w:t>
            </w:r>
          </w:p>
        </w:tc>
      </w:tr>
      <w:tr>
        <w:tc>
          <w:tcPr>
            <w:tcW w:type="dxa" w:w="5400"/>
          </w:tcPr>
          <w:p>
            <w:pPr>
              <w:spacing w:after="0" w:before="0" w:line="240" w:lineRule="auto"/>
              <w:jc w:val="left"/>
            </w:pPr>
            <w:r>
              <w:t>On hold</w:t>
            </w:r>
          </w:p>
        </w:tc>
        <w:tc>
          <w:tcPr>
            <w:tcW w:type="dxa" w:w="5400"/>
          </w:tcPr>
          <w:p>
            <w:pPr>
              <w:spacing w:after="0" w:before="0" w:line="240" w:lineRule="auto"/>
              <w:jc w:val="left"/>
            </w:pPr>
            <w:r>
              <w:t>Progress suspended pending resolution</w:t>
            </w:r>
          </w:p>
        </w:tc>
      </w:tr>
      <w:tr>
        <w:tc>
          <w:tcPr>
            <w:tcW w:type="dxa" w:w="5400"/>
          </w:tcPr>
          <w:p>
            <w:pPr>
              <w:spacing w:after="0" w:before="0" w:line="240" w:lineRule="auto"/>
              <w:jc w:val="left"/>
            </w:pPr>
            <w:r>
              <w:t>Rejected</w:t>
            </w:r>
          </w:p>
        </w:tc>
        <w:tc>
          <w:tcPr>
            <w:tcW w:type="dxa" w:w="5400"/>
          </w:tcPr>
          <w:p>
            <w:pPr>
              <w:spacing w:after="0" w:before="0" w:line="240" w:lineRule="auto"/>
              <w:jc w:val="left"/>
            </w:pPr>
            <w:r>
              <w:t>Not accepted for the defined requirement</w:t>
            </w:r>
          </w:p>
        </w:tc>
      </w:tr>
    </w:tbl>
    <w:p/>
    <w:p>
      <w:r>
        <w:t>The organization's official procurement system may use different status names. The DAP should align with those controlled definitions rather than inventing an unofficial approval status.</w:t>
      </w:r>
    </w:p>
    <w:p>
      <w:r>
        <w:t>Qualification, approval, and project selection are different decisions. An approved vendor may not be the selected vendor for every requirement.</w:t>
      </w:r>
    </w:p>
    <w:p>
      <w:pPr>
        <w:pStyle w:val="Heading2"/>
      </w:pPr>
      <w:r>
        <w:t>20. Use a weighted vendor evaluation when appropriate</w:t>
      </w:r>
    </w:p>
    <w:p>
      <w:r>
        <w:t>Where several suppliers meet the mandatory requirements, a weighted evaluation can support a transparent comparison.</w:t>
      </w:r>
    </w:p>
    <w:p>
      <w:r>
        <w:t>Possible criteria include:</w:t>
      </w:r>
    </w:p>
    <w:p>
      <w:pPr>
        <w:pStyle w:val="ListBullet"/>
      </w:pPr>
      <w:r>
        <w:t>Technical compliance.</w:t>
      </w:r>
    </w:p>
    <w:p>
      <w:pPr>
        <w:pStyle w:val="ListBullet"/>
      </w:pPr>
      <w:r>
        <w:t>Integration capability.</w:t>
      </w:r>
    </w:p>
    <w:p>
      <w:pPr>
        <w:pStyle w:val="ListBullet"/>
      </w:pPr>
      <w:r>
        <w:t>Delivery feasibility.</w:t>
      </w:r>
    </w:p>
    <w:p>
      <w:pPr>
        <w:pStyle w:val="ListBullet"/>
      </w:pPr>
      <w:r>
        <w:t>Lifecycle support.</w:t>
      </w:r>
    </w:p>
    <w:p>
      <w:pPr>
        <w:pStyle w:val="ListBullet"/>
      </w:pPr>
      <w:r>
        <w:t>Relevant experience.</w:t>
      </w:r>
    </w:p>
    <w:p>
      <w:pPr>
        <w:pStyle w:val="ListBullet"/>
      </w:pPr>
      <w:r>
        <w:t>Commercial cost.</w:t>
      </w:r>
    </w:p>
    <w:p>
      <w:pPr>
        <w:pStyle w:val="ListBullet"/>
      </w:pPr>
      <w:r>
        <w:t>Documentation quality.</w:t>
      </w:r>
    </w:p>
    <w:p>
      <w:pPr>
        <w:pStyle w:val="ListBullet"/>
      </w:pPr>
      <w:r>
        <w:t>Warranty and service.</w:t>
      </w:r>
    </w:p>
    <w:p>
      <w:pPr>
        <w:pStyle w:val="ListBullet"/>
      </w:pPr>
      <w:r>
        <w:t>Maintainability and obsolescence risk.</w:t>
      </w:r>
    </w:p>
    <w:p>
      <w:r>
        <w:t>An illustrative scoring model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Weight</w:t>
            </w:r>
          </w:p>
        </w:tc>
        <w:tc>
          <w:tcPr>
            <w:tcW w:type="dxa" w:w="2700"/>
            <w:shd w:val="clear" w:color="auto" w:fill="EEF2F7"/>
          </w:tcPr>
          <w:p>
            <w:pPr>
              <w:spacing w:after="0" w:before="0" w:line="240" w:lineRule="auto"/>
              <w:jc w:val="left"/>
            </w:pPr>
            <w:r>
              <w:rPr>
                <w:b/>
                <w:color w:val="1A2E4A"/>
              </w:rPr>
              <w:t>Vendor A score</w:t>
            </w:r>
          </w:p>
        </w:tc>
        <w:tc>
          <w:tcPr>
            <w:tcW w:type="dxa" w:w="2700"/>
            <w:shd w:val="clear" w:color="auto" w:fill="EEF2F7"/>
          </w:tcPr>
          <w:p>
            <w:pPr>
              <w:spacing w:after="0" w:before="0" w:line="240" w:lineRule="auto"/>
              <w:jc w:val="left"/>
            </w:pPr>
            <w:r>
              <w:rPr>
                <w:b/>
                <w:color w:val="1A2E4A"/>
              </w:rPr>
              <w:t>Vendor B score</w:t>
            </w:r>
          </w:p>
        </w:tc>
      </w:tr>
      <w:tr>
        <w:tc>
          <w:tcPr>
            <w:tcW w:type="dxa" w:w="2700"/>
          </w:tcPr>
          <w:p>
            <w:pPr>
              <w:spacing w:after="0" w:before="0" w:line="240" w:lineRule="auto"/>
              <w:jc w:val="left"/>
            </w:pPr>
            <w:r>
              <w:t>Technical compliance</w:t>
            </w:r>
          </w:p>
        </w:tc>
        <w:tc>
          <w:tcPr>
            <w:tcW w:type="dxa" w:w="2700"/>
          </w:tcPr>
          <w:p>
            <w:pPr>
              <w:spacing w:after="0" w:before="0" w:line="240" w:lineRule="auto"/>
              <w:jc w:val="left"/>
            </w:pPr>
            <w:r>
              <w:t>30%</w:t>
            </w:r>
          </w:p>
        </w:tc>
        <w:tc>
          <w:tcPr>
            <w:tcW w:type="dxa" w:w="2700"/>
          </w:tcPr>
          <w:p>
            <w:pPr>
              <w:spacing w:after="0" w:before="0" w:line="240" w:lineRule="auto"/>
              <w:jc w:val="left"/>
            </w:pPr>
            <w:r>
              <w:t>5</w:t>
            </w:r>
          </w:p>
        </w:tc>
        <w:tc>
          <w:tcPr>
            <w:tcW w:type="dxa" w:w="2700"/>
          </w:tcPr>
          <w:p>
            <w:pPr>
              <w:spacing w:after="0" w:before="0" w:line="240" w:lineRule="auto"/>
              <w:jc w:val="left"/>
            </w:pPr>
            <w:r>
              <w:t>4</w:t>
            </w:r>
          </w:p>
        </w:tc>
      </w:tr>
      <w:tr>
        <w:tc>
          <w:tcPr>
            <w:tcW w:type="dxa" w:w="2700"/>
          </w:tcPr>
          <w:p>
            <w:pPr>
              <w:spacing w:after="0" w:before="0" w:line="240" w:lineRule="auto"/>
              <w:jc w:val="left"/>
            </w:pPr>
            <w:r>
              <w:t>Integration capability</w:t>
            </w:r>
          </w:p>
        </w:tc>
        <w:tc>
          <w:tcPr>
            <w:tcW w:type="dxa" w:w="2700"/>
          </w:tcPr>
          <w:p>
            <w:pPr>
              <w:spacing w:after="0" w:before="0" w:line="240" w:lineRule="auto"/>
              <w:jc w:val="left"/>
            </w:pPr>
            <w:r>
              <w:t>20%</w:t>
            </w:r>
          </w:p>
        </w:tc>
        <w:tc>
          <w:tcPr>
            <w:tcW w:type="dxa" w:w="2700"/>
          </w:tcPr>
          <w:p>
            <w:pPr>
              <w:spacing w:after="0" w:before="0" w:line="240" w:lineRule="auto"/>
              <w:jc w:val="left"/>
            </w:pPr>
            <w:r>
              <w:t>4</w:t>
            </w:r>
          </w:p>
        </w:tc>
        <w:tc>
          <w:tcPr>
            <w:tcW w:type="dxa" w:w="2700"/>
          </w:tcPr>
          <w:p>
            <w:pPr>
              <w:spacing w:after="0" w:before="0" w:line="240" w:lineRule="auto"/>
              <w:jc w:val="left"/>
            </w:pPr>
            <w:r>
              <w:t>5</w:t>
            </w:r>
          </w:p>
        </w:tc>
      </w:tr>
      <w:tr>
        <w:tc>
          <w:tcPr>
            <w:tcW w:type="dxa" w:w="2700"/>
          </w:tcPr>
          <w:p>
            <w:pPr>
              <w:spacing w:after="0" w:before="0" w:line="240" w:lineRule="auto"/>
              <w:jc w:val="left"/>
            </w:pPr>
            <w:r>
              <w:t>Delivery feasibility</w:t>
            </w:r>
          </w:p>
        </w:tc>
        <w:tc>
          <w:tcPr>
            <w:tcW w:type="dxa" w:w="2700"/>
          </w:tcPr>
          <w:p>
            <w:pPr>
              <w:spacing w:after="0" w:before="0" w:line="240" w:lineRule="auto"/>
              <w:jc w:val="left"/>
            </w:pPr>
            <w:r>
              <w:t>15%</w:t>
            </w:r>
          </w:p>
        </w:tc>
        <w:tc>
          <w:tcPr>
            <w:tcW w:type="dxa" w:w="2700"/>
          </w:tcPr>
          <w:p>
            <w:pPr>
              <w:spacing w:after="0" w:before="0" w:line="240" w:lineRule="auto"/>
              <w:jc w:val="left"/>
            </w:pPr>
            <w:r>
              <w:t>4</w:t>
            </w:r>
          </w:p>
        </w:tc>
        <w:tc>
          <w:tcPr>
            <w:tcW w:type="dxa" w:w="2700"/>
          </w:tcPr>
          <w:p>
            <w:pPr>
              <w:spacing w:after="0" w:before="0" w:line="240" w:lineRule="auto"/>
              <w:jc w:val="left"/>
            </w:pPr>
            <w:r>
              <w:t>3</w:t>
            </w:r>
          </w:p>
        </w:tc>
      </w:tr>
      <w:tr>
        <w:tc>
          <w:tcPr>
            <w:tcW w:type="dxa" w:w="2700"/>
          </w:tcPr>
          <w:p>
            <w:pPr>
              <w:spacing w:after="0" w:before="0" w:line="240" w:lineRule="auto"/>
              <w:jc w:val="left"/>
            </w:pPr>
            <w:r>
              <w:t>Lifecycle support</w:t>
            </w:r>
          </w:p>
        </w:tc>
        <w:tc>
          <w:tcPr>
            <w:tcW w:type="dxa" w:w="2700"/>
          </w:tcPr>
          <w:p>
            <w:pPr>
              <w:spacing w:after="0" w:before="0" w:line="240" w:lineRule="auto"/>
              <w:jc w:val="left"/>
            </w:pPr>
            <w:r>
              <w:t>15%</w:t>
            </w:r>
          </w:p>
        </w:tc>
        <w:tc>
          <w:tcPr>
            <w:tcW w:type="dxa" w:w="2700"/>
          </w:tcPr>
          <w:p>
            <w:pPr>
              <w:spacing w:after="0" w:before="0" w:line="240" w:lineRule="auto"/>
              <w:jc w:val="left"/>
            </w:pPr>
            <w:r>
              <w:t>4</w:t>
            </w:r>
          </w:p>
        </w:tc>
        <w:tc>
          <w:tcPr>
            <w:tcW w:type="dxa" w:w="2700"/>
          </w:tcPr>
          <w:p>
            <w:pPr>
              <w:spacing w:after="0" w:before="0" w:line="240" w:lineRule="auto"/>
              <w:jc w:val="left"/>
            </w:pPr>
            <w:r>
              <w:t>4</w:t>
            </w:r>
          </w:p>
        </w:tc>
      </w:tr>
      <w:tr>
        <w:tc>
          <w:tcPr>
            <w:tcW w:type="dxa" w:w="2700"/>
          </w:tcPr>
          <w:p>
            <w:pPr>
              <w:spacing w:after="0" w:before="0" w:line="240" w:lineRule="auto"/>
              <w:jc w:val="left"/>
            </w:pPr>
            <w:r>
              <w:t>Commercial offer</w:t>
            </w:r>
          </w:p>
        </w:tc>
        <w:tc>
          <w:tcPr>
            <w:tcW w:type="dxa" w:w="2700"/>
          </w:tcPr>
          <w:p>
            <w:pPr>
              <w:spacing w:after="0" w:before="0" w:line="240" w:lineRule="auto"/>
              <w:jc w:val="left"/>
            </w:pPr>
            <w:r>
              <w:t>15%</w:t>
            </w:r>
          </w:p>
        </w:tc>
        <w:tc>
          <w:tcPr>
            <w:tcW w:type="dxa" w:w="2700"/>
          </w:tcPr>
          <w:p>
            <w:pPr>
              <w:spacing w:after="0" w:before="0" w:line="240" w:lineRule="auto"/>
              <w:jc w:val="left"/>
            </w:pPr>
            <w:r>
              <w:t>3</w:t>
            </w:r>
          </w:p>
        </w:tc>
        <w:tc>
          <w:tcPr>
            <w:tcW w:type="dxa" w:w="2700"/>
          </w:tcPr>
          <w:p>
            <w:pPr>
              <w:spacing w:after="0" w:before="0" w:line="240" w:lineRule="auto"/>
              <w:jc w:val="left"/>
            </w:pPr>
            <w:r>
              <w:t>5</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5%</w:t>
            </w:r>
          </w:p>
        </w:tc>
        <w:tc>
          <w:tcPr>
            <w:tcW w:type="dxa" w:w="2700"/>
          </w:tcPr>
          <w:p>
            <w:pPr>
              <w:spacing w:after="0" w:before="0" w:line="240" w:lineRule="auto"/>
              <w:jc w:val="left"/>
            </w:pPr>
            <w:r>
              <w:t>5</w:t>
            </w:r>
          </w:p>
        </w:tc>
        <w:tc>
          <w:tcPr>
            <w:tcW w:type="dxa" w:w="2700"/>
          </w:tcPr>
          <w:p>
            <w:pPr>
              <w:spacing w:after="0" w:before="0" w:line="240" w:lineRule="auto"/>
              <w:jc w:val="left"/>
            </w:pPr>
            <w:r>
              <w:t>3</w:t>
            </w:r>
          </w:p>
        </w:tc>
      </w:tr>
      <w:tr>
        <w:tc>
          <w:tcPr>
            <w:tcW w:type="dxa" w:w="2700"/>
          </w:tcPr>
          <w:p>
            <w:pPr>
              <w:spacing w:after="0" w:before="0" w:line="240" w:lineRule="auto"/>
              <w:jc w:val="left"/>
            </w:pPr>
            <w:r>
              <w:t>Total weight</w:t>
            </w:r>
          </w:p>
        </w:tc>
        <w:tc>
          <w:tcPr>
            <w:tcW w:type="dxa" w:w="2700"/>
          </w:tcPr>
          <w:p>
            <w:pPr>
              <w:spacing w:after="0" w:before="0" w:line="240" w:lineRule="auto"/>
              <w:jc w:val="left"/>
            </w:pPr>
            <w:r>
              <w:t>100%</w:t>
            </w:r>
          </w:p>
        </w:tc>
        <w:tc>
          <w:tcPr>
            <w:tcW w:type="dxa" w:w="2700"/>
          </w:tcPr>
          <w:p>
            <w:pPr>
              <w:spacing w:after="0" w:before="0" w:line="240" w:lineRule="auto"/>
              <w:jc w:val="left"/>
            </w:pPr>
          </w:p>
        </w:tc>
        <w:tc>
          <w:tcPr>
            <w:tcW w:type="dxa" w:w="2700"/>
          </w:tcPr>
          <w:p>
            <w:pPr>
              <w:spacing w:after="0" w:before="0" w:line="240" w:lineRule="auto"/>
              <w:jc w:val="left"/>
            </w:pPr>
          </w:p>
        </w:tc>
      </w:tr>
    </w:tbl>
    <w:p/>
    <w:p>
      <w:r>
        <w:t>For this example, assume each score is from 1 to 5, with 5 representing the strongest result.</w:t>
      </w:r>
    </w:p>
    <w:p>
      <w:r>
        <w:t>The weighted score is:</w:t>
      </w:r>
    </w:p>
    <w:p>
      <w:pPr>
        <w:spacing w:before="120" w:after="160"/>
        <w:jc w:val="center"/>
      </w:pPr>
      <m:oMathPara>
        <m:oMath>
          <m:r>
            <m:t>S=</m:t>
          </m:r>
          <m:nary>
            <m:naryPr>
              <m:chr m:val="∑"/>
              <m:limLoc m:val="subSup"/>
              <m:grow m:val="1"/>
              <m:subHide m:val="off"/>
              <m:supHide m:val="off"/>
            </m:naryPr>
            <m:sub>
              <m:r>
                <m:t>i=1</m:t>
              </m:r>
            </m:sub>
            <m:sup>
              <m:r>
                <m:t>n</m:t>
              </m:r>
            </m:sup>
            <m:e>
              <m:sSub>
                <m:e>
                  <m:r>
                    <m:t>w</m:t>
                  </m:r>
                </m:e>
                <m:sub>
                  <m:r>
                    <m:t>i</m:t>
                  </m:r>
                </m:sub>
              </m:sSub>
            </m:e>
          </m:nary>
          <m:sSub>
            <m:e>
              <m:r>
                <m:t>s</m:t>
              </m:r>
            </m:e>
            <m:sub>
              <m:r>
                <m:t>i</m:t>
              </m:r>
            </m:sub>
          </m:sSub>
        </m:oMath>
      </m:oMathPara>
    </w:p>
    <w:p>
      <w:r>
        <w:t xml:space="preserve">Where </w:t>
      </w:r>
      <m:oMath>
        <m:sSub>
          <m:e>
            <m:r>
              <m:t>w</m:t>
            </m:r>
          </m:e>
          <m:sub>
            <m:r>
              <m:t>i</m:t>
            </m:r>
          </m:sub>
        </m:sSub>
      </m:oMath>
      <w:r>
        <w:t xml:space="preserve"> is the criterion weight expressed as a fraction and </w:t>
      </w:r>
      <m:oMath>
        <m:sSub>
          <m:e>
            <m:r>
              <m:t>s</m:t>
            </m:r>
          </m:e>
          <m:sub>
            <m:r>
              <m:t>i</m:t>
            </m:r>
          </m:sub>
        </m:sSub>
      </m:oMath>
      <w:r>
        <w:t xml:space="preserve"> is the vendor's score for that criterion.</w:t>
      </w:r>
    </w:p>
    <w:p>
      <w:r>
        <w:t>For Vendor A:</w:t>
      </w:r>
    </w:p>
    <w:p>
      <w:pPr>
        <w:spacing w:before="120" w:after="160"/>
        <w:jc w:val="center"/>
      </w:pPr>
      <m:oMathPara>
        <m:oMath>
          <m:sSub>
            <m:e>
              <m:r>
                <m:t>S</m:t>
              </m:r>
            </m:e>
            <m:sub>
              <m:r>
                <m:t>A</m:t>
              </m:r>
            </m:sub>
          </m:sSub>
          <m:r>
            <m:t>=(0.30×5)+(0.20×4)+(0.15×4)+(0.15×4)+(0.15×3)+(0.05×5)</m:t>
          </m:r>
        </m:oMath>
      </m:oMathPara>
    </w:p>
    <w:p>
      <w:pPr>
        <w:spacing w:before="120" w:after="160"/>
        <w:jc w:val="center"/>
      </w:pPr>
      <m:oMathPara>
        <m:oMath>
          <m:sSub>
            <m:e>
              <m:r>
                <m:t>S</m:t>
              </m:r>
            </m:e>
            <m:sub>
              <m:r>
                <m:t>A</m:t>
              </m:r>
            </m:sub>
          </m:sSub>
          <m:r>
            <m:t>=4.15</m:t>
          </m:r>
        </m:oMath>
      </m:oMathPara>
    </w:p>
    <w:p>
      <w:r>
        <w:t>For Vendor B:</w:t>
      </w:r>
    </w:p>
    <w:p>
      <w:pPr>
        <w:spacing w:before="120" w:after="160"/>
        <w:jc w:val="center"/>
      </w:pPr>
      <m:oMathPara>
        <m:oMath>
          <m:sSub>
            <m:e>
              <m:r>
                <m:t>S</m:t>
              </m:r>
            </m:e>
            <m:sub>
              <m:r>
                <m:t>B</m:t>
              </m:r>
            </m:sub>
          </m:sSub>
          <m:r>
            <m:t>=(0.30×4)+(0.20×5)+(0.15×3)+(0.15×4)+(0.15×5)+(0.05×3)</m:t>
          </m:r>
        </m:oMath>
      </m:oMathPara>
    </w:p>
    <w:p>
      <w:pPr>
        <w:spacing w:before="120" w:after="160"/>
        <w:jc w:val="center"/>
      </w:pPr>
      <m:oMathPara>
        <m:oMath>
          <m:sSub>
            <m:e>
              <m:r>
                <m:t>S</m:t>
              </m:r>
            </m:e>
            <m:sub>
              <m:r>
                <m:t>B</m:t>
              </m:r>
            </m:sub>
          </m:sSub>
          <m:r>
            <m:t>=4.15</m:t>
          </m:r>
        </m:oMath>
      </m:oMathPara>
    </w:p>
    <w:p>
      <w:r>
        <w:t>Both vendors score 4.15 out of 5 in this illustrative model.</w:t>
      </w:r>
    </w:p>
    <w:p>
      <w:r>
        <w:t>The tie demonstrates why the score must not be treated as an automatic selection mechanism. The decision may depend on specific technical deviations, delivery commitments, lifecycle risks, or other approved criteria.</w:t>
      </w:r>
    </w:p>
    <w:p>
      <w:r>
        <w:t>Mandatory safety, legal, technical, and procurement requirements should normally be treated as pass/fail gates. A high weighted score must not compensate for a failure to meet a mandatory requirement.</w:t>
      </w:r>
    </w:p>
    <w:p>
      <w:pPr>
        <w:pStyle w:val="Heading2"/>
      </w:pPr>
      <w:r>
        <w:t>21. Prepare a vendor comparison register</w:t>
      </w:r>
    </w:p>
    <w:p>
      <w:r>
        <w:t>A practical register can be maintained in Excel or an approved procurement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content</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PLC-001</w:t>
            </w:r>
          </w:p>
        </w:tc>
      </w:tr>
      <w:tr>
        <w:tc>
          <w:tcPr>
            <w:tcW w:type="dxa" w:w="5400"/>
          </w:tcPr>
          <w:p>
            <w:pPr>
              <w:spacing w:after="0" w:before="0" w:line="240" w:lineRule="auto"/>
              <w:jc w:val="left"/>
            </w:pPr>
            <w:r>
              <w:t>Package</w:t>
            </w:r>
          </w:p>
        </w:tc>
        <w:tc>
          <w:tcPr>
            <w:tcW w:type="dxa" w:w="5400"/>
          </w:tcPr>
          <w:p>
            <w:pPr>
              <w:spacing w:after="0" w:before="0" w:line="240" w:lineRule="auto"/>
              <w:jc w:val="left"/>
            </w:pPr>
            <w:r>
              <w:t>PLC and I/O</w:t>
            </w:r>
          </w:p>
        </w:tc>
      </w:tr>
      <w:tr>
        <w:tc>
          <w:tcPr>
            <w:tcW w:type="dxa" w:w="5400"/>
          </w:tcPr>
          <w:p>
            <w:pPr>
              <w:spacing w:after="0" w:before="0" w:line="240" w:lineRule="auto"/>
              <w:jc w:val="left"/>
            </w:pPr>
            <w:r>
              <w:t>Vendor</w:t>
            </w:r>
          </w:p>
        </w:tc>
        <w:tc>
          <w:tcPr>
            <w:tcW w:type="dxa" w:w="5400"/>
          </w:tcPr>
          <w:p>
            <w:pPr>
              <w:spacing w:after="0" w:before="0" w:line="240" w:lineRule="auto"/>
              <w:jc w:val="left"/>
            </w:pPr>
            <w:r>
              <w:t>Supplier legal name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Proposed PLC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Proposed CPU and module family</w:t>
            </w:r>
          </w:p>
        </w:tc>
      </w:tr>
      <w:tr>
        <w:tc>
          <w:tcPr>
            <w:tcW w:type="dxa" w:w="5400"/>
          </w:tcPr>
          <w:p>
            <w:pPr>
              <w:spacing w:after="0" w:before="0" w:line="240" w:lineRule="auto"/>
              <w:jc w:val="left"/>
            </w:pPr>
            <w:r>
              <w:t>Quantity</w:t>
            </w:r>
          </w:p>
        </w:tc>
        <w:tc>
          <w:tcPr>
            <w:tcW w:type="dxa" w:w="5400"/>
          </w:tcPr>
          <w:p>
            <w:pPr>
              <w:spacing w:after="0" w:before="0" w:line="240" w:lineRule="auto"/>
              <w:jc w:val="left"/>
            </w:pPr>
            <w:r>
              <w:t>Required units</w:t>
            </w:r>
          </w:p>
        </w:tc>
      </w:tr>
      <w:tr>
        <w:tc>
          <w:tcPr>
            <w:tcW w:type="dxa" w:w="5400"/>
          </w:tcPr>
          <w:p>
            <w:pPr>
              <w:spacing w:after="0" w:before="0" w:line="240" w:lineRule="auto"/>
              <w:jc w:val="left"/>
            </w:pPr>
            <w:r>
              <w:t>Quotation reference</w:t>
            </w:r>
          </w:p>
        </w:tc>
        <w:tc>
          <w:tcPr>
            <w:tcW w:type="dxa" w:w="5400"/>
          </w:tcPr>
          <w:p>
            <w:pPr>
              <w:spacing w:after="0" w:before="0" w:line="240" w:lineRule="auto"/>
              <w:jc w:val="left"/>
            </w:pPr>
            <w:r>
              <w:t>Vendor quotation identifier</w:t>
            </w:r>
          </w:p>
        </w:tc>
      </w:tr>
      <w:tr>
        <w:tc>
          <w:tcPr>
            <w:tcW w:type="dxa" w:w="5400"/>
          </w:tcPr>
          <w:p>
            <w:pPr>
              <w:spacing w:after="0" w:before="0" w:line="240" w:lineRule="auto"/>
              <w:jc w:val="left"/>
            </w:pPr>
            <w:r>
              <w:t>Base price</w:t>
            </w:r>
          </w:p>
        </w:tc>
        <w:tc>
          <w:tcPr>
            <w:tcW w:type="dxa" w:w="5400"/>
          </w:tcPr>
          <w:p>
            <w:pPr>
              <w:spacing w:after="0" w:before="0" w:line="240" w:lineRule="auto"/>
              <w:jc w:val="left"/>
            </w:pPr>
            <w:r>
              <w:t>Quoted amount before separately listed charges</w:t>
            </w:r>
          </w:p>
        </w:tc>
      </w:tr>
      <w:tr>
        <w:tc>
          <w:tcPr>
            <w:tcW w:type="dxa" w:w="5400"/>
          </w:tcPr>
          <w:p>
            <w:pPr>
              <w:spacing w:after="0" w:before="0" w:line="240" w:lineRule="auto"/>
              <w:jc w:val="left"/>
            </w:pPr>
            <w:r>
              <w:t>Delivery</w:t>
            </w:r>
          </w:p>
        </w:tc>
        <w:tc>
          <w:tcPr>
            <w:tcW w:type="dxa" w:w="5400"/>
          </w:tcPr>
          <w:p>
            <w:pPr>
              <w:spacing w:after="0" w:before="0" w:line="240" w:lineRule="auto"/>
              <w:jc w:val="left"/>
            </w:pPr>
            <w:r>
              <w:t>Quoted lead time</w:t>
            </w:r>
          </w:p>
        </w:tc>
      </w:tr>
      <w:tr>
        <w:tc>
          <w:tcPr>
            <w:tcW w:type="dxa" w:w="5400"/>
          </w:tcPr>
          <w:p>
            <w:pPr>
              <w:spacing w:after="0" w:before="0" w:line="240" w:lineRule="auto"/>
              <w:jc w:val="left"/>
            </w:pPr>
            <w:r>
              <w:t>Technical status</w:t>
            </w:r>
          </w:p>
        </w:tc>
        <w:tc>
          <w:tcPr>
            <w:tcW w:type="dxa" w:w="5400"/>
          </w:tcPr>
          <w:p>
            <w:pPr>
              <w:spacing w:after="0" w:before="0" w:line="240" w:lineRule="auto"/>
              <w:jc w:val="left"/>
            </w:pPr>
            <w:r>
              <w:t>Compliant, deviation, or unconfirmed</w:t>
            </w:r>
          </w:p>
        </w:tc>
      </w:tr>
      <w:tr>
        <w:tc>
          <w:tcPr>
            <w:tcW w:type="dxa" w:w="5400"/>
          </w:tcPr>
          <w:p>
            <w:pPr>
              <w:spacing w:after="0" w:before="0" w:line="240" w:lineRule="auto"/>
              <w:jc w:val="left"/>
            </w:pPr>
            <w:r>
              <w:t>Service status</w:t>
            </w:r>
          </w:p>
        </w:tc>
        <w:tc>
          <w:tcPr>
            <w:tcW w:type="dxa" w:w="5400"/>
          </w:tcPr>
          <w:p>
            <w:pPr>
              <w:spacing w:after="0" w:before="0" w:line="240" w:lineRule="auto"/>
              <w:jc w:val="left"/>
            </w:pPr>
            <w:r>
              <w:t>Confirmed or pending clarification</w:t>
            </w:r>
          </w:p>
        </w:tc>
      </w:tr>
      <w:tr>
        <w:tc>
          <w:tcPr>
            <w:tcW w:type="dxa" w:w="5400"/>
          </w:tcPr>
          <w:p>
            <w:pPr>
              <w:spacing w:after="0" w:before="0" w:line="240" w:lineRule="auto"/>
              <w:jc w:val="left"/>
            </w:pPr>
            <w:r>
              <w:t>Warranty</w:t>
            </w:r>
          </w:p>
        </w:tc>
        <w:tc>
          <w:tcPr>
            <w:tcW w:type="dxa" w:w="5400"/>
          </w:tcPr>
          <w:p>
            <w:pPr>
              <w:spacing w:after="0" w:before="0" w:line="240" w:lineRule="auto"/>
              <w:jc w:val="left"/>
            </w:pPr>
            <w:r>
              <w:t>Quoted terms</w:t>
            </w:r>
          </w:p>
        </w:tc>
      </w:tr>
      <w:tr>
        <w:tc>
          <w:tcPr>
            <w:tcW w:type="dxa" w:w="5400"/>
          </w:tcPr>
          <w:p>
            <w:pPr>
              <w:spacing w:after="0" w:before="0" w:line="240" w:lineRule="auto"/>
              <w:jc w:val="left"/>
            </w:pPr>
            <w:r>
              <w:t>Risk</w:t>
            </w:r>
          </w:p>
        </w:tc>
        <w:tc>
          <w:tcPr>
            <w:tcW w:type="dxa" w:w="5400"/>
          </w:tcPr>
          <w:p>
            <w:pPr>
              <w:spacing w:after="0" w:before="0" w:line="240" w:lineRule="auto"/>
              <w:jc w:val="left"/>
            </w:pPr>
            <w:r>
              <w:t>Key unresolved concern</w:t>
            </w:r>
          </w:p>
        </w:tc>
      </w:tr>
      <w:tr>
        <w:tc>
          <w:tcPr>
            <w:tcW w:type="dxa" w:w="5400"/>
          </w:tcPr>
          <w:p>
            <w:pPr>
              <w:spacing w:after="0" w:before="0" w:line="240" w:lineRule="auto"/>
              <w:jc w:val="left"/>
            </w:pPr>
            <w:r>
              <w:t>Evaluation result</w:t>
            </w:r>
          </w:p>
        </w:tc>
        <w:tc>
          <w:tcPr>
            <w:tcW w:type="dxa" w:w="5400"/>
          </w:tcPr>
          <w:p>
            <w:pPr>
              <w:spacing w:after="0" w:before="0" w:line="240" w:lineRule="auto"/>
              <w:jc w:val="left"/>
            </w:pPr>
            <w:r>
              <w:t>Outcome under the approved method</w:t>
            </w:r>
          </w:p>
        </w:tc>
      </w:tr>
      <w:tr>
        <w:tc>
          <w:tcPr>
            <w:tcW w:type="dxa" w:w="5400"/>
          </w:tcPr>
          <w:p>
            <w:pPr>
              <w:spacing w:after="0" w:before="0" w:line="240" w:lineRule="auto"/>
              <w:jc w:val="left"/>
            </w:pPr>
            <w:r>
              <w:t>Decision status</w:t>
            </w:r>
          </w:p>
        </w:tc>
        <w:tc>
          <w:tcPr>
            <w:tcW w:type="dxa" w:w="5400"/>
          </w:tcPr>
          <w:p>
            <w:pPr>
              <w:spacing w:after="0" w:before="0" w:line="240" w:lineRule="auto"/>
              <w:jc w:val="left"/>
            </w:pPr>
            <w:r>
              <w:t>Under review, approved, selected, or rejected</w:t>
            </w:r>
          </w:p>
        </w:tc>
      </w:tr>
    </w:tbl>
    <w:p/>
    <w:p>
      <w:r>
        <w:t>The example field values above describe the register structure; actual vendor names, prices, and status values must come from project evidence.</w:t>
      </w:r>
    </w:p>
    <w:p>
      <w:r>
        <w:t>Use a unique requirement or package ID to link the vendor register with the BOM, cost estimate, quotation comparison, and project timeline.</w:t>
      </w:r>
    </w:p>
    <w:p>
      <w:pPr>
        <w:pStyle w:val="Heading2"/>
      </w:pPr>
      <w:r>
        <w:t>22. Vendor coordination and technical clarification</w:t>
      </w:r>
    </w:p>
    <w:p>
      <w:r>
        <w:t>A vendor may require clarification before submitting a complete and comparable offer.</w:t>
      </w:r>
    </w:p>
    <w:p>
      <w:r>
        <w:t>Common technical questions include:</w:t>
      </w:r>
    </w:p>
    <w:p>
      <w:pPr>
        <w:pStyle w:val="ListBullet"/>
      </w:pPr>
      <w:r>
        <w:t>Is the existing PLC source program available?</w:t>
      </w:r>
    </w:p>
    <w:p>
      <w:pPr>
        <w:pStyle w:val="ListBullet"/>
      </w:pPr>
      <w:r>
        <w:t>Is the replacement expected to reuse existing I/O?</w:t>
      </w:r>
    </w:p>
    <w:p>
      <w:pPr>
        <w:pStyle w:val="ListBullet"/>
      </w:pPr>
      <w:r>
        <w:t>Which communication protocol and data exchange are required?</w:t>
      </w:r>
    </w:p>
    <w:p>
      <w:pPr>
        <w:pStyle w:val="ListBullet"/>
      </w:pPr>
      <w:r>
        <w:t>Is a new control panel included?</w:t>
      </w:r>
    </w:p>
    <w:p>
      <w:pPr>
        <w:pStyle w:val="ListBullet"/>
      </w:pPr>
      <w:r>
        <w:t>Are field cables and terminations included?</w:t>
      </w:r>
    </w:p>
    <w:p>
      <w:pPr>
        <w:pStyle w:val="ListBullet"/>
      </w:pPr>
      <w:r>
        <w:t>Is offline simulation required?</w:t>
      </w:r>
    </w:p>
    <w:p>
      <w:pPr>
        <w:pStyle w:val="ListBullet"/>
      </w:pPr>
      <w:r>
        <w:t>Who is responsible for robot or CNC modifications?</w:t>
      </w:r>
    </w:p>
    <w:p>
      <w:pPr>
        <w:pStyle w:val="ListBullet"/>
      </w:pPr>
      <w:r>
        <w:t>Which safety functions require modification and validation?</w:t>
      </w:r>
    </w:p>
    <w:p>
      <w:pPr>
        <w:pStyle w:val="ListBullet"/>
      </w:pPr>
      <w:r>
        <w:t>What are the acceptance criteria?</w:t>
      </w:r>
    </w:p>
    <w:p>
      <w:pPr>
        <w:pStyle w:val="ListBullet"/>
      </w:pPr>
      <w:r>
        <w:t>Are software source files and editable project files required?</w:t>
      </w:r>
    </w:p>
    <w:p>
      <w:pPr>
        <w:pStyle w:val="ListBullet"/>
      </w:pPr>
      <w:r>
        <w:t>Who will provide operator and maintenance training?</w:t>
      </w:r>
    </w:p>
    <w:p>
      <w:r>
        <w:t>Record each clarification, the vendor's response, and its effect on scope, cost, schedule, and compliance.</w:t>
      </w:r>
    </w:p>
    <w:p>
      <w:r>
        <w:t>Verbal clarifications should be formally recorded where they affect the offer or contractual obligations. Otherwise, two parties can leave a meeting believing they agreed to entirely different projects, which is an impressively expensive form of communication.</w:t>
      </w:r>
    </w:p>
    <w:p>
      <w:pPr>
        <w:pStyle w:val="Heading2"/>
      </w:pPr>
      <w:r>
        <w:t>23. Manage software ownership and access</w:t>
      </w:r>
    </w:p>
    <w:p>
      <w:r>
        <w:t>For automation systems, software access is a major lifecycle consideration.</w:t>
      </w:r>
    </w:p>
    <w:p>
      <w:r>
        <w:t>Clarify whether the project requires delivery of:</w:t>
      </w:r>
    </w:p>
    <w:p>
      <w:pPr>
        <w:pStyle w:val="ListBullet"/>
      </w:pPr>
      <w:r>
        <w:t>Editable PLC source code.</w:t>
      </w:r>
    </w:p>
    <w:p>
      <w:pPr>
        <w:pStyle w:val="ListBullet"/>
      </w:pPr>
      <w:r>
        <w:t>HMI source project.</w:t>
      </w:r>
    </w:p>
    <w:p>
      <w:pPr>
        <w:pStyle w:val="ListBullet"/>
      </w:pPr>
      <w:r>
        <w:t>Robot or CNC program backups, where contractually available.</w:t>
      </w:r>
    </w:p>
    <w:p>
      <w:pPr>
        <w:pStyle w:val="ListBullet"/>
      </w:pPr>
      <w:r>
        <w:t>Drive parameter backups.</w:t>
      </w:r>
    </w:p>
    <w:p>
      <w:pPr>
        <w:pStyle w:val="ListBullet"/>
      </w:pPr>
      <w:r>
        <w:t>Hardware configuration files.</w:t>
      </w:r>
    </w:p>
    <w:p>
      <w:pPr>
        <w:pStyle w:val="ListBullet"/>
      </w:pPr>
      <w:r>
        <w:t>Network configuration.</w:t>
      </w:r>
    </w:p>
    <w:p>
      <w:pPr>
        <w:pStyle w:val="ListBullet"/>
      </w:pPr>
      <w:r>
        <w:t>License information and activation method.</w:t>
      </w:r>
    </w:p>
    <w:p>
      <w:pPr>
        <w:pStyle w:val="ListBullet"/>
      </w:pPr>
      <w:r>
        <w:t>Version and firmware records.</w:t>
      </w:r>
    </w:p>
    <w:p>
      <w:pPr>
        <w:pStyle w:val="ListBullet"/>
      </w:pPr>
      <w:r>
        <w:t>Password and user-access arrangements.</w:t>
      </w:r>
    </w:p>
    <w:p>
      <w:pPr>
        <w:pStyle w:val="ListBullet"/>
      </w:pPr>
      <w:r>
        <w:t>Restore and recovery instructions.</w:t>
      </w:r>
    </w:p>
    <w:p>
      <w:pPr>
        <w:pStyle w:val="ListBullet"/>
      </w:pPr>
      <w:r>
        <w:t>Third-party software dependencies.</w:t>
      </w:r>
    </w:p>
    <w:p>
      <w:r>
        <w:t>The agreement must respect manufacturer licensing, intellectual-property rights, cybersecurity policy, and contractual restrictions.</w:t>
      </w:r>
    </w:p>
    <w:p>
      <w:r>
        <w:t>Do not assume that purchasing equipment automatically transfers ownership of all proprietary software. Establish the required access and usage rights before award.</w:t>
      </w:r>
    </w:p>
    <w:p>
      <w:pPr>
        <w:pStyle w:val="Heading2"/>
      </w:pPr>
      <w:r>
        <w:t>24. Cybersecurity and vendor remote access</w:t>
      </w:r>
    </w:p>
    <w:p>
      <w:r>
        <w:t>External vendor access to operational technology (OT) can introduce cybersecurity risks if it is not controlled.</w:t>
      </w:r>
    </w:p>
    <w:p>
      <w:r>
        <w:t>The vendor assessment should consider:</w:t>
      </w:r>
    </w:p>
    <w:p>
      <w:pPr>
        <w:pStyle w:val="ListBullet"/>
      </w:pPr>
      <w:r>
        <w:t>Whether remote access is necessary.</w:t>
      </w:r>
    </w:p>
    <w:p>
      <w:pPr>
        <w:pStyle w:val="ListBullet"/>
      </w:pPr>
      <w:r>
        <w:t>Approved remote-access mechanisms.</w:t>
      </w:r>
    </w:p>
    <w:p>
      <w:pPr>
        <w:pStyle w:val="ListBullet"/>
      </w:pPr>
      <w:r>
        <w:t>Authorization and approval workflow.</w:t>
      </w:r>
    </w:p>
    <w:p>
      <w:pPr>
        <w:pStyle w:val="ListBullet"/>
      </w:pPr>
      <w:r>
        <w:t>Time-limited access.</w:t>
      </w:r>
    </w:p>
    <w:p>
      <w:pPr>
        <w:pStyle w:val="ListBullet"/>
      </w:pPr>
      <w:r>
        <w:t>Individual user accounts.</w:t>
      </w:r>
    </w:p>
    <w:p>
      <w:pPr>
        <w:pStyle w:val="ListBullet"/>
      </w:pPr>
      <w:r>
        <w:t>Multi-factor authentication where supported and required.</w:t>
      </w:r>
    </w:p>
    <w:p>
      <w:pPr>
        <w:pStyle w:val="ListBullet"/>
      </w:pPr>
      <w:r>
        <w:t>Network segmentation.</w:t>
      </w:r>
    </w:p>
    <w:p>
      <w:pPr>
        <w:pStyle w:val="ListBullet"/>
      </w:pPr>
      <w:r>
        <w:t>Logging and auditability.</w:t>
      </w:r>
    </w:p>
    <w:p>
      <w:pPr>
        <w:pStyle w:val="ListBullet"/>
      </w:pPr>
      <w:r>
        <w:t>Restrictions on file transfer and removable media.</w:t>
      </w:r>
    </w:p>
    <w:p>
      <w:pPr>
        <w:pStyle w:val="ListBullet"/>
      </w:pPr>
      <w:r>
        <w:t>Backup requirements before modifications.</w:t>
      </w:r>
    </w:p>
    <w:p>
      <w:pPr>
        <w:pStyle w:val="ListBullet"/>
      </w:pPr>
      <w:r>
        <w:t>Change approval and post-change verification.</w:t>
      </w:r>
    </w:p>
    <w:p>
      <w:pPr>
        <w:pStyle w:val="ListBullet"/>
      </w:pPr>
      <w:r>
        <w:t>Removal or disabling of access after work is complete.</w:t>
      </w:r>
    </w:p>
    <w:p>
      <w:r>
        <w:t>Do not provide unrestricted direct access to production controllers simply because a vendor requests it. Remote access should follow the plant's approved OT cybersecurity procedure.</w:t>
      </w:r>
    </w:p>
    <w:p>
      <w:pPr>
        <w:pStyle w:val="Heading2"/>
      </w:pPr>
      <w:r>
        <w:t>25. Connect vendor details with cost and timeline</w:t>
      </w:r>
    </w:p>
    <w:p>
      <w:r>
        <w:t>Vendor information must be consistent across the DAP documents.</w:t>
      </w:r>
    </w:p>
    <w:p>
      <w:r>
        <w:t>The vendor quotation informs the cost estimate. The supplier's delivery lead time informs the project schedule. Technical compatibility informs architecture and engineering. Documentation and commissioning commitments influence handover planning.</w:t>
      </w:r>
    </w:p>
    <w:p>
      <w:pPr>
        <w:shd w:val="clear" w:color="auto" w:fill="F4F4F4"/>
        <w:spacing w:before="0" w:after="0" w:line="240" w:lineRule="auto"/>
        <w:ind w:left="216" w:right="216"/>
        <w:jc w:val="left"/>
      </w:pPr>
      <w:r>
        <w:rPr>
          <w:rFonts w:ascii="Consolas" w:hAnsi="Consolas"/>
          <w:color w:val="202020"/>
          <w:sz w:val="18"/>
        </w:rPr>
        <w:t>Vendor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Technical compliance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Quotation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Cost estimate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Procurement lead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Installation and commissioning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Warranty and lifecycle support plan</w:t>
      </w:r>
    </w:p>
    <w:p/>
    <w:p>
      <w:r>
        <w:t>If a PLC CPU has a long delivery lead time, the project timeline may need to move the purchase order earlier or consider a verified equivalent. If a vendor cannot support commissioning during the planned shutdown, that limitation must be resolved before finalizing the schedule.</w:t>
      </w:r>
    </w:p>
    <w:p>
      <w:pPr>
        <w:pStyle w:val="Heading2"/>
      </w:pPr>
      <w:r>
        <w:t>26. Practical example: PLC retrofit vendor assessment</w:t>
      </w:r>
    </w:p>
    <w:p>
      <w:r>
        <w:t>Suppose an existing production machine requires a PLC replacement, additional I/O, HMI modifications, and integration with a drive and an existing robot.</w:t>
      </w:r>
    </w:p>
    <w:p>
      <w:r>
        <w:t>The vendor assessment could proceed as follows:</w:t>
      </w:r>
    </w:p>
    <w:p>
      <w:pPr>
        <w:tabs>
          <w:tab w:pos="403" w:val="left"/>
        </w:tabs>
        <w:spacing w:after="40" w:line="276" w:lineRule="auto"/>
        <w:ind w:left="403" w:hanging="403"/>
        <w:jc w:val="left"/>
      </w:pPr>
      <w:r>
        <w:rPr>
          <w:color w:val="1A2E4A"/>
        </w:rPr>
        <w:t>1.</w:t>
        <w:tab/>
      </w:r>
      <w:r>
        <w:t>Define the required PLC platform, I/O types, network interfaces, HMI functions, and robot handshake.</w:t>
      </w:r>
    </w:p>
    <w:p>
      <w:pPr>
        <w:tabs>
          <w:tab w:pos="403" w:val="left"/>
        </w:tabs>
        <w:spacing w:after="40" w:line="276" w:lineRule="auto"/>
        <w:ind w:left="403" w:hanging="403"/>
        <w:jc w:val="left"/>
      </w:pPr>
      <w:r>
        <w:rPr>
          <w:color w:val="1A2E4A"/>
        </w:rPr>
        <w:t>2.</w:t>
        <w:tab/>
      </w:r>
      <w:r>
        <w:t>Identify suitable OEMs, authorized distributors, and system integrators.</w:t>
      </w:r>
    </w:p>
    <w:p>
      <w:pPr>
        <w:tabs>
          <w:tab w:pos="403" w:val="left"/>
        </w:tabs>
        <w:spacing w:after="40" w:line="276" w:lineRule="auto"/>
        <w:ind w:left="403" w:hanging="403"/>
        <w:jc w:val="left"/>
      </w:pPr>
      <w:r>
        <w:rPr>
          <w:color w:val="1A2E4A"/>
        </w:rPr>
        <w:t>3.</w:t>
        <w:tab/>
      </w:r>
      <w:r>
        <w:t>Verify whether the proposed PLC can communicate with the existing drive and robot interface.</w:t>
      </w:r>
    </w:p>
    <w:p>
      <w:pPr>
        <w:tabs>
          <w:tab w:pos="403" w:val="left"/>
        </w:tabs>
        <w:spacing w:after="40" w:line="276" w:lineRule="auto"/>
        <w:ind w:left="403" w:hanging="403"/>
        <w:jc w:val="left"/>
      </w:pPr>
      <w:r>
        <w:rPr>
          <w:color w:val="1A2E4A"/>
        </w:rPr>
        <w:t>4.</w:t>
        <w:tab/>
      </w:r>
      <w:r>
        <w:t>Check the availability of engineering software, licenses, configuration files, and required accessories.</w:t>
      </w:r>
    </w:p>
    <w:p>
      <w:pPr>
        <w:tabs>
          <w:tab w:pos="403" w:val="left"/>
        </w:tabs>
        <w:spacing w:after="40" w:line="276" w:lineRule="auto"/>
        <w:ind w:left="403" w:hanging="403"/>
        <w:jc w:val="left"/>
      </w:pPr>
      <w:r>
        <w:rPr>
          <w:color w:val="1A2E4A"/>
        </w:rPr>
        <w:t>5.</w:t>
        <w:tab/>
      </w:r>
      <w:r>
        <w:t>Request an itemized quotation for hardware, software, integration, installation, commissioning, and documentation.</w:t>
      </w:r>
    </w:p>
    <w:p>
      <w:pPr>
        <w:tabs>
          <w:tab w:pos="403" w:val="left"/>
        </w:tabs>
        <w:spacing w:after="40" w:line="276" w:lineRule="auto"/>
        <w:ind w:left="403" w:hanging="403"/>
        <w:jc w:val="left"/>
      </w:pPr>
      <w:r>
        <w:rPr>
          <w:color w:val="1A2E4A"/>
        </w:rPr>
        <w:t>6.</w:t>
        <w:tab/>
      </w:r>
      <w:r>
        <w:t>Review technical compliance and record every deviation.</w:t>
      </w:r>
    </w:p>
    <w:p>
      <w:pPr>
        <w:tabs>
          <w:tab w:pos="403" w:val="left"/>
        </w:tabs>
        <w:spacing w:after="40" w:line="276" w:lineRule="auto"/>
        <w:ind w:left="403" w:hanging="403"/>
        <w:jc w:val="left"/>
      </w:pPr>
      <w:r>
        <w:rPr>
          <w:color w:val="1A2E4A"/>
        </w:rPr>
        <w:t>7.</w:t>
        <w:tab/>
      </w:r>
      <w:r>
        <w:t>Confirm lead times and whether the vendor can support the planned shutdown.</w:t>
      </w:r>
    </w:p>
    <w:p>
      <w:pPr>
        <w:tabs>
          <w:tab w:pos="403" w:val="left"/>
        </w:tabs>
        <w:spacing w:after="40" w:line="276" w:lineRule="auto"/>
        <w:ind w:left="403" w:hanging="403"/>
        <w:jc w:val="left"/>
      </w:pPr>
      <w:r>
        <w:rPr>
          <w:color w:val="1A2E4A"/>
        </w:rPr>
        <w:t>8.</w:t>
        <w:tab/>
      </w:r>
      <w:r>
        <w:t>Assess local service capability and spare-parts availability.</w:t>
      </w:r>
    </w:p>
    <w:p>
      <w:pPr>
        <w:tabs>
          <w:tab w:pos="403" w:val="left"/>
        </w:tabs>
        <w:spacing w:after="40" w:line="276" w:lineRule="auto"/>
        <w:ind w:left="403" w:hanging="403"/>
        <w:jc w:val="left"/>
      </w:pPr>
      <w:r>
        <w:rPr>
          <w:color w:val="1A2E4A"/>
        </w:rPr>
        <w:t>9.</w:t>
        <w:tab/>
      </w:r>
      <w:r>
        <w:t>Compare the offers using the same scope and approved evaluation criteria.</w:t>
      </w:r>
    </w:p>
    <w:p>
      <w:pPr>
        <w:tabs>
          <w:tab w:pos="403" w:val="left"/>
        </w:tabs>
        <w:spacing w:after="40" w:line="276" w:lineRule="auto"/>
        <w:ind w:left="403" w:hanging="403"/>
        <w:jc w:val="left"/>
      </w:pPr>
      <w:r>
        <w:rPr>
          <w:color w:val="1A2E4A"/>
        </w:rPr>
        <w:t>10.</w:t>
        <w:tab/>
      </w:r>
      <w:r>
        <w:t>Record the recommendation, outstanding risks, and required approvals.</w:t>
      </w:r>
    </w:p>
    <w:p>
      <w:r>
        <w:t>The outcome should not simply state that Vendor A is cheaper than Vendor B. It should explain whether the proposed solution satisfies the requirement, what is included in the offer, what remains unresolved, and why the recommended supplier is suitable.</w:t>
      </w:r>
    </w:p>
    <w:p>
      <w:pPr>
        <w:pStyle w:val="Heading2"/>
      </w:pPr>
      <w:r>
        <w:t>27. Final vendor-details checklist</w:t>
      </w:r>
    </w:p>
    <w:p>
      <w:pPr>
        <w:pStyle w:val="Heading3"/>
      </w:pPr>
      <w:r>
        <w:t>Vendor identity and capability</w:t>
      </w:r>
    </w:p>
    <w:p>
      <w:pPr>
        <w:pStyle w:val="ListBullet"/>
      </w:pPr>
      <w:r>
        <w:t>Legal supplier identity is recorded.</w:t>
      </w:r>
    </w:p>
    <w:p>
      <w:pPr>
        <w:pStyle w:val="ListBullet"/>
      </w:pPr>
      <w:r>
        <w:t>OEM, distributor, integrator, and service roles are clear.</w:t>
      </w:r>
    </w:p>
    <w:p>
      <w:pPr>
        <w:pStyle w:val="ListBullet"/>
      </w:pPr>
      <w:r>
        <w:t>Authorization claims are verified where applicable.</w:t>
      </w:r>
    </w:p>
    <w:p>
      <w:pPr>
        <w:pStyle w:val="ListBullet"/>
      </w:pPr>
      <w:r>
        <w:t>Product availability and lifecycle status are checked.</w:t>
      </w:r>
    </w:p>
    <w:p>
      <w:pPr>
        <w:pStyle w:val="ListBullet"/>
      </w:pPr>
      <w:r>
        <w:t>Relevant integration experience is assessed.</w:t>
      </w:r>
    </w:p>
    <w:p>
      <w:pPr>
        <w:pStyle w:val="ListBullet"/>
      </w:pPr>
      <w:r>
        <w:t>Local support and spare availability are reviewed.</w:t>
      </w:r>
    </w:p>
    <w:p>
      <w:pPr>
        <w:pStyle w:val="Heading3"/>
      </w:pPr>
      <w:r>
        <w:t>Technical and commercial information</w:t>
      </w:r>
    </w:p>
    <w:p>
      <w:pPr>
        <w:pStyle w:val="ListBullet"/>
      </w:pPr>
      <w:r>
        <w:t>Proposed models and quantities are documented.</w:t>
      </w:r>
    </w:p>
    <w:p>
      <w:pPr>
        <w:pStyle w:val="ListBullet"/>
      </w:pPr>
      <w:r>
        <w:t>Mandatory requirements are evaluated.</w:t>
      </w:r>
    </w:p>
    <w:p>
      <w:pPr>
        <w:pStyle w:val="ListBullet"/>
      </w:pPr>
      <w:r>
        <w:t>Deviations and open clarifications are recorded.</w:t>
      </w:r>
    </w:p>
    <w:p>
      <w:pPr>
        <w:pStyle w:val="ListBullet"/>
      </w:pPr>
      <w:r>
        <w:t>Quotations have references, dates, and validity periods.</w:t>
      </w:r>
    </w:p>
    <w:p>
      <w:pPr>
        <w:pStyle w:val="ListBullet"/>
      </w:pPr>
      <w:r>
        <w:t>Delivery, warranty, payment, and exclusions are reviewed.</w:t>
      </w:r>
    </w:p>
    <w:p>
      <w:pPr>
        <w:pStyle w:val="ListBullet"/>
      </w:pPr>
      <w:r>
        <w:t>Software access and documentation obligations are clear.</w:t>
      </w:r>
    </w:p>
    <w:p>
      <w:pPr>
        <w:pStyle w:val="ListBullet"/>
      </w:pPr>
      <w:r>
        <w:t>Supplier scope aligns with the project cost estimate.</w:t>
      </w:r>
    </w:p>
    <w:p>
      <w:pPr>
        <w:pStyle w:val="Heading3"/>
      </w:pPr>
      <w:r>
        <w:t>Risk and approval</w:t>
      </w:r>
    </w:p>
    <w:p>
      <w:pPr>
        <w:pStyle w:val="ListBullet"/>
      </w:pPr>
      <w:r>
        <w:t>Vendor-related risks are documented.</w:t>
      </w:r>
    </w:p>
    <w:p>
      <w:pPr>
        <w:pStyle w:val="ListBullet"/>
      </w:pPr>
      <w:r>
        <w:t>Technical and commercial evaluation methods are defined.</w:t>
      </w:r>
    </w:p>
    <w:p>
      <w:pPr>
        <w:pStyle w:val="ListBullet"/>
      </w:pPr>
      <w:r>
        <w:t>Mandatory requirements are treated as pass/fail gates where appropriate.</w:t>
      </w:r>
    </w:p>
    <w:p>
      <w:pPr>
        <w:pStyle w:val="ListBullet"/>
      </w:pPr>
      <w:r>
        <w:t>Vendor status matches the official approval process.</w:t>
      </w:r>
    </w:p>
    <w:p>
      <w:pPr>
        <w:pStyle w:val="ListBullet"/>
      </w:pPr>
      <w:r>
        <w:t>The recommendation has supporting evidence.</w:t>
      </w:r>
    </w:p>
    <w:p>
      <w:pPr>
        <w:pStyle w:val="ListBullet"/>
      </w:pPr>
      <w:r>
        <w:t>Required approvals are traceable.</w:t>
      </w:r>
    </w:p>
    <w:p>
      <w:pPr>
        <w:pStyle w:val="ListBullet"/>
      </w:pPr>
      <w:r>
        <w:t>Delivery and service commitments are reflected in the timeline.</w:t>
      </w:r>
    </w:p>
    <w:p>
      <w:pPr>
        <w:pStyle w:val="Heading2"/>
      </w:pPr>
      <w:r>
        <w:t>28. Interview questions and answers</w:t>
      </w:r>
    </w:p>
    <w:p>
      <w:r>
        <w:t>1\. What is the purpose of vendor details in a DAP?</w:t>
      </w:r>
    </w:p>
    <w:p>
      <w:r>
        <w:t>To identify potential suppliers and document their products, capabilities, quotations, delivery commitments, support arrangements, and suitability for the proposed automation solution.</w:t>
      </w:r>
    </w:p>
    <w:p>
      <w:r>
        <w:t>2\. What is the difference between a vendor and an OEM?</w:t>
      </w:r>
    </w:p>
    <w:p>
      <w:r>
        <w:t>The OEM manufactures the original equipment. A vendor is a broader term that can include the OEM, an authorized distributor, a reseller, a system integrator, or a service provider.</w:t>
      </w:r>
    </w:p>
    <w:p>
      <w:r>
        <w:t>3\. What is a technical compliance matrix?</w:t>
      </w:r>
    </w:p>
    <w:p>
      <w:r>
        <w:t>It is a structured comparison between the defined requirements and the vendor's offered solution, including compliance status, deviations, and clarification requirements.</w:t>
      </w:r>
    </w:p>
    <w:p>
      <w:r>
        <w:t>4\. Why should technical and commercial evaluations be separated?</w:t>
      </w:r>
    </w:p>
    <w:p>
      <w:r>
        <w:t>Technical evaluation determines whether the offer meets the engineering requirements. Commercial evaluation examines price, delivery, payment, warranty, and related terms. Separating them reduces the risk of selecting an unsuitable solution purely because of its price.</w:t>
      </w:r>
    </w:p>
    <w:p>
      <w:r>
        <w:t>5\. What is vendor qualification?</w:t>
      </w:r>
    </w:p>
    <w:p>
      <w:r>
        <w:t>It is the process of verifying that a supplier meets defined organizational requirements for capability, quality, commercial suitability, and other relevant criteria.</w:t>
      </w:r>
    </w:p>
    <w:p>
      <w:r>
        <w:t>6\. Why are vendor quotations insufficient on their own?</w:t>
      </w:r>
    </w:p>
    <w:p>
      <w:r>
        <w:t>A quotation may exclude installation, commissioning, software licenses, accessories, training, or other required work. The full project scope must be checked.</w:t>
      </w:r>
    </w:p>
    <w:p>
      <w:r>
        <w:t>7\. What is single-source procurement?</w:t>
      </w:r>
    </w:p>
    <w:p>
      <w:r>
        <w:t>It is procurement from one defined source when the circumstances or approved procurement policy justify that restriction. The technical or commercial justification and applicable approvals should be documented.</w:t>
      </w:r>
    </w:p>
    <w:p>
      <w:r>
        <w:t>8\. What factors matter when selecting a system integrator?</w:t>
      </w:r>
    </w:p>
    <w:p>
      <w:r>
        <w:t>Relevant technical experience, integration capability, programming competence, safety and cybersecurity practices, documentation quality, commissioning support, delivery capacity, and lifecycle service.</w:t>
      </w:r>
    </w:p>
    <w:p>
      <w:r>
        <w:t>9\. Why is software access important in an automation project?</w:t>
      </w:r>
    </w:p>
    <w:p>
      <w:r>
        <w:t>Editable project files, configuration backups, license rights, and recovery instructions can be essential for maintenance, troubleshooting, future modifications, and recovery after hardware failure.</w:t>
      </w:r>
    </w:p>
    <w:p>
      <w:r>
        <w:t>10\. How should a vendor's long lead time be handled?</w:t>
      </w:r>
    </w:p>
    <w:p>
      <w:r>
        <w:t>Confirm the lead time, determine its effect on the critical project activities, investigate technically acceptable alternatives, and adjust procurement or implementation planning before committing to the schedule.</w:t>
      </w:r>
    </w:p>
    <w:p>
      <w:r>
        <w:t>11\. Can the highest-scoring vendor always be selected?</w:t>
      </w:r>
    </w:p>
    <w:p>
      <w:r>
        <w:t>No. Mandatory technical, safety, legal, and procurement requirements must first be satisfied. Weighted scores support the decision but do not override mandatory constraints or documented risks.</w:t>
      </w:r>
    </w:p>
    <w:p>
      <w:r>
        <w:t>12\. How do vendor details affect the project timeline?</w:t>
      </w:r>
    </w:p>
    <w:p>
      <w:r>
        <w:t>Supplier delivery dates, engineering submissions, approval cycles, manufacturing duration, commissioning availability, and support commitments determine when dependent project activities can begin and finish.</w:t>
      </w:r>
    </w:p>
    <w:p>
      <w:pPr>
        <w:pStyle w:val="Heading2"/>
      </w:pPr>
      <w:r>
        <w:t>29. Final engineering principle</w:t>
      </w:r>
    </w:p>
    <w:p>
      <w:r>
        <w:t>Vendor details are the evidence base for making a defensible supplier decision. They connect technical requirements with real supplier capabilities, commercial terms, delivery commitments, software access, and lifecycle support.</w:t>
      </w:r>
    </w:p>
    <w:p>
      <w:r>
        <w:t>A strong DAP identifies not only who may supply the solution, but also what each supplier is responsible for, how compliance has been verified, what remains uncertain, and how supplier commitments affect project cost and schedule.</w:t>
      </w:r>
    </w:p>
    <w:p>
      <w:pPr>
        <w:pStyle w:val="Heading2"/>
      </w:pPr>
      <w:r>
        <w:t>NEXT TOPIC</w:t>
      </w:r>
    </w:p>
    <w:p>
      <w:r>
        <w:rPr>
          <w:rFonts w:ascii="Consolas" w:hAnsi="Consolas"/>
          <w:color w:val="333333"/>
          <w:sz w:val="19"/>
          <w:shd w:val="clear" w:color="auto" w:fill="EFEFEF"/>
        </w:rPr>
        <w:t>02_PLAN_WISE_2026\02_INDUSTRY3_0\08_DAP\07_Timeline - Timeline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02_PLAN_WISE_2026\02_INDUSTRY3_0\08_DAP\06_Vendor_Details - Vendor details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