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02_PLAN_WISE_2026\02_INDUSTRY3_0\09_Procurement\01_RFQ\01_RFQ_Preparation - RFQ preparation</w:t>
      </w:r>
    </w:p>
    <w:p>
      <w:pPr>
        <w:pStyle w:val="Heading2"/>
      </w:pPr>
      <w:r>
        <w:t>1. What is an RFQ?</w:t>
      </w:r>
    </w:p>
    <w:p>
      <w:r>
        <w:t>RFQ stands for Request for Quotation. It is a formal procurement document or package sent to potential suppliers to obtain quotations for a clearly defined requirement.</w:t>
      </w:r>
    </w:p>
    <w:p>
      <w:r>
        <w:t>In industrial automation, an RFQ communicates what the organization needs, the technical specifications that must be satisfied, the scope of supply, the applicable commercial conditions, and the information the supplier must submit.</w:t>
      </w:r>
    </w:p>
    <w:p>
      <w:r>
        <w:t>The objective is to obtain comparable, technically compliant, commercially transparent offers so that the organization can select a suitable supplier.</w:t>
      </w:r>
    </w:p>
    <w:p>
      <w:r>
        <w:t>For example, a plant may need to retrofit an obsolete PLC system on a production test bench. The RFQ package may specify the PLC, I/O modules, communication interfaces, engineering services, software migration, commissioning, training, documentation, warranty, and delivery requirements.</w:t>
      </w:r>
    </w:p>
    <w:p>
      <w:r>
        <w:t>Without a well-prepared RFQ, one vendor might quote only hardware, another might include programming, and a third might include complete commissioning. Comparing their final prices would be about as meaningful as comparing a motor, a gearbox, and an assembled machine because all three have a price tag.</w:t>
      </w:r>
    </w:p>
    <w:p>
      <w:pPr>
        <w:pStyle w:val="Heading2"/>
      </w:pPr>
      <w:r>
        <w:t>2. Objectives of RFQ preparation</w:t>
      </w:r>
    </w:p>
    <w:p>
      <w:r>
        <w:t>RFQ preparation aims to:</w:t>
      </w:r>
    </w:p>
    <w:p>
      <w:pPr>
        <w:pStyle w:val="ListBullet"/>
      </w:pPr>
      <w:r>
        <w:t>Convert an approved requirement into a clear procurement package.</w:t>
      </w:r>
    </w:p>
    <w:p>
      <w:pPr>
        <w:pStyle w:val="ListBullet"/>
      </w:pPr>
      <w:r>
        <w:t>Define the technical and functional expectations.</w:t>
      </w:r>
    </w:p>
    <w:p>
      <w:pPr>
        <w:pStyle w:val="ListBullet"/>
      </w:pPr>
      <w:r>
        <w:t>Establish the supplier's responsibilities and exclusions.</w:t>
      </w:r>
    </w:p>
    <w:p>
      <w:pPr>
        <w:pStyle w:val="ListBullet"/>
      </w:pPr>
      <w:r>
        <w:t>Obtain quotations on a common and comparable basis.</w:t>
      </w:r>
    </w:p>
    <w:p>
      <w:pPr>
        <w:pStyle w:val="ListBullet"/>
      </w:pPr>
      <w:r>
        <w:t>Prevent ambiguity, omissions, and hidden costs.</w:t>
      </w:r>
    </w:p>
    <w:p>
      <w:pPr>
        <w:pStyle w:val="ListBullet"/>
      </w:pPr>
      <w:r>
        <w:t>Define delivery, installation, testing, commissioning, and acceptance expectations.</w:t>
      </w:r>
    </w:p>
    <w:p>
      <w:pPr>
        <w:pStyle w:val="ListBullet"/>
      </w:pPr>
      <w:r>
        <w:t>Establish the required documentation and quality standards.</w:t>
      </w:r>
    </w:p>
    <w:p>
      <w:pPr>
        <w:pStyle w:val="ListBullet"/>
      </w:pPr>
      <w:r>
        <w:t>Identify technical deviations before purchase.</w:t>
      </w:r>
    </w:p>
    <w:p>
      <w:pPr>
        <w:pStyle w:val="ListBullet"/>
      </w:pPr>
      <w:r>
        <w:t>Support fair supplier evaluation and negotiation.</w:t>
      </w:r>
    </w:p>
    <w:p>
      <w:pPr>
        <w:pStyle w:val="ListBullet"/>
      </w:pPr>
      <w:r>
        <w:t>Reduce commercial disputes and implementation delays.</w:t>
      </w:r>
    </w:p>
    <w:p>
      <w:r>
        <w:t>A strong RFQ reduces uncertainty before a purchase order is issued.</w:t>
      </w:r>
    </w:p>
    <w:p>
      <w:r>
        <w:t>It does not guarantee that every supplier will offer the same solution, but it ensures that differences can be identified and evaluated systematically.</w:t>
      </w:r>
    </w:p>
    <w:p>
      <w:pPr>
        <w:pStyle w:val="Heading2"/>
      </w:pPr>
      <w:r>
        <w:t>3. Where RFQ preparation fits in the procurement lifecycle</w:t>
      </w:r>
    </w:p>
    <w:p>
      <w:r>
        <w:t>RFQ preparation is one stage in the wider procurement process.</w:t>
      </w:r>
    </w:p>
    <w:p>
      <w:pPr>
        <w:shd w:val="clear" w:color="auto" w:fill="F4F4F4"/>
        <w:spacing w:before="0" w:after="0" w:line="240" w:lineRule="auto"/>
        <w:ind w:left="216" w:right="216"/>
        <w:jc w:val="left"/>
      </w:pPr>
      <w:r>
        <w:rPr>
          <w:rFonts w:ascii="Consolas" w:hAnsi="Consolas"/>
          <w:color w:val="202020"/>
          <w:sz w:val="18"/>
        </w:rPr>
        <w:t>Requirement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 system and process studied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solution and scope defined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Budget and approvals established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package prepared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reviewed and authorized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issued to selected suppliers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queries and clarifications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Quotation receipt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evaluation and comparison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Negotiation and supplier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and contract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delivery, installation, and acceptance</w:t>
      </w:r>
    </w:p>
    <w:p/>
    <w:p>
      <w:r>
        <w:t>The exact order depends on organizational procedures. For example, preliminary supplier engagement or budgetary quotations may occur before a final RFQ is released.</w:t>
      </w:r>
    </w:p>
    <w:p>
      <w:r>
        <w:t>RFQ preparation should use approved project requirements and applicable procurement procedures. It should not silently introduce new requirements that have not been assessed or authorized.</w:t>
      </w:r>
    </w:p>
    <w:p>
      <w:pPr>
        <w:pStyle w:val="Heading2"/>
      </w:pPr>
      <w:r>
        <w:t>4. RFQ, RFI, RFP, and purchase order</w:t>
      </w:r>
    </w:p>
    <w:p>
      <w:r>
        <w:t>These procurement terms describe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Full form</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RFI</w:t>
            </w:r>
          </w:p>
        </w:tc>
        <w:tc>
          <w:tcPr>
            <w:tcW w:type="dxa" w:w="3600"/>
          </w:tcPr>
          <w:p>
            <w:pPr>
              <w:spacing w:after="0" w:before="0" w:line="240" w:lineRule="auto"/>
              <w:jc w:val="left"/>
            </w:pPr>
            <w:r>
              <w:t>Request for Information</w:t>
            </w:r>
          </w:p>
        </w:tc>
        <w:tc>
          <w:tcPr>
            <w:tcW w:type="dxa" w:w="3600"/>
          </w:tcPr>
          <w:p>
            <w:pPr>
              <w:spacing w:after="0" w:before="0" w:line="240" w:lineRule="auto"/>
              <w:jc w:val="left"/>
            </w:pPr>
            <w:r>
              <w:t>Collect market information, supplier capabilities, or available technologies</w:t>
            </w:r>
          </w:p>
        </w:tc>
      </w:tr>
      <w:tr>
        <w:tc>
          <w:tcPr>
            <w:tcW w:type="dxa" w:w="3600"/>
          </w:tcPr>
          <w:p>
            <w:pPr>
              <w:spacing w:after="0" w:before="0" w:line="240" w:lineRule="auto"/>
              <w:jc w:val="left"/>
            </w:pPr>
            <w:r>
              <w:t>RFQ</w:t>
            </w:r>
          </w:p>
        </w:tc>
        <w:tc>
          <w:tcPr>
            <w:tcW w:type="dxa" w:w="3600"/>
          </w:tcPr>
          <w:p>
            <w:pPr>
              <w:spacing w:after="0" w:before="0" w:line="240" w:lineRule="auto"/>
              <w:jc w:val="left"/>
            </w:pPr>
            <w:r>
              <w:t>Request for Quotation</w:t>
            </w:r>
          </w:p>
        </w:tc>
        <w:tc>
          <w:tcPr>
            <w:tcW w:type="dxa" w:w="3600"/>
          </w:tcPr>
          <w:p>
            <w:pPr>
              <w:spacing w:after="0" w:before="0" w:line="240" w:lineRule="auto"/>
              <w:jc w:val="left"/>
            </w:pPr>
            <w:r>
              <w:t>Obtain pricing and offers against a defined requirement</w:t>
            </w:r>
          </w:p>
        </w:tc>
      </w:tr>
      <w:tr>
        <w:tc>
          <w:tcPr>
            <w:tcW w:type="dxa" w:w="3600"/>
          </w:tcPr>
          <w:p>
            <w:pPr>
              <w:spacing w:after="0" w:before="0" w:line="240" w:lineRule="auto"/>
              <w:jc w:val="left"/>
            </w:pPr>
            <w:r>
              <w:t>RFP</w:t>
            </w:r>
          </w:p>
        </w:tc>
        <w:tc>
          <w:tcPr>
            <w:tcW w:type="dxa" w:w="3600"/>
          </w:tcPr>
          <w:p>
            <w:pPr>
              <w:spacing w:after="0" w:before="0" w:line="240" w:lineRule="auto"/>
              <w:jc w:val="left"/>
            </w:pPr>
            <w:r>
              <w:t>Request for Proposal</w:t>
            </w:r>
          </w:p>
        </w:tc>
        <w:tc>
          <w:tcPr>
            <w:tcW w:type="dxa" w:w="3600"/>
          </w:tcPr>
          <w:p>
            <w:pPr>
              <w:spacing w:after="0" w:before="0" w:line="240" w:lineRule="auto"/>
              <w:jc w:val="left"/>
            </w:pPr>
            <w:r>
              <w:t>Invite proposed solutions to a defined problem, often where the solution approach is not fully prescribed</w:t>
            </w:r>
          </w:p>
        </w:tc>
      </w:tr>
      <w:tr>
        <w:tc>
          <w:tcPr>
            <w:tcW w:type="dxa" w:w="3600"/>
          </w:tcPr>
          <w:p>
            <w:pPr>
              <w:spacing w:after="0" w:before="0" w:line="240" w:lineRule="auto"/>
              <w:jc w:val="left"/>
            </w:pPr>
            <w:r>
              <w:t>Purchase Order</w:t>
            </w:r>
          </w:p>
        </w:tc>
        <w:tc>
          <w:tcPr>
            <w:tcW w:type="dxa" w:w="3600"/>
          </w:tcPr>
          <w:p>
            <w:pPr>
              <w:spacing w:after="0" w:before="0" w:line="240" w:lineRule="auto"/>
              <w:jc w:val="left"/>
            </w:pPr>
            <w:r>
              <w:t>PO</w:t>
            </w:r>
          </w:p>
        </w:tc>
        <w:tc>
          <w:tcPr>
            <w:tcW w:type="dxa" w:w="3600"/>
          </w:tcPr>
          <w:p>
            <w:pPr>
              <w:spacing w:after="0" w:before="0" w:line="240" w:lineRule="auto"/>
              <w:jc w:val="left"/>
            </w:pPr>
            <w:r>
              <w:t>Formally place an order under the applicable commercial and contractual conditions</w:t>
            </w:r>
          </w:p>
        </w:tc>
      </w:tr>
    </w:tbl>
    <w:p/>
    <w:p>
      <w:r>
        <w:t>An RFQ is most effective when the buyer has defined the requirement sufficiently for suppliers to quote against a common basis.</w:t>
      </w:r>
    </w:p>
    <w:p>
      <w:r>
        <w:t>If the organization does not yet know which technology or architecture is suitable, an RFI or RFP process may be more appropriate before finalizing the RFQ.</w:t>
      </w:r>
    </w:p>
    <w:p>
      <w:r>
        <w:t>The terminology varies across organizations. Some companies use RFQ for packages that also include detailed technical proposals.</w:t>
      </w:r>
    </w:p>
    <w:p>
      <w:pPr>
        <w:pStyle w:val="Heading2"/>
      </w:pPr>
      <w:r>
        <w:t>5. Identify the correct procurement requirement</w:t>
      </w:r>
    </w:p>
    <w:p>
      <w:r>
        <w:t>Before drafting the RFQ, establish exactly what is being purchased and why.</w:t>
      </w:r>
    </w:p>
    <w:p>
      <w:r>
        <w:t>Useful inputs include:</w:t>
      </w:r>
    </w:p>
    <w:p>
      <w:pPr>
        <w:pStyle w:val="ListBullet"/>
      </w:pPr>
      <w:r>
        <w:t>Approved DAP or project proposal.</w:t>
      </w:r>
    </w:p>
    <w:p>
      <w:pPr>
        <w:pStyle w:val="ListBullet"/>
      </w:pPr>
      <w:r>
        <w:t>User Requirement Specification (URS).</w:t>
      </w:r>
    </w:p>
    <w:p>
      <w:pPr>
        <w:pStyle w:val="ListBullet"/>
      </w:pPr>
      <w:r>
        <w:t>Functional requirements.</w:t>
      </w:r>
    </w:p>
    <w:p>
      <w:pPr>
        <w:pStyle w:val="ListBullet"/>
      </w:pPr>
      <w:r>
        <w:t>Existing-machine assessment.</w:t>
      </w:r>
    </w:p>
    <w:p>
      <w:pPr>
        <w:pStyle w:val="ListBullet"/>
      </w:pPr>
      <w:r>
        <w:t>Site-survey findings.</w:t>
      </w:r>
    </w:p>
    <w:p>
      <w:pPr>
        <w:pStyle w:val="ListBullet"/>
      </w:pPr>
      <w:r>
        <w:t>Proposed automation architecture.</w:t>
      </w:r>
    </w:p>
    <w:p>
      <w:pPr>
        <w:pStyle w:val="ListBullet"/>
      </w:pPr>
      <w:r>
        <w:t>Hardware selection and preliminary BOM.</w:t>
      </w:r>
    </w:p>
    <w:p>
      <w:pPr>
        <w:pStyle w:val="ListBullet"/>
      </w:pPr>
      <w:r>
        <w:t>I/O estimation and signal lists.</w:t>
      </w:r>
    </w:p>
    <w:p>
      <w:pPr>
        <w:pStyle w:val="ListBullet"/>
      </w:pPr>
      <w:r>
        <w:t>Electrical and network requirements.</w:t>
      </w:r>
    </w:p>
    <w:p>
      <w:pPr>
        <w:pStyle w:val="ListBullet"/>
      </w:pPr>
      <w:r>
        <w:t>Risk assessment and safety concept.</w:t>
      </w:r>
    </w:p>
    <w:p>
      <w:pPr>
        <w:pStyle w:val="ListBullet"/>
      </w:pPr>
      <w:r>
        <w:t>Project budget and timeline.</w:t>
      </w:r>
    </w:p>
    <w:p>
      <w:pPr>
        <w:pStyle w:val="ListBullet"/>
      </w:pPr>
      <w:r>
        <w:t>Production and maintenance requirements.</w:t>
      </w:r>
    </w:p>
    <w:p>
      <w:pPr>
        <w:pStyle w:val="ListBullet"/>
      </w:pPr>
      <w:r>
        <w:t>Procurement policies and standard contractual conditions.</w:t>
      </w:r>
    </w:p>
    <w:p>
      <w:r>
        <w:t>For a retrofit, also review the installed equipment, available drawings, existing software backups, communication protocols, machine interfaces, obsolescence concerns, and site constraints.</w:t>
      </w:r>
    </w:p>
    <w:p>
      <w:r>
        <w:t>The RFQ should distinguish verified facts from assumptions. If a critical detail is unknown, specify how the supplier must assess it, what survey is required, or what information must be clarified before a binding commitment.</w:t>
      </w:r>
    </w:p>
    <w:p>
      <w:pPr>
        <w:pStyle w:val="Heading2"/>
      </w:pPr>
      <w:r>
        <w:t>6. Define the RFQ package structure</w:t>
      </w:r>
    </w:p>
    <w:p>
      <w:r>
        <w:t>An RFQ package for an industrial automation project may contain several coordinated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RFQ invitation or cover letter</w:t>
            </w:r>
          </w:p>
        </w:tc>
        <w:tc>
          <w:tcPr>
            <w:tcW w:type="dxa" w:w="5400"/>
          </w:tcPr>
          <w:p>
            <w:pPr>
              <w:spacing w:after="0" w:before="0" w:line="240" w:lineRule="auto"/>
              <w:jc w:val="left"/>
            </w:pPr>
            <w:r>
              <w:t>Identifies the procurement and submission requirements</w:t>
            </w:r>
          </w:p>
        </w:tc>
      </w:tr>
      <w:tr>
        <w:tc>
          <w:tcPr>
            <w:tcW w:type="dxa" w:w="5400"/>
          </w:tcPr>
          <w:p>
            <w:pPr>
              <w:spacing w:after="0" w:before="0" w:line="240" w:lineRule="auto"/>
              <w:jc w:val="left"/>
            </w:pPr>
            <w:r>
              <w:t>Technical specification</w:t>
            </w:r>
          </w:p>
        </w:tc>
        <w:tc>
          <w:tcPr>
            <w:tcW w:type="dxa" w:w="5400"/>
          </w:tcPr>
          <w:p>
            <w:pPr>
              <w:spacing w:after="0" w:before="0" w:line="240" w:lineRule="auto"/>
              <w:jc w:val="left"/>
            </w:pPr>
            <w:r>
              <w:t>Defines the required technical performance and equipment characteristics</w:t>
            </w:r>
          </w:p>
        </w:tc>
      </w:tr>
      <w:tr>
        <w:tc>
          <w:tcPr>
            <w:tcW w:type="dxa" w:w="5400"/>
          </w:tcPr>
          <w:p>
            <w:pPr>
              <w:spacing w:after="0" w:before="0" w:line="240" w:lineRule="auto"/>
              <w:jc w:val="left"/>
            </w:pPr>
            <w:r>
              <w:t>Scope of supply</w:t>
            </w:r>
          </w:p>
        </w:tc>
        <w:tc>
          <w:tcPr>
            <w:tcW w:type="dxa" w:w="5400"/>
          </w:tcPr>
          <w:p>
            <w:pPr>
              <w:spacing w:after="0" w:before="0" w:line="240" w:lineRule="auto"/>
              <w:jc w:val="left"/>
            </w:pPr>
            <w:r>
              <w:t>Defines equipment, services, responsibilities, and exclusions</w:t>
            </w:r>
          </w:p>
        </w:tc>
      </w:tr>
      <w:tr>
        <w:tc>
          <w:tcPr>
            <w:tcW w:type="dxa" w:w="5400"/>
          </w:tcPr>
          <w:p>
            <w:pPr>
              <w:spacing w:after="0" w:before="0" w:line="240" w:lineRule="auto"/>
              <w:jc w:val="left"/>
            </w:pPr>
            <w:r>
              <w:t>BOM or equipment schedule</w:t>
            </w:r>
          </w:p>
        </w:tc>
        <w:tc>
          <w:tcPr>
            <w:tcW w:type="dxa" w:w="5400"/>
          </w:tcPr>
          <w:p>
            <w:pPr>
              <w:spacing w:after="0" w:before="0" w:line="240" w:lineRule="auto"/>
              <w:jc w:val="left"/>
            </w:pPr>
            <w:r>
              <w:t>Lists required items, quantities, and technical references</w:t>
            </w:r>
          </w:p>
        </w:tc>
      </w:tr>
      <w:tr>
        <w:tc>
          <w:tcPr>
            <w:tcW w:type="dxa" w:w="5400"/>
          </w:tcPr>
          <w:p>
            <w:pPr>
              <w:spacing w:after="0" w:before="0" w:line="240" w:lineRule="auto"/>
              <w:jc w:val="left"/>
            </w:pPr>
            <w:r>
              <w:t>Functional specification</w:t>
            </w:r>
          </w:p>
        </w:tc>
        <w:tc>
          <w:tcPr>
            <w:tcW w:type="dxa" w:w="5400"/>
          </w:tcPr>
          <w:p>
            <w:pPr>
              <w:spacing w:after="0" w:before="0" w:line="240" w:lineRule="auto"/>
              <w:jc w:val="left"/>
            </w:pPr>
            <w:r>
              <w:t>Describes required machine or process behavior</w:t>
            </w:r>
          </w:p>
        </w:tc>
      </w:tr>
      <w:tr>
        <w:tc>
          <w:tcPr>
            <w:tcW w:type="dxa" w:w="5400"/>
          </w:tcPr>
          <w:p>
            <w:pPr>
              <w:spacing w:after="0" w:before="0" w:line="240" w:lineRule="auto"/>
              <w:jc w:val="left"/>
            </w:pPr>
            <w:r>
              <w:t>I/O list</w:t>
            </w:r>
          </w:p>
        </w:tc>
        <w:tc>
          <w:tcPr>
            <w:tcW w:type="dxa" w:w="5400"/>
          </w:tcPr>
          <w:p>
            <w:pPr>
              <w:spacing w:after="0" w:before="0" w:line="240" w:lineRule="auto"/>
              <w:jc w:val="left"/>
            </w:pPr>
            <w:r>
              <w:t>Defines required signals and interfaces where applicable</w:t>
            </w:r>
          </w:p>
        </w:tc>
      </w:tr>
      <w:tr>
        <w:tc>
          <w:tcPr>
            <w:tcW w:type="dxa" w:w="5400"/>
          </w:tcPr>
          <w:p>
            <w:pPr>
              <w:spacing w:after="0" w:before="0" w:line="240" w:lineRule="auto"/>
              <w:jc w:val="left"/>
            </w:pPr>
            <w:r>
              <w:t>Electrical requirements</w:t>
            </w:r>
          </w:p>
        </w:tc>
        <w:tc>
          <w:tcPr>
            <w:tcW w:type="dxa" w:w="5400"/>
          </w:tcPr>
          <w:p>
            <w:pPr>
              <w:spacing w:after="0" w:before="0" w:line="240" w:lineRule="auto"/>
              <w:jc w:val="left"/>
            </w:pPr>
            <w:r>
              <w:t>Defines supply, protection, panel, wiring, and documentation requirements</w:t>
            </w:r>
          </w:p>
        </w:tc>
      </w:tr>
      <w:tr>
        <w:tc>
          <w:tcPr>
            <w:tcW w:type="dxa" w:w="5400"/>
          </w:tcPr>
          <w:p>
            <w:pPr>
              <w:spacing w:after="0" w:before="0" w:line="240" w:lineRule="auto"/>
              <w:jc w:val="left"/>
            </w:pPr>
            <w:r>
              <w:t>Network requirements</w:t>
            </w:r>
          </w:p>
        </w:tc>
        <w:tc>
          <w:tcPr>
            <w:tcW w:type="dxa" w:w="5400"/>
          </w:tcPr>
          <w:p>
            <w:pPr>
              <w:spacing w:after="0" w:before="0" w:line="240" w:lineRule="auto"/>
              <w:jc w:val="left"/>
            </w:pPr>
            <w:r>
              <w:t>Defines protocols, topology, addressing, connectivity, and OT constraints</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Defines applicable safety expectations and required evidence</w:t>
            </w:r>
          </w:p>
        </w:tc>
      </w:tr>
      <w:tr>
        <w:tc>
          <w:tcPr>
            <w:tcW w:type="dxa" w:w="5400"/>
          </w:tcPr>
          <w:p>
            <w:pPr>
              <w:spacing w:after="0" w:before="0" w:line="240" w:lineRule="auto"/>
              <w:jc w:val="left"/>
            </w:pPr>
            <w:r>
              <w:t>Site and installation information</w:t>
            </w:r>
          </w:p>
        </w:tc>
        <w:tc>
          <w:tcPr>
            <w:tcW w:type="dxa" w:w="5400"/>
          </w:tcPr>
          <w:p>
            <w:pPr>
              <w:spacing w:after="0" w:before="0" w:line="240" w:lineRule="auto"/>
              <w:jc w:val="left"/>
            </w:pPr>
            <w:r>
              <w:t>Describes site conditions, access, shutdown, and installation constraints</w:t>
            </w:r>
          </w:p>
        </w:tc>
      </w:tr>
      <w:tr>
        <w:tc>
          <w:tcPr>
            <w:tcW w:type="dxa" w:w="5400"/>
          </w:tcPr>
          <w:p>
            <w:pPr>
              <w:spacing w:after="0" w:before="0" w:line="240" w:lineRule="auto"/>
              <w:jc w:val="left"/>
            </w:pPr>
            <w:r>
              <w:t>Inspection and testing requirements</w:t>
            </w:r>
          </w:p>
        </w:tc>
        <w:tc>
          <w:tcPr>
            <w:tcW w:type="dxa" w:w="5400"/>
          </w:tcPr>
          <w:p>
            <w:pPr>
              <w:spacing w:after="0" w:before="0" w:line="240" w:lineRule="auto"/>
              <w:jc w:val="left"/>
            </w:pPr>
            <w:r>
              <w:t>Defines factory and site verification activities</w:t>
            </w:r>
          </w:p>
        </w:tc>
      </w:tr>
      <w:tr>
        <w:tc>
          <w:tcPr>
            <w:tcW w:type="dxa" w:w="5400"/>
          </w:tcPr>
          <w:p>
            <w:pPr>
              <w:spacing w:after="0" w:before="0" w:line="240" w:lineRule="auto"/>
              <w:jc w:val="left"/>
            </w:pPr>
            <w:r>
              <w:t>Documentation requirements</w:t>
            </w:r>
          </w:p>
        </w:tc>
        <w:tc>
          <w:tcPr>
            <w:tcW w:type="dxa" w:w="5400"/>
          </w:tcPr>
          <w:p>
            <w:pPr>
              <w:spacing w:after="0" w:before="0" w:line="240" w:lineRule="auto"/>
              <w:jc w:val="left"/>
            </w:pPr>
            <w:r>
              <w:t>Defines deliverables, formats, revisions, and submission stages</w:t>
            </w:r>
          </w:p>
        </w:tc>
      </w:tr>
      <w:tr>
        <w:tc>
          <w:tcPr>
            <w:tcW w:type="dxa" w:w="5400"/>
          </w:tcPr>
          <w:p>
            <w:pPr>
              <w:spacing w:after="0" w:before="0" w:line="240" w:lineRule="auto"/>
              <w:jc w:val="left"/>
            </w:pPr>
            <w:r>
              <w:t>Commercial format</w:t>
            </w:r>
          </w:p>
        </w:tc>
        <w:tc>
          <w:tcPr>
            <w:tcW w:type="dxa" w:w="5400"/>
          </w:tcPr>
          <w:p>
            <w:pPr>
              <w:spacing w:after="0" w:before="0" w:line="240" w:lineRule="auto"/>
              <w:jc w:val="left"/>
            </w:pPr>
            <w:r>
              <w:t>Provides a common pricing and cost-breakdown structure</w:t>
            </w:r>
          </w:p>
        </w:tc>
      </w:tr>
      <w:tr>
        <w:tc>
          <w:tcPr>
            <w:tcW w:type="dxa" w:w="5400"/>
          </w:tcPr>
          <w:p>
            <w:pPr>
              <w:spacing w:after="0" w:before="0" w:line="240" w:lineRule="auto"/>
              <w:jc w:val="left"/>
            </w:pPr>
            <w:r>
              <w:t>Delivery schedule</w:t>
            </w:r>
          </w:p>
        </w:tc>
        <w:tc>
          <w:tcPr>
            <w:tcW w:type="dxa" w:w="5400"/>
          </w:tcPr>
          <w:p>
            <w:pPr>
              <w:spacing w:after="0" w:before="0" w:line="240" w:lineRule="auto"/>
              <w:jc w:val="left"/>
            </w:pPr>
            <w:r>
              <w:t>Defines milestones, lead times, and required completion dates</w:t>
            </w:r>
          </w:p>
        </w:tc>
      </w:tr>
      <w:tr>
        <w:tc>
          <w:tcPr>
            <w:tcW w:type="dxa" w:w="5400"/>
          </w:tcPr>
          <w:p>
            <w:pPr>
              <w:spacing w:after="0" w:before="0" w:line="240" w:lineRule="auto"/>
              <w:jc w:val="left"/>
            </w:pPr>
            <w:r>
              <w:t>Terms and conditions</w:t>
            </w:r>
          </w:p>
        </w:tc>
        <w:tc>
          <w:tcPr>
            <w:tcW w:type="dxa" w:w="5400"/>
          </w:tcPr>
          <w:p>
            <w:pPr>
              <w:spacing w:after="0" w:before="0" w:line="240" w:lineRule="auto"/>
              <w:jc w:val="left"/>
            </w:pPr>
            <w:r>
              <w:t>Defines applicable contractual, warranty, payment, and legal conditions</w:t>
            </w:r>
          </w:p>
        </w:tc>
      </w:tr>
      <w:tr>
        <w:tc>
          <w:tcPr>
            <w:tcW w:type="dxa" w:w="5400"/>
          </w:tcPr>
          <w:p>
            <w:pPr>
              <w:spacing w:after="0" w:before="0" w:line="240" w:lineRule="auto"/>
              <w:jc w:val="left"/>
            </w:pPr>
            <w:r>
              <w:t>Bid submission instructions</w:t>
            </w:r>
          </w:p>
        </w:tc>
        <w:tc>
          <w:tcPr>
            <w:tcW w:type="dxa" w:w="5400"/>
          </w:tcPr>
          <w:p>
            <w:pPr>
              <w:spacing w:after="0" w:before="0" w:line="240" w:lineRule="auto"/>
              <w:jc w:val="left"/>
            </w:pPr>
            <w:r>
              <w:t>Defines deadlines, contacts, formats, and required declarations</w:t>
            </w:r>
          </w:p>
        </w:tc>
      </w:tr>
    </w:tbl>
    <w:p/>
    <w:p>
      <w:r>
        <w:t>Not every project needs every document. The package should be proportionate to the purchase while still covering all material requirements.</w:t>
      </w:r>
    </w:p>
    <w:p>
      <w:r>
        <w:t>The documents must agree with each other. A technical specification that requests one PLC family while the BOM specifies another creates an avoidable procurement problem.</w:t>
      </w:r>
    </w:p>
    <w:p>
      <w:pPr>
        <w:pStyle w:val="Heading2"/>
      </w:pPr>
      <w:r>
        <w:t>7. Establish the technical basis</w:t>
      </w:r>
    </w:p>
    <w:p>
      <w:r>
        <w:t>The technical basis is the controlled set of requirements against which supplier offers will be evaluated.</w:t>
      </w:r>
    </w:p>
    <w:p>
      <w:r>
        <w:t>For automation equipment, define the relevant characteristics rather than relying only on product names or broad descriptions.</w:t>
      </w:r>
    </w:p>
    <w:p>
      <w:r>
        <w:t>For a PLC, requirements may include:</w:t>
      </w:r>
    </w:p>
    <w:p>
      <w:pPr>
        <w:pStyle w:val="ListBullet"/>
      </w:pPr>
      <w:r>
        <w:t>Required I/O type and quantity.</w:t>
      </w:r>
    </w:p>
    <w:p>
      <w:pPr>
        <w:pStyle w:val="ListBullet"/>
      </w:pPr>
      <w:r>
        <w:t>Processing and memory capacity.</w:t>
      </w:r>
    </w:p>
    <w:p>
      <w:pPr>
        <w:pStyle w:val="ListBullet"/>
      </w:pPr>
      <w:r>
        <w:t>Communication protocols.</w:t>
      </w:r>
    </w:p>
    <w:p>
      <w:pPr>
        <w:pStyle w:val="ListBullet"/>
      </w:pPr>
      <w:r>
        <w:t>Supported remote I/O architecture.</w:t>
      </w:r>
    </w:p>
    <w:p>
      <w:pPr>
        <w:pStyle w:val="ListBullet"/>
      </w:pPr>
      <w:r>
        <w:t>Required diagnostics.</w:t>
      </w:r>
    </w:p>
    <w:p>
      <w:pPr>
        <w:pStyle w:val="ListBullet"/>
      </w:pPr>
      <w:r>
        <w:t>Programming software and licensing.</w:t>
      </w:r>
    </w:p>
    <w:p>
      <w:pPr>
        <w:pStyle w:val="ListBullet"/>
      </w:pPr>
      <w:r>
        <w:t>Backup and restoration requirements.</w:t>
      </w:r>
    </w:p>
    <w:p>
      <w:pPr>
        <w:pStyle w:val="ListBullet"/>
      </w:pPr>
      <w:r>
        <w:t>Environmental operating limits.</w:t>
      </w:r>
    </w:p>
    <w:p>
      <w:pPr>
        <w:pStyle w:val="ListBullet"/>
      </w:pPr>
      <w:r>
        <w:t>Lifecycle support and spare availability.</w:t>
      </w:r>
    </w:p>
    <w:p>
      <w:pPr>
        <w:pStyle w:val="ListBullet"/>
      </w:pPr>
      <w:r>
        <w:t>Compatibility with existing equipment.</w:t>
      </w:r>
    </w:p>
    <w:p>
      <w:r>
        <w:t>For a drive, requirements may include:</w:t>
      </w:r>
    </w:p>
    <w:p>
      <w:pPr>
        <w:pStyle w:val="ListBullet"/>
      </w:pPr>
      <w:r>
        <w:t>Motor ratings and duty.</w:t>
      </w:r>
    </w:p>
    <w:p>
      <w:pPr>
        <w:pStyle w:val="ListBullet"/>
      </w:pPr>
      <w:r>
        <w:t>Supply voltage and frequency.</w:t>
      </w:r>
    </w:p>
    <w:p>
      <w:pPr>
        <w:pStyle w:val="ListBullet"/>
      </w:pPr>
      <w:r>
        <w:t>Required speed and torque range.</w:t>
      </w:r>
    </w:p>
    <w:p>
      <w:pPr>
        <w:pStyle w:val="ListBullet"/>
      </w:pPr>
      <w:r>
        <w:t>Control mode.</w:t>
      </w:r>
    </w:p>
    <w:p>
      <w:pPr>
        <w:pStyle w:val="ListBullet"/>
      </w:pPr>
      <w:r>
        <w:t>Communication interface.</w:t>
      </w:r>
    </w:p>
    <w:p>
      <w:pPr>
        <w:pStyle w:val="ListBullet"/>
      </w:pPr>
      <w:r>
        <w:t>Feedback requirements.</w:t>
      </w:r>
    </w:p>
    <w:p>
      <w:pPr>
        <w:pStyle w:val="ListBullet"/>
      </w:pPr>
      <w:r>
        <w:t>Protective functions.</w:t>
      </w:r>
    </w:p>
    <w:p>
      <w:pPr>
        <w:pStyle w:val="ListBullet"/>
      </w:pPr>
      <w:r>
        <w:t>Braking requirements.</w:t>
      </w:r>
    </w:p>
    <w:p>
      <w:pPr>
        <w:pStyle w:val="ListBullet"/>
      </w:pPr>
      <w:r>
        <w:t>Installation and environmental constraints.</w:t>
      </w:r>
    </w:p>
    <w:p>
      <w:r>
        <w:t>Where the organization permits alternatives, state the mandatory performance requirements and how equivalence must be demonstrated.</w:t>
      </w:r>
    </w:p>
    <w:p>
      <w:r>
        <w:t>Avoid writing "or equivalent" without defining the criteria used to assess equivalence.</w:t>
      </w:r>
    </w:p>
    <w:p>
      <w:pPr>
        <w:pStyle w:val="Heading2"/>
      </w:pPr>
      <w:r>
        <w:t>8. Define functional requirements clearly</w:t>
      </w:r>
    </w:p>
    <w:p>
      <w:r>
        <w:t>A supplier must understand not only what equipment to provide but also what the resulting system must do.</w:t>
      </w:r>
    </w:p>
    <w:p>
      <w:r>
        <w:t>Functional requirements may cover:</w:t>
      </w:r>
    </w:p>
    <w:p>
      <w:pPr>
        <w:pStyle w:val="ListBullet"/>
      </w:pPr>
      <w:r>
        <w:t>Operating modes.</w:t>
      </w:r>
    </w:p>
    <w:p>
      <w:pPr>
        <w:pStyle w:val="ListBullet"/>
      </w:pPr>
      <w:r>
        <w:t>Automatic and manual operation.</w:t>
      </w:r>
    </w:p>
    <w:p>
      <w:pPr>
        <w:pStyle w:val="ListBullet"/>
      </w:pPr>
      <w:r>
        <w:t>Start, stop, reset, and restart behavior.</w:t>
      </w:r>
    </w:p>
    <w:p>
      <w:pPr>
        <w:pStyle w:val="ListBullet"/>
      </w:pPr>
      <w:r>
        <w:t>Sequence and handshake logic.</w:t>
      </w:r>
    </w:p>
    <w:p>
      <w:pPr>
        <w:pStyle w:val="ListBullet"/>
      </w:pPr>
      <w:r>
        <w:t>Interlocks and permissives.</w:t>
      </w:r>
    </w:p>
    <w:p>
      <w:pPr>
        <w:pStyle w:val="ListBullet"/>
      </w:pPr>
      <w:r>
        <w:t>Fault detection and recovery.</w:t>
      </w:r>
    </w:p>
    <w:p>
      <w:pPr>
        <w:pStyle w:val="ListBullet"/>
      </w:pPr>
      <w:r>
        <w:t>Alarm generation and acknowledgment.</w:t>
      </w:r>
    </w:p>
    <w:p>
      <w:pPr>
        <w:pStyle w:val="ListBullet"/>
      </w:pPr>
      <w:r>
        <w:t>HMI controls and diagnostics.</w:t>
      </w:r>
    </w:p>
    <w:p>
      <w:pPr>
        <w:pStyle w:val="ListBullet"/>
      </w:pPr>
      <w:r>
        <w:t>Production data and traceability.</w:t>
      </w:r>
    </w:p>
    <w:p>
      <w:pPr>
        <w:pStyle w:val="ListBullet"/>
      </w:pPr>
      <w:r>
        <w:t>Communication-loss behavior.</w:t>
      </w:r>
    </w:p>
    <w:p>
      <w:pPr>
        <w:pStyle w:val="ListBullet"/>
      </w:pPr>
      <w:r>
        <w:t>Performance and cycle-time requirements.</w:t>
      </w:r>
    </w:p>
    <w:p>
      <w:pPr>
        <w:pStyle w:val="ListBullet"/>
      </w:pPr>
      <w:r>
        <w:t>Acceptance and failure criteria.</w:t>
      </w:r>
    </w:p>
    <w:p>
      <w:r>
        <w:t>For example, "Provide PLC integration with the drive" is incomplete.</w:t>
      </w:r>
    </w:p>
    <w:p>
      <w:r>
        <w:t>A stronger requirement states that the PLC must command the drive through the specified interface, transmit the approved speed reference, monitor running and fault status, detect communication loss within the defined conditions, and respond according to the approved recovery strategy.</w:t>
      </w:r>
    </w:p>
    <w:p>
      <w:r>
        <w:t>Exact timeout values, response times, and performance limits should come from engineering requirements or a documented design decision, not arbitrary numbers inserted during procurement.</w:t>
      </w:r>
    </w:p>
    <w:p>
      <w:pPr>
        <w:pStyle w:val="Heading2"/>
      </w:pPr>
      <w:r>
        <w:t>9. Prepare the BOM and quantity schedule</w:t>
      </w:r>
    </w:p>
    <w:p>
      <w:r>
        <w:t>A Bill of Materials (BOM) lists the equipment and materials required for the proposed solution.</w:t>
      </w:r>
    </w:p>
    <w:p>
      <w:r>
        <w:t>For an RFQ, the BOM should contain sufficient information for suppliers to quote the correct items.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Item number</w:t>
            </w:r>
          </w:p>
        </w:tc>
        <w:tc>
          <w:tcPr>
            <w:tcW w:type="dxa" w:w="5400"/>
          </w:tcPr>
          <w:p>
            <w:pPr>
              <w:spacing w:after="0" w:before="0" w:line="240" w:lineRule="auto"/>
              <w:jc w:val="left"/>
            </w:pPr>
            <w:r>
              <w:t>001</w:t>
            </w:r>
          </w:p>
        </w:tc>
      </w:tr>
      <w:tr>
        <w:tc>
          <w:tcPr>
            <w:tcW w:type="dxa" w:w="5400"/>
          </w:tcPr>
          <w:p>
            <w:pPr>
              <w:spacing w:after="0" w:before="0" w:line="240" w:lineRule="auto"/>
              <w:jc w:val="left"/>
            </w:pPr>
            <w:r>
              <w:t>Equipment description</w:t>
            </w:r>
          </w:p>
        </w:tc>
        <w:tc>
          <w:tcPr>
            <w:tcW w:type="dxa" w:w="5400"/>
          </w:tcPr>
          <w:p>
            <w:pPr>
              <w:spacing w:after="0" w:before="0" w:line="240" w:lineRule="auto"/>
              <w:jc w:val="left"/>
            </w:pPr>
            <w:r>
              <w:t>Industrial PLC CPU</w:t>
            </w:r>
          </w:p>
        </w:tc>
      </w:tr>
      <w:tr>
        <w:tc>
          <w:tcPr>
            <w:tcW w:type="dxa" w:w="5400"/>
          </w:tcPr>
          <w:p>
            <w:pPr>
              <w:spacing w:after="0" w:before="0" w:line="240" w:lineRule="auto"/>
              <w:jc w:val="left"/>
            </w:pPr>
            <w:r>
              <w:t>Manufacturer or approved family</w:t>
            </w:r>
          </w:p>
        </w:tc>
        <w:tc>
          <w:tcPr>
            <w:tcW w:type="dxa" w:w="5400"/>
          </w:tcPr>
          <w:p>
            <w:pPr>
              <w:spacing w:after="0" w:before="0" w:line="240" w:lineRule="auto"/>
              <w:jc w:val="left"/>
            </w:pPr>
            <w:r>
              <w:t>As specified or approved equivalent</w:t>
            </w:r>
          </w:p>
        </w:tc>
      </w:tr>
      <w:tr>
        <w:tc>
          <w:tcPr>
            <w:tcW w:type="dxa" w:w="5400"/>
          </w:tcPr>
          <w:p>
            <w:pPr>
              <w:spacing w:after="0" w:before="0" w:line="240" w:lineRule="auto"/>
              <w:jc w:val="left"/>
            </w:pPr>
            <w:r>
              <w:t>Part number</w:t>
            </w:r>
          </w:p>
        </w:tc>
        <w:tc>
          <w:tcPr>
            <w:tcW w:type="dxa" w:w="5400"/>
          </w:tcPr>
          <w:p>
            <w:pPr>
              <w:spacing w:after="0" w:before="0" w:line="240" w:lineRule="auto"/>
              <w:jc w:val="left"/>
            </w:pPr>
            <w:r>
              <w:t>Required model where fixed</w:t>
            </w:r>
          </w:p>
        </w:tc>
      </w:tr>
      <w:tr>
        <w:tc>
          <w:tcPr>
            <w:tcW w:type="dxa" w:w="5400"/>
          </w:tcPr>
          <w:p>
            <w:pPr>
              <w:spacing w:after="0" w:before="0" w:line="240" w:lineRule="auto"/>
              <w:jc w:val="left"/>
            </w:pPr>
            <w:r>
              <w:t>Quantity</w:t>
            </w:r>
          </w:p>
        </w:tc>
        <w:tc>
          <w:tcPr>
            <w:tcW w:type="dxa" w:w="5400"/>
          </w:tcPr>
          <w:p>
            <w:pPr>
              <w:spacing w:after="0" w:before="0" w:line="240" w:lineRule="auto"/>
              <w:jc w:val="left"/>
            </w:pPr>
            <w:r>
              <w:t>1</w:t>
            </w:r>
          </w:p>
        </w:tc>
      </w:tr>
      <w:tr>
        <w:tc>
          <w:tcPr>
            <w:tcW w:type="dxa" w:w="5400"/>
          </w:tcPr>
          <w:p>
            <w:pPr>
              <w:spacing w:after="0" w:before="0" w:line="240" w:lineRule="auto"/>
              <w:jc w:val="left"/>
            </w:pPr>
            <w:r>
              <w:t>Technical reference</w:t>
            </w:r>
          </w:p>
        </w:tc>
        <w:tc>
          <w:tcPr>
            <w:tcW w:type="dxa" w:w="5400"/>
          </w:tcPr>
          <w:p>
            <w:pPr>
              <w:spacing w:after="0" w:before="0" w:line="240" w:lineRule="auto"/>
              <w:jc w:val="left"/>
            </w:pPr>
            <w:r>
              <w:t>PLC hardware specification</w:t>
            </w:r>
          </w:p>
        </w:tc>
      </w:tr>
      <w:tr>
        <w:tc>
          <w:tcPr>
            <w:tcW w:type="dxa" w:w="5400"/>
          </w:tcPr>
          <w:p>
            <w:pPr>
              <w:spacing w:after="0" w:before="0" w:line="240" w:lineRule="auto"/>
              <w:jc w:val="left"/>
            </w:pPr>
            <w:r>
              <w:t>Supply category</w:t>
            </w:r>
          </w:p>
        </w:tc>
        <w:tc>
          <w:tcPr>
            <w:tcW w:type="dxa" w:w="5400"/>
          </w:tcPr>
          <w:p>
            <w:pPr>
              <w:spacing w:after="0" w:before="0" w:line="240" w:lineRule="auto"/>
              <w:jc w:val="left"/>
            </w:pPr>
            <w:r>
              <w:t>Hardware</w:t>
            </w:r>
          </w:p>
        </w:tc>
      </w:tr>
      <w:tr>
        <w:tc>
          <w:tcPr>
            <w:tcW w:type="dxa" w:w="5400"/>
          </w:tcPr>
          <w:p>
            <w:pPr>
              <w:spacing w:after="0" w:before="0" w:line="240" w:lineRule="auto"/>
              <w:jc w:val="left"/>
            </w:pPr>
            <w:r>
              <w:t>Compliance status</w:t>
            </w:r>
          </w:p>
        </w:tc>
        <w:tc>
          <w:tcPr>
            <w:tcW w:type="dxa" w:w="5400"/>
          </w:tcPr>
          <w:p>
            <w:pPr>
              <w:spacing w:after="0" w:before="0" w:line="240" w:lineRule="auto"/>
              <w:jc w:val="left"/>
            </w:pPr>
            <w:r>
              <w:t>Mandatory specification</w:t>
            </w:r>
          </w:p>
        </w:tc>
      </w:tr>
      <w:tr>
        <w:tc>
          <w:tcPr>
            <w:tcW w:type="dxa" w:w="5400"/>
          </w:tcPr>
          <w:p>
            <w:pPr>
              <w:spacing w:after="0" w:before="0" w:line="240" w:lineRule="auto"/>
              <w:jc w:val="left"/>
            </w:pPr>
            <w:r>
              <w:t>Remarks</w:t>
            </w:r>
          </w:p>
        </w:tc>
        <w:tc>
          <w:tcPr>
            <w:tcW w:type="dxa" w:w="5400"/>
          </w:tcPr>
          <w:p>
            <w:pPr>
              <w:spacing w:after="0" w:before="0" w:line="240" w:lineRule="auto"/>
              <w:jc w:val="left"/>
            </w:pPr>
            <w:r>
              <w:t>Include required communication interface</w:t>
            </w:r>
          </w:p>
        </w:tc>
      </w:tr>
    </w:tbl>
    <w:p/>
    <w:p>
      <w:r>
        <w:t>For a retrofit, the BOM may also cover:</w:t>
      </w:r>
    </w:p>
    <w:p>
      <w:pPr>
        <w:pStyle w:val="ListBullet"/>
      </w:pPr>
      <w:r>
        <w:t>PLC CPUs and I/O modules.</w:t>
      </w:r>
    </w:p>
    <w:p>
      <w:pPr>
        <w:pStyle w:val="ListBullet"/>
      </w:pPr>
      <w:r>
        <w:t>Power supplies.</w:t>
      </w:r>
    </w:p>
    <w:p>
      <w:pPr>
        <w:pStyle w:val="ListBullet"/>
      </w:pPr>
      <w:r>
        <w:t>Industrial Ethernet switches.</w:t>
      </w:r>
    </w:p>
    <w:p>
      <w:pPr>
        <w:pStyle w:val="ListBullet"/>
      </w:pPr>
      <w:r>
        <w:t>Communication adapters.</w:t>
      </w:r>
    </w:p>
    <w:p>
      <w:pPr>
        <w:pStyle w:val="ListBullet"/>
      </w:pPr>
      <w:r>
        <w:t>HMI panels.</w:t>
      </w:r>
    </w:p>
    <w:p>
      <w:pPr>
        <w:pStyle w:val="ListBullet"/>
      </w:pPr>
      <w:r>
        <w:t>Drives and interface modules.</w:t>
      </w:r>
    </w:p>
    <w:p>
      <w:pPr>
        <w:pStyle w:val="ListBullet"/>
      </w:pPr>
      <w:r>
        <w:t>Sensors and actuators.</w:t>
      </w:r>
    </w:p>
    <w:p>
      <w:pPr>
        <w:pStyle w:val="ListBullet"/>
      </w:pPr>
      <w:r>
        <w:t>Relays and protective devices.</w:t>
      </w:r>
    </w:p>
    <w:p>
      <w:pPr>
        <w:pStyle w:val="ListBullet"/>
      </w:pPr>
      <w:r>
        <w:t>Terminals, connectors, and cables.</w:t>
      </w:r>
    </w:p>
    <w:p>
      <w:pPr>
        <w:pStyle w:val="ListBullet"/>
      </w:pPr>
      <w:r>
        <w:t>Panel accessories.</w:t>
      </w:r>
    </w:p>
    <w:p>
      <w:pPr>
        <w:pStyle w:val="ListBullet"/>
      </w:pPr>
      <w:r>
        <w:t>Software licenses.</w:t>
      </w:r>
    </w:p>
    <w:p>
      <w:pPr>
        <w:pStyle w:val="ListBullet"/>
      </w:pPr>
      <w:r>
        <w:t>Engineering and commissioning services.</w:t>
      </w:r>
    </w:p>
    <w:p>
      <w:r>
        <w:t>Distinguish between a firm quantity, an estimated quantity, a provisional item, and an optional item.</w:t>
      </w:r>
    </w:p>
    <w:p>
      <w:r>
        <w:t>If quantities depend on a site survey, state the assumption and explain how the final quantity will be confirmed.</w:t>
      </w:r>
    </w:p>
    <w:p>
      <w:pPr>
        <w:pStyle w:val="Heading2"/>
      </w:pPr>
      <w:r>
        <w:t>10. Define the scope of work and supply boundaries</w:t>
      </w:r>
    </w:p>
    <w:p>
      <w:r>
        <w:t>Scope definition determines what the supplier must provide and what remains the buyer's responsibility.</w:t>
      </w:r>
    </w:p>
    <w:p>
      <w:r>
        <w:t>For example, the scope might include hardware supply, application software development, panel modification, installation, commissioning, training, and handover.</w:t>
      </w:r>
    </w:p>
    <w:p>
      <w:r>
        <w:t>The RFQ should also identify exclusions and interfaces between the supplier and the plant team.</w:t>
      </w:r>
    </w:p>
    <w:p>
      <w:r>
        <w:t>A useful responsibility breakdown may include:</w:t>
      </w:r>
    </w:p>
    <w:p>
      <w:pPr>
        <w:pStyle w:val="ListBullet"/>
      </w:pPr>
      <w:r>
        <w:t>Hardware procurement.</w:t>
      </w:r>
    </w:p>
    <w:p>
      <w:pPr>
        <w:pStyle w:val="ListBullet"/>
      </w:pPr>
      <w:r>
        <w:t>Engineering and design.</w:t>
      </w:r>
    </w:p>
    <w:p>
      <w:pPr>
        <w:pStyle w:val="ListBullet"/>
      </w:pPr>
      <w:r>
        <w:t>Software development.</w:t>
      </w:r>
    </w:p>
    <w:p>
      <w:pPr>
        <w:pStyle w:val="ListBullet"/>
      </w:pPr>
      <w:r>
        <w:t>Panel fabrication and modification.</w:t>
      </w:r>
    </w:p>
    <w:p>
      <w:pPr>
        <w:pStyle w:val="ListBullet"/>
      </w:pPr>
      <w:r>
        <w:t>Cable and wiring work.</w:t>
      </w:r>
    </w:p>
    <w:p>
      <w:pPr>
        <w:pStyle w:val="ListBullet"/>
      </w:pPr>
      <w:r>
        <w:t>Mechanical integration.</w:t>
      </w:r>
    </w:p>
    <w:p>
      <w:pPr>
        <w:pStyle w:val="ListBullet"/>
      </w:pPr>
      <w:r>
        <w:t>Site installation.</w:t>
      </w:r>
    </w:p>
    <w:p>
      <w:pPr>
        <w:pStyle w:val="ListBullet"/>
      </w:pPr>
      <w:r>
        <w:t>Testing and commissioning.</w:t>
      </w:r>
    </w:p>
    <w:p>
      <w:pPr>
        <w:pStyle w:val="ListBullet"/>
      </w:pPr>
      <w:r>
        <w:t>Production trials.</w:t>
      </w:r>
    </w:p>
    <w:p>
      <w:pPr>
        <w:pStyle w:val="ListBullet"/>
      </w:pPr>
      <w:r>
        <w:t>Training.</w:t>
      </w:r>
    </w:p>
    <w:p>
      <w:pPr>
        <w:pStyle w:val="ListBullet"/>
      </w:pPr>
      <w:r>
        <w:t>Documentation and backups.</w:t>
      </w:r>
    </w:p>
    <w:p>
      <w:pPr>
        <w:pStyle w:val="ListBullet"/>
      </w:pPr>
      <w:r>
        <w:t>Warranty and post-installation support.</w:t>
      </w:r>
    </w:p>
    <w:p>
      <w:r>
        <w:t>State whether each activity is included, excluded, optional, or to be quoted separately.</w:t>
      </w:r>
    </w:p>
    <w:p>
      <w:r>
        <w:t>The detailed scope-of-supply topic is covered next in the study sequence. At the RFQ preparation stage, the important principle is that the scope must be clear enough for suppliers to prepare complete, comparable offers.</w:t>
      </w:r>
    </w:p>
    <w:p>
      <w:pPr>
        <w:pStyle w:val="Heading2"/>
      </w:pPr>
      <w:r>
        <w:t>11. Define site conditions and existing-system constraints</w:t>
      </w:r>
    </w:p>
    <w:p>
      <w:r>
        <w:t>Site conditions can materially affect the technical solution, price, and schedule.</w:t>
      </w:r>
    </w:p>
    <w:p>
      <w:r>
        <w:t>Record relevant information such as:</w:t>
      </w:r>
    </w:p>
    <w:p>
      <w:pPr>
        <w:pStyle w:val="ListBullet"/>
      </w:pPr>
      <w:r>
        <w:t>Available electrical supply.</w:t>
      </w:r>
    </w:p>
    <w:p>
      <w:pPr>
        <w:pStyle w:val="ListBullet"/>
      </w:pPr>
      <w:r>
        <w:t>Panel space and mounting constraints.</w:t>
      </w:r>
    </w:p>
    <w:p>
      <w:pPr>
        <w:pStyle w:val="ListBullet"/>
      </w:pPr>
      <w:r>
        <w:t>Ambient temperature, dust, moisture, vibration, and other environmental conditions.</w:t>
      </w:r>
    </w:p>
    <w:p>
      <w:pPr>
        <w:pStyle w:val="ListBullet"/>
      </w:pPr>
      <w:r>
        <w:t>Machine operating schedule.</w:t>
      </w:r>
    </w:p>
    <w:p>
      <w:pPr>
        <w:pStyle w:val="ListBullet"/>
      </w:pPr>
      <w:r>
        <w:t>Permitted shutdown windows.</w:t>
      </w:r>
    </w:p>
    <w:p>
      <w:pPr>
        <w:pStyle w:val="ListBullet"/>
      </w:pPr>
      <w:r>
        <w:t>Access restrictions.</w:t>
      </w:r>
    </w:p>
    <w:p>
      <w:pPr>
        <w:pStyle w:val="ListBullet"/>
      </w:pPr>
      <w:r>
        <w:t>Existing PLC, HMI, CNC, robot, and drive models.</w:t>
      </w:r>
    </w:p>
    <w:p>
      <w:pPr>
        <w:pStyle w:val="ListBullet"/>
      </w:pPr>
      <w:r>
        <w:t>Available network infrastructure.</w:t>
      </w:r>
    </w:p>
    <w:p>
      <w:pPr>
        <w:pStyle w:val="ListBullet"/>
      </w:pPr>
      <w:r>
        <w:t>Existing drawings and software backups.</w:t>
      </w:r>
    </w:p>
    <w:p>
      <w:pPr>
        <w:pStyle w:val="ListBullet"/>
      </w:pPr>
      <w:r>
        <w:t>Cable routing and field-device constraints.</w:t>
      </w:r>
    </w:p>
    <w:p>
      <w:pPr>
        <w:pStyle w:val="ListBullet"/>
      </w:pPr>
      <w:r>
        <w:t>IT/OT security requirements.</w:t>
      </w:r>
    </w:p>
    <w:p>
      <w:pPr>
        <w:pStyle w:val="ListBullet"/>
      </w:pPr>
      <w:r>
        <w:t>Production trial and acceptance arrangements.</w:t>
      </w:r>
    </w:p>
    <w:p>
      <w:r>
        <w:t>For a retrofit, specify whether a site survey is mandatory before the supplier submits a firm quotation.</w:t>
      </w:r>
    </w:p>
    <w:p>
      <w:r>
        <w:t>If drawings are incomplete or existing conditions cannot be verified, make the uncertainty explicit and define the supplier's responsibility for confirming them.</w:t>
      </w:r>
    </w:p>
    <w:p>
      <w:r>
        <w:t>This reduces the risk of receiving an unrealistically low quote that later grows through variations and additional work.</w:t>
      </w:r>
    </w:p>
    <w:p>
      <w:pPr>
        <w:pStyle w:val="Heading2"/>
      </w:pPr>
      <w:r>
        <w:t>12. Define testing and acceptance requirements</w:t>
      </w:r>
    </w:p>
    <w:p>
      <w:r>
        <w:t>Testing requirements must be defined before quotations are evaluated because testing effort affects cost, schedule, and technical compliance.</w:t>
      </w:r>
    </w:p>
    <w:p>
      <w:r>
        <w:t>Potential activities include:</w:t>
      </w:r>
    </w:p>
    <w:p>
      <w:pPr>
        <w:pStyle w:val="ListBullet"/>
      </w:pPr>
      <w:r>
        <w:t>Design review.</w:t>
      </w:r>
    </w:p>
    <w:p>
      <w:pPr>
        <w:pStyle w:val="ListBullet"/>
      </w:pPr>
      <w:r>
        <w:t>Factory Acceptance Test (FAT).</w:t>
      </w:r>
    </w:p>
    <w:p>
      <w:pPr>
        <w:pStyle w:val="ListBullet"/>
      </w:pPr>
      <w:r>
        <w:t>Hardware inspection.</w:t>
      </w:r>
    </w:p>
    <w:p>
      <w:pPr>
        <w:pStyle w:val="ListBullet"/>
      </w:pPr>
      <w:r>
        <w:t>I/O verification.</w:t>
      </w:r>
    </w:p>
    <w:p>
      <w:pPr>
        <w:pStyle w:val="ListBullet"/>
      </w:pPr>
      <w:r>
        <w:t>Software functional testing.</w:t>
      </w:r>
    </w:p>
    <w:p>
      <w:pPr>
        <w:pStyle w:val="ListBullet"/>
      </w:pPr>
      <w:r>
        <w:t>Communication and interface testing.</w:t>
      </w:r>
    </w:p>
    <w:p>
      <w:pPr>
        <w:pStyle w:val="ListBullet"/>
      </w:pPr>
      <w:r>
        <w:t>Site Acceptance Test (SAT).</w:t>
      </w:r>
    </w:p>
    <w:p>
      <w:pPr>
        <w:pStyle w:val="ListBullet"/>
      </w:pPr>
      <w:r>
        <w:t>Cycle-time verification.</w:t>
      </w:r>
    </w:p>
    <w:p>
      <w:pPr>
        <w:pStyle w:val="ListBullet"/>
      </w:pPr>
      <w:r>
        <w:t>Alarm and recovery testing.</w:t>
      </w:r>
    </w:p>
    <w:p>
      <w:pPr>
        <w:pStyle w:val="ListBullet"/>
      </w:pPr>
      <w:r>
        <w:t>Production trials.</w:t>
      </w:r>
    </w:p>
    <w:p>
      <w:pPr>
        <w:pStyle w:val="ListBullet"/>
      </w:pPr>
      <w:r>
        <w:t>Documentation review.</w:t>
      </w:r>
    </w:p>
    <w:p>
      <w:pPr>
        <w:pStyle w:val="ListBullet"/>
      </w:pPr>
      <w:r>
        <w:t>Training completion.</w:t>
      </w:r>
    </w:p>
    <w:p>
      <w:pPr>
        <w:pStyle w:val="ListBullet"/>
      </w:pPr>
      <w:r>
        <w:t>Final handover.</w:t>
      </w:r>
    </w:p>
    <w:p>
      <w:r>
        <w:t>For each applicable test, define:</w:t>
      </w:r>
    </w:p>
    <w:p>
      <w:pPr>
        <w:pStyle w:val="ListBullet"/>
      </w:pPr>
      <w:r>
        <w:t>Test scope.</w:t>
      </w:r>
    </w:p>
    <w:p>
      <w:pPr>
        <w:pStyle w:val="ListBullet"/>
      </w:pPr>
      <w:r>
        <w:t>Test environment and prerequisites.</w:t>
      </w:r>
    </w:p>
    <w:p>
      <w:pPr>
        <w:pStyle w:val="ListBullet"/>
      </w:pPr>
      <w:r>
        <w:t>Responsible parties.</w:t>
      </w:r>
    </w:p>
    <w:p>
      <w:pPr>
        <w:pStyle w:val="ListBullet"/>
      </w:pPr>
      <w:r>
        <w:t>Required procedures.</w:t>
      </w:r>
    </w:p>
    <w:p>
      <w:pPr>
        <w:pStyle w:val="ListBullet"/>
      </w:pPr>
      <w:r>
        <w:t>Expected results.</w:t>
      </w:r>
    </w:p>
    <w:p>
      <w:pPr>
        <w:pStyle w:val="ListBullet"/>
      </w:pPr>
      <w:r>
        <w:t>Acceptance criteria.</w:t>
      </w:r>
    </w:p>
    <w:p>
      <w:pPr>
        <w:pStyle w:val="ListBullet"/>
      </w:pPr>
      <w:r>
        <w:t>Evidence to be submitted.</w:t>
      </w:r>
    </w:p>
    <w:p>
      <w:pPr>
        <w:pStyle w:val="ListBullet"/>
      </w:pPr>
      <w:r>
        <w:t>Defect correction and retest requirements.</w:t>
      </w:r>
    </w:p>
    <w:p>
      <w:r>
        <w:t>FAT and SAT are not automatically necessary for every purchase. The required level should be based on project risk, complexity, contract, and organizational procedures.</w:t>
      </w:r>
    </w:p>
    <w:p>
      <w:r>
        <w:t>Avoid vague acceptance criteria such as "machine should work satisfactorily." Define measurable results where practical.</w:t>
      </w:r>
    </w:p>
    <w:p>
      <w:pPr>
        <w:pStyle w:val="Heading2"/>
      </w:pPr>
      <w:r>
        <w:t>13. Define the documentation deliverables</w:t>
      </w:r>
    </w:p>
    <w:p>
      <w:r>
        <w:t>Documentation is part of the delivered engineering solution, not optional paperwork to be requested after commissioning.</w:t>
      </w:r>
    </w:p>
    <w:p>
      <w:r>
        <w:t>Depending on the project, the RFQ may require:</w:t>
      </w:r>
    </w:p>
    <w:p>
      <w:pPr>
        <w:pStyle w:val="ListBullet"/>
      </w:pPr>
      <w:r>
        <w:t>General arrangement drawings.</w:t>
      </w:r>
    </w:p>
    <w:p>
      <w:pPr>
        <w:pStyle w:val="ListBullet"/>
      </w:pPr>
      <w:r>
        <w:t>Electrical schematics.</w:t>
      </w:r>
    </w:p>
    <w:p>
      <w:pPr>
        <w:pStyle w:val="ListBullet"/>
      </w:pPr>
      <w:r>
        <w:t>Panel layout and wiring drawings.</w:t>
      </w:r>
    </w:p>
    <w:p>
      <w:pPr>
        <w:pStyle w:val="ListBullet"/>
      </w:pPr>
      <w:r>
        <w:t>BOM and equipment datasheets.</w:t>
      </w:r>
    </w:p>
    <w:p>
      <w:pPr>
        <w:pStyle w:val="ListBullet"/>
      </w:pPr>
      <w:r>
        <w:t>PLC and HMI source projects.</w:t>
      </w:r>
    </w:p>
    <w:p>
      <w:pPr>
        <w:pStyle w:val="ListBullet"/>
      </w:pPr>
      <w:r>
        <w:t>Drive parameter backups.</w:t>
      </w:r>
    </w:p>
    <w:p>
      <w:pPr>
        <w:pStyle w:val="ListBullet"/>
      </w:pPr>
      <w:r>
        <w:t>Network topology and device-address records.</w:t>
      </w:r>
    </w:p>
    <w:p>
      <w:pPr>
        <w:pStyle w:val="ListBullet"/>
      </w:pPr>
      <w:r>
        <w:t>I/O list and tag database.</w:t>
      </w:r>
    </w:p>
    <w:p>
      <w:pPr>
        <w:pStyle w:val="ListBullet"/>
      </w:pPr>
      <w:r>
        <w:t>Functional and sequence descriptions.</w:t>
      </w:r>
    </w:p>
    <w:p>
      <w:pPr>
        <w:pStyle w:val="ListBullet"/>
      </w:pPr>
      <w:r>
        <w:t>Alarm and diagnostic lists.</w:t>
      </w:r>
    </w:p>
    <w:p>
      <w:pPr>
        <w:pStyle w:val="ListBullet"/>
      </w:pPr>
      <w:r>
        <w:t>FAT and SAT reports.</w:t>
      </w:r>
    </w:p>
    <w:p>
      <w:pPr>
        <w:pStyle w:val="ListBullet"/>
      </w:pPr>
      <w:r>
        <w:t>Test procedures and results.</w:t>
      </w:r>
    </w:p>
    <w:p>
      <w:pPr>
        <w:pStyle w:val="ListBullet"/>
      </w:pPr>
      <w:r>
        <w:t>Operation and maintenance manuals.</w:t>
      </w:r>
    </w:p>
    <w:p>
      <w:pPr>
        <w:pStyle w:val="ListBullet"/>
      </w:pPr>
      <w:r>
        <w:t>Troubleshooting procedures.</w:t>
      </w:r>
    </w:p>
    <w:p>
      <w:pPr>
        <w:pStyle w:val="ListBullet"/>
      </w:pPr>
      <w:r>
        <w:t>Backup and restoration instructions.</w:t>
      </w:r>
    </w:p>
    <w:p>
      <w:pPr>
        <w:pStyle w:val="ListBullet"/>
      </w:pPr>
      <w:r>
        <w:t>Spare-parts recommendations.</w:t>
      </w:r>
    </w:p>
    <w:p>
      <w:pPr>
        <w:pStyle w:val="ListBullet"/>
      </w:pPr>
      <w:r>
        <w:t>Training materials.</w:t>
      </w:r>
    </w:p>
    <w:p>
      <w:pPr>
        <w:pStyle w:val="ListBullet"/>
      </w:pPr>
      <w:r>
        <w:t>As-built documentation.</w:t>
      </w:r>
    </w:p>
    <w:p>
      <w:pPr>
        <w:pStyle w:val="ListBullet"/>
      </w:pPr>
      <w:r>
        <w:t>Software and firmware version records.</w:t>
      </w:r>
    </w:p>
    <w:p>
      <w:r>
        <w:t>Specify required formats, revision identification, submission deadlines, review cycles, and the delivery of editable source files where required.</w:t>
      </w:r>
    </w:p>
    <w:p>
      <w:r>
        <w:t>For example, a PDF of a PLC program printout is not necessarily equivalent to the editable project and configuration files needed to maintain the machine.</w:t>
      </w:r>
    </w:p>
    <w:p>
      <w:r>
        <w:t>Software ownership, intellectual-property rights, licenses, access credentials, and restrictions on reuse should be addressed in the applicable contractual terms.</w:t>
      </w:r>
    </w:p>
    <w:p>
      <w:pPr>
        <w:pStyle w:val="Heading2"/>
      </w:pPr>
      <w:r>
        <w:t>14. Define supplier qualification requirements</w:t>
      </w:r>
    </w:p>
    <w:p>
      <w:r>
        <w:t>A low price does not compensate for a supplier that cannot deliver, integrate, or support the required system.</w:t>
      </w:r>
    </w:p>
    <w:p>
      <w:r>
        <w:t>Supplier qualification may assess:</w:t>
      </w:r>
    </w:p>
    <w:p>
      <w:pPr>
        <w:pStyle w:val="ListBullet"/>
      </w:pPr>
      <w:r>
        <w:t>Relevant technical experience.</w:t>
      </w:r>
    </w:p>
    <w:p>
      <w:pPr>
        <w:pStyle w:val="ListBullet"/>
      </w:pPr>
      <w:r>
        <w:t>Experience with the specified automation platform.</w:t>
      </w:r>
    </w:p>
    <w:p>
      <w:pPr>
        <w:pStyle w:val="ListBullet"/>
      </w:pPr>
      <w:r>
        <w:t>Qualified engineering personnel.</w:t>
      </w:r>
    </w:p>
    <w:p>
      <w:pPr>
        <w:pStyle w:val="ListBullet"/>
      </w:pPr>
      <w:r>
        <w:t>References from comparable installations.</w:t>
      </w:r>
    </w:p>
    <w:p>
      <w:pPr>
        <w:pStyle w:val="ListBullet"/>
      </w:pPr>
      <w:r>
        <w:t>Quality-management arrangements.</w:t>
      </w:r>
    </w:p>
    <w:p>
      <w:pPr>
        <w:pStyle w:val="ListBullet"/>
      </w:pPr>
      <w:r>
        <w:t>Safety and statutory compliance where applicable.</w:t>
      </w:r>
    </w:p>
    <w:p>
      <w:pPr>
        <w:pStyle w:val="ListBullet"/>
      </w:pPr>
      <w:r>
        <w:t>Manufacturing and testing facilities.</w:t>
      </w:r>
    </w:p>
    <w:p>
      <w:pPr>
        <w:pStyle w:val="ListBullet"/>
      </w:pPr>
      <w:r>
        <w:t>Service support in the required region.</w:t>
      </w:r>
    </w:p>
    <w:p>
      <w:pPr>
        <w:pStyle w:val="ListBullet"/>
      </w:pPr>
      <w:r>
        <w:t>Spare-parts availability.</w:t>
      </w:r>
    </w:p>
    <w:p>
      <w:pPr>
        <w:pStyle w:val="ListBullet"/>
      </w:pPr>
      <w:r>
        <w:t>Financial and delivery capability.</w:t>
      </w:r>
    </w:p>
    <w:p>
      <w:pPr>
        <w:pStyle w:val="ListBullet"/>
      </w:pPr>
      <w:r>
        <w:t>Cybersecurity practices where relevant.</w:t>
      </w:r>
    </w:p>
    <w:p>
      <w:pPr>
        <w:pStyle w:val="ListBullet"/>
      </w:pPr>
      <w:r>
        <w:t>Ability to meet documentation and contractual requirements.</w:t>
      </w:r>
    </w:p>
    <w:p>
      <w:r>
        <w:t>The RFQ should distinguish mandatory eligibility criteria from desirable capabilities.</w:t>
      </w:r>
    </w:p>
    <w:p>
      <w:r>
        <w:t>If a criterion is mandatory, suppliers should know what evidence is required and what happens if they do not meet it.</w:t>
      </w:r>
    </w:p>
    <w:p>
      <w:pPr>
        <w:pStyle w:val="Heading2"/>
      </w:pPr>
      <w:r>
        <w:t>15. Prepare the commercial quotation format</w:t>
      </w:r>
    </w:p>
    <w:p>
      <w:r>
        <w:t>A common quotation template helps procurement compare suppliers on the same basis.</w:t>
      </w:r>
    </w:p>
    <w:p>
      <w:r>
        <w:t>Ask suppliers to separate relevant costs rather than submitting only a single total.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component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Hardware</w:t>
            </w:r>
          </w:p>
        </w:tc>
        <w:tc>
          <w:tcPr>
            <w:tcW w:type="dxa" w:w="5400"/>
          </w:tcPr>
          <w:p>
            <w:pPr>
              <w:spacing w:after="0" w:before="0" w:line="240" w:lineRule="auto"/>
              <w:jc w:val="left"/>
            </w:pPr>
            <w:r>
              <w:t>Equipment and materials</w:t>
            </w:r>
          </w:p>
        </w:tc>
      </w:tr>
      <w:tr>
        <w:tc>
          <w:tcPr>
            <w:tcW w:type="dxa" w:w="5400"/>
          </w:tcPr>
          <w:p>
            <w:pPr>
              <w:spacing w:after="0" w:before="0" w:line="240" w:lineRule="auto"/>
              <w:jc w:val="left"/>
            </w:pPr>
            <w:r>
              <w:t>Software and licenses</w:t>
            </w:r>
          </w:p>
        </w:tc>
        <w:tc>
          <w:tcPr>
            <w:tcW w:type="dxa" w:w="5400"/>
          </w:tcPr>
          <w:p>
            <w:pPr>
              <w:spacing w:after="0" w:before="0" w:line="240" w:lineRule="auto"/>
              <w:jc w:val="left"/>
            </w:pPr>
            <w:r>
              <w:t>Required programming, runtime, and other licenses</w:t>
            </w:r>
          </w:p>
        </w:tc>
      </w:tr>
      <w:tr>
        <w:tc>
          <w:tcPr>
            <w:tcW w:type="dxa" w:w="5400"/>
          </w:tcPr>
          <w:p>
            <w:pPr>
              <w:spacing w:after="0" w:before="0" w:line="240" w:lineRule="auto"/>
              <w:jc w:val="left"/>
            </w:pPr>
            <w:r>
              <w:t>Engineering</w:t>
            </w:r>
          </w:p>
        </w:tc>
        <w:tc>
          <w:tcPr>
            <w:tcW w:type="dxa" w:w="5400"/>
          </w:tcPr>
          <w:p>
            <w:pPr>
              <w:spacing w:after="0" w:before="0" w:line="240" w:lineRule="auto"/>
              <w:jc w:val="left"/>
            </w:pPr>
            <w:r>
              <w:t>Design, programming, and integration effort</w:t>
            </w:r>
          </w:p>
        </w:tc>
      </w:tr>
      <w:tr>
        <w:tc>
          <w:tcPr>
            <w:tcW w:type="dxa" w:w="5400"/>
          </w:tcPr>
          <w:p>
            <w:pPr>
              <w:spacing w:after="0" w:before="0" w:line="240" w:lineRule="auto"/>
              <w:jc w:val="left"/>
            </w:pPr>
            <w:r>
              <w:t>Panel work</w:t>
            </w:r>
          </w:p>
        </w:tc>
        <w:tc>
          <w:tcPr>
            <w:tcW w:type="dxa" w:w="5400"/>
          </w:tcPr>
          <w:p>
            <w:pPr>
              <w:spacing w:after="0" w:before="0" w:line="240" w:lineRule="auto"/>
              <w:jc w:val="left"/>
            </w:pPr>
            <w:r>
              <w:t>Fabrication or modification</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Site installation and wiring</w:t>
            </w:r>
          </w:p>
        </w:tc>
      </w:tr>
      <w:tr>
        <w:tc>
          <w:tcPr>
            <w:tcW w:type="dxa" w:w="5400"/>
          </w:tcPr>
          <w:p>
            <w:pPr>
              <w:spacing w:after="0" w:before="0" w:line="240" w:lineRule="auto"/>
              <w:jc w:val="left"/>
            </w:pPr>
            <w:r>
              <w:t>Testing</w:t>
            </w:r>
          </w:p>
        </w:tc>
        <w:tc>
          <w:tcPr>
            <w:tcW w:type="dxa" w:w="5400"/>
          </w:tcPr>
          <w:p>
            <w:pPr>
              <w:spacing w:after="0" w:before="0" w:line="240" w:lineRule="auto"/>
              <w:jc w:val="left"/>
            </w:pPr>
            <w:r>
              <w:t>FAT, SAT, and other specified tests</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Startup, tuning, and production trials</w:t>
            </w:r>
          </w:p>
        </w:tc>
      </w:tr>
      <w:tr>
        <w:tc>
          <w:tcPr>
            <w:tcW w:type="dxa" w:w="5400"/>
          </w:tcPr>
          <w:p>
            <w:pPr>
              <w:spacing w:after="0" w:before="0" w:line="240" w:lineRule="auto"/>
              <w:jc w:val="left"/>
            </w:pPr>
            <w:r>
              <w:t>Training</w:t>
            </w:r>
          </w:p>
        </w:tc>
        <w:tc>
          <w:tcPr>
            <w:tcW w:type="dxa" w:w="5400"/>
          </w:tcPr>
          <w:p>
            <w:pPr>
              <w:spacing w:after="0" w:before="0" w:line="240" w:lineRule="auto"/>
              <w:jc w:val="left"/>
            </w:pPr>
            <w:r>
              <w:t>Operator and maintenance training</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Required drawings, manuals, and backups</w:t>
            </w:r>
          </w:p>
        </w:tc>
      </w:tr>
      <w:tr>
        <w:tc>
          <w:tcPr>
            <w:tcW w:type="dxa" w:w="5400"/>
          </w:tcPr>
          <w:p>
            <w:pPr>
              <w:spacing w:after="0" w:before="0" w:line="240" w:lineRule="auto"/>
              <w:jc w:val="left"/>
            </w:pPr>
            <w:r>
              <w:t>Travel and accommodation</w:t>
            </w:r>
          </w:p>
        </w:tc>
        <w:tc>
          <w:tcPr>
            <w:tcW w:type="dxa" w:w="5400"/>
          </w:tcPr>
          <w:p>
            <w:pPr>
              <w:spacing w:after="0" w:before="0" w:line="240" w:lineRule="auto"/>
              <w:jc w:val="left"/>
            </w:pPr>
            <w:r>
              <w:t>Site-service expenses where applicable</w:t>
            </w:r>
          </w:p>
        </w:tc>
      </w:tr>
      <w:tr>
        <w:tc>
          <w:tcPr>
            <w:tcW w:type="dxa" w:w="5400"/>
          </w:tcPr>
          <w:p>
            <w:pPr>
              <w:spacing w:after="0" w:before="0" w:line="240" w:lineRule="auto"/>
              <w:jc w:val="left"/>
            </w:pPr>
            <w:r>
              <w:t>Optional items</w:t>
            </w:r>
          </w:p>
        </w:tc>
        <w:tc>
          <w:tcPr>
            <w:tcW w:type="dxa" w:w="5400"/>
          </w:tcPr>
          <w:p>
            <w:pPr>
              <w:spacing w:after="0" w:before="0" w:line="240" w:lineRule="auto"/>
              <w:jc w:val="left"/>
            </w:pPr>
            <w:r>
              <w:t>Separately priced non-mandatory requirements</w:t>
            </w:r>
          </w:p>
        </w:tc>
      </w:tr>
      <w:tr>
        <w:tc>
          <w:tcPr>
            <w:tcW w:type="dxa" w:w="5400"/>
          </w:tcPr>
          <w:p>
            <w:pPr>
              <w:spacing w:after="0" w:before="0" w:line="240" w:lineRule="auto"/>
              <w:jc w:val="left"/>
            </w:pPr>
            <w:r>
              <w:t>Taxes and duties</w:t>
            </w:r>
          </w:p>
        </w:tc>
        <w:tc>
          <w:tcPr>
            <w:tcW w:type="dxa" w:w="5400"/>
          </w:tcPr>
          <w:p>
            <w:pPr>
              <w:spacing w:after="0" w:before="0" w:line="240" w:lineRule="auto"/>
              <w:jc w:val="left"/>
            </w:pPr>
            <w:r>
              <w:t>Applicable tax and duty breakdown</w:t>
            </w:r>
          </w:p>
        </w:tc>
      </w:tr>
      <w:tr>
        <w:tc>
          <w:tcPr>
            <w:tcW w:type="dxa" w:w="5400"/>
          </w:tcPr>
          <w:p>
            <w:pPr>
              <w:spacing w:after="0" w:before="0" w:line="240" w:lineRule="auto"/>
              <w:jc w:val="left"/>
            </w:pPr>
            <w:r>
              <w:t>Freight and packing</w:t>
            </w:r>
          </w:p>
        </w:tc>
        <w:tc>
          <w:tcPr>
            <w:tcW w:type="dxa" w:w="5400"/>
          </w:tcPr>
          <w:p>
            <w:pPr>
              <w:spacing w:after="0" w:before="0" w:line="240" w:lineRule="auto"/>
              <w:jc w:val="left"/>
            </w:pPr>
            <w:r>
              <w:t>Transportation-related costs</w:t>
            </w:r>
          </w:p>
        </w:tc>
      </w:tr>
      <w:tr>
        <w:tc>
          <w:tcPr>
            <w:tcW w:type="dxa" w:w="5400"/>
          </w:tcPr>
          <w:p>
            <w:pPr>
              <w:spacing w:after="0" w:before="0" w:line="240" w:lineRule="auto"/>
              <w:jc w:val="left"/>
            </w:pPr>
            <w:r>
              <w:t>Total price</w:t>
            </w:r>
          </w:p>
        </w:tc>
        <w:tc>
          <w:tcPr>
            <w:tcW w:type="dxa" w:w="5400"/>
          </w:tcPr>
          <w:p>
            <w:pPr>
              <w:spacing w:after="0" w:before="0" w:line="240" w:lineRule="auto"/>
              <w:jc w:val="left"/>
            </w:pPr>
            <w:r>
              <w:t>Overall quoted amount on the stated basis</w:t>
            </w:r>
          </w:p>
        </w:tc>
      </w:tr>
    </w:tbl>
    <w:p/>
    <w:p>
      <w:r>
        <w:t>Specify the currency, tax treatment, quotation validity, delivery terms, payment terms, and whether freight, installation, and commissioning are included.</w:t>
      </w:r>
    </w:p>
    <w:p>
      <w:r>
        <w:t>For comparison, distinguish the quoted price from the evaluated total cost, which may include buyer-supplied items, lifecycle support, training, downtime, or other relevant costs.</w:t>
      </w:r>
    </w:p>
    <w:p>
      <w:pPr>
        <w:pStyle w:val="Heading2"/>
      </w:pPr>
      <w:r>
        <w:t>16. Define delivery and project milestones</w:t>
      </w:r>
    </w:p>
    <w:p>
      <w:r>
        <w:t>The RFQ should specify the required completion date or milestone structure, along with the information needed to evaluate the supplier's schedule.</w:t>
      </w:r>
    </w:p>
    <w:p>
      <w:r>
        <w:t>Potential milestones include:</w:t>
      </w:r>
    </w:p>
    <w:p>
      <w:pPr>
        <w:pStyle w:val="ListBullet"/>
      </w:pPr>
      <w:r>
        <w:t>Purchase order acknowledgment.</w:t>
      </w:r>
    </w:p>
    <w:p>
      <w:pPr>
        <w:pStyle w:val="ListBullet"/>
      </w:pPr>
      <w:r>
        <w:t>Design submission.</w:t>
      </w:r>
    </w:p>
    <w:p>
      <w:pPr>
        <w:pStyle w:val="ListBullet"/>
      </w:pPr>
      <w:r>
        <w:t>Design approval.</w:t>
      </w:r>
    </w:p>
    <w:p>
      <w:pPr>
        <w:pStyle w:val="ListBullet"/>
      </w:pPr>
      <w:r>
        <w:t>Hardware procurement.</w:t>
      </w:r>
    </w:p>
    <w:p>
      <w:pPr>
        <w:pStyle w:val="ListBullet"/>
      </w:pPr>
      <w:r>
        <w:t>Panel fabrication.</w:t>
      </w:r>
    </w:p>
    <w:p>
      <w:pPr>
        <w:pStyle w:val="ListBullet"/>
      </w:pPr>
      <w:r>
        <w:t>FAT readiness.</w:t>
      </w:r>
    </w:p>
    <w:p>
      <w:pPr>
        <w:pStyle w:val="ListBullet"/>
      </w:pPr>
      <w:r>
        <w:t>FAT completion.</w:t>
      </w:r>
    </w:p>
    <w:p>
      <w:pPr>
        <w:pStyle w:val="ListBullet"/>
      </w:pPr>
      <w:r>
        <w:t>Dispatch.</w:t>
      </w:r>
    </w:p>
    <w:p>
      <w:pPr>
        <w:pStyle w:val="ListBullet"/>
      </w:pPr>
      <w:r>
        <w:t>Site installation.</w:t>
      </w:r>
    </w:p>
    <w:p>
      <w:pPr>
        <w:pStyle w:val="ListBullet"/>
      </w:pPr>
      <w:r>
        <w:t>SAT completion.</w:t>
      </w:r>
    </w:p>
    <w:p>
      <w:pPr>
        <w:pStyle w:val="ListBullet"/>
      </w:pPr>
      <w:r>
        <w:t>Production acceptance.</w:t>
      </w:r>
    </w:p>
    <w:p>
      <w:pPr>
        <w:pStyle w:val="ListBullet"/>
      </w:pPr>
      <w:r>
        <w:t>Training and final handover.</w:t>
      </w:r>
    </w:p>
    <w:p>
      <w:r>
        <w:t>Request lead times, dependencies, resource assumptions, and the effect of delayed approvals or late customer inputs.</w:t>
      </w:r>
    </w:p>
    <w:p>
      <w:r>
        <w:t>A supplier's quoted delivery period must be understood clearly. It may refer to dispatch from the factory rather than arrival at the plant, installation, commissioning, or final acceptance.</w:t>
      </w:r>
    </w:p>
    <w:p>
      <w:pPr>
        <w:pStyle w:val="Heading2"/>
      </w:pPr>
      <w:r>
        <w:t>17. RFQ clarification management</w:t>
      </w:r>
    </w:p>
    <w:p>
      <w:r>
        <w:t>Suppliers may raise technical or commercial questions after receiving the RFQ.</w:t>
      </w:r>
    </w:p>
    <w:p>
      <w:r>
        <w:t>A controlled clarification process ensures that all bidders receive consistent information and that the procurement record remains traceable.</w:t>
      </w:r>
    </w:p>
    <w:p>
      <w:r>
        <w:t>Typical questions include:</w:t>
      </w:r>
    </w:p>
    <w:p>
      <w:pPr>
        <w:pStyle w:val="ListBullet"/>
      </w:pPr>
      <w:r>
        <w:t>Is the specified PLC model mandatory?</w:t>
      </w:r>
    </w:p>
    <w:p>
      <w:pPr>
        <w:pStyle w:val="ListBullet"/>
      </w:pPr>
      <w:r>
        <w:t>Is the existing network switch available for reuse?</w:t>
      </w:r>
    </w:p>
    <w:p>
      <w:pPr>
        <w:pStyle w:val="ListBullet"/>
      </w:pPr>
      <w:r>
        <w:t>Who provides field wiring?</w:t>
      </w:r>
    </w:p>
    <w:p>
      <w:pPr>
        <w:pStyle w:val="ListBullet"/>
      </w:pPr>
      <w:r>
        <w:t>Is software source-code handover required?</w:t>
      </w:r>
    </w:p>
    <w:p>
      <w:pPr>
        <w:pStyle w:val="ListBullet"/>
      </w:pPr>
      <w:r>
        <w:t>Are FAT and SAT mandatory?</w:t>
      </w:r>
    </w:p>
    <w:p>
      <w:pPr>
        <w:pStyle w:val="ListBullet"/>
      </w:pPr>
      <w:r>
        <w:t>Is the shutdown window fixed?</w:t>
      </w:r>
    </w:p>
    <w:p>
      <w:pPr>
        <w:pStyle w:val="ListBullet"/>
      </w:pPr>
      <w:r>
        <w:t>Are alternative components permitted?</w:t>
      </w:r>
    </w:p>
    <w:p>
      <w:pPr>
        <w:pStyle w:val="ListBullet"/>
      </w:pPr>
      <w:r>
        <w:t>Which party is responsible for machine-safety validation?</w:t>
      </w:r>
    </w:p>
    <w:p>
      <w:r>
        <w:t>Clarification responses should be recorded and reviewed by the appropriate technical, procurement, or contractual authority.</w:t>
      </w:r>
    </w:p>
    <w:p>
      <w:r>
        <w:t>If a response changes the RFQ requirement, issue a controlled amendment or revised document according to the procurement procedure. Communicate material changes to all affected bidders on an equitable basis.</w:t>
      </w:r>
    </w:p>
    <w:p>
      <w:r>
        <w:t>Do not allow important requirements to be changed informally through separate conversations with individual suppliers.</w:t>
      </w:r>
    </w:p>
    <w:p>
      <w:pPr>
        <w:pStyle w:val="Heading2"/>
      </w:pPr>
      <w:r>
        <w:t>18. RFQ review before release</w:t>
      </w:r>
    </w:p>
    <w:p>
      <w:r>
        <w:t>Before issuing the RFQ, perform a cross-functional review.</w:t>
      </w:r>
    </w:p>
    <w:p>
      <w:r>
        <w:t>Engineering checks technical completeness and compatibility. Maintenance checks maintainability and spare availability. Production checks operating constraints and shutdown requirements. Safety personnel review relevant safety requirements. Procurement checks commercial terms and bid instructions. Finance or project management checks budget and approval requirements.</w:t>
      </w:r>
    </w:p>
    <w:p>
      <w:r>
        <w:t>A release checklist should verify:</w:t>
      </w:r>
    </w:p>
    <w:p>
      <w:pPr>
        <w:pStyle w:val="ListBullet"/>
      </w:pPr>
      <w:r>
        <w:t>Requirement and project reference are correct.</w:t>
      </w:r>
    </w:p>
    <w:p>
      <w:pPr>
        <w:pStyle w:val="ListBullet"/>
      </w:pPr>
      <w:r>
        <w:t>Technical specifications are internally consistent.</w:t>
      </w:r>
    </w:p>
    <w:p>
      <w:pPr>
        <w:pStyle w:val="ListBullet"/>
      </w:pPr>
      <w:r>
        <w:t>BOM quantities and descriptions are checked.</w:t>
      </w:r>
    </w:p>
    <w:p>
      <w:pPr>
        <w:pStyle w:val="ListBullet"/>
      </w:pPr>
      <w:r>
        <w:t>Scope, exclusions, and interfaces are defined.</w:t>
      </w:r>
    </w:p>
    <w:p>
      <w:pPr>
        <w:pStyle w:val="ListBullet"/>
      </w:pPr>
      <w:r>
        <w:t>Required standards and compliance evidence are identified.</w:t>
      </w:r>
    </w:p>
    <w:p>
      <w:pPr>
        <w:pStyle w:val="ListBullet"/>
      </w:pPr>
      <w:r>
        <w:t>Site conditions and assumptions are documented.</w:t>
      </w:r>
    </w:p>
    <w:p>
      <w:pPr>
        <w:pStyle w:val="ListBullet"/>
      </w:pPr>
      <w:r>
        <w:t>Testing and acceptance criteria are defined.</w:t>
      </w:r>
    </w:p>
    <w:p>
      <w:pPr>
        <w:pStyle w:val="ListBullet"/>
      </w:pPr>
      <w:r>
        <w:t>Documentation deliverables are listed.</w:t>
      </w:r>
    </w:p>
    <w:p>
      <w:pPr>
        <w:pStyle w:val="ListBullet"/>
      </w:pPr>
      <w:r>
        <w:t>Commercial quotation format is included.</w:t>
      </w:r>
    </w:p>
    <w:p>
      <w:pPr>
        <w:pStyle w:val="ListBullet"/>
      </w:pPr>
      <w:r>
        <w:t>Delivery milestones and deadlines are clear.</w:t>
      </w:r>
    </w:p>
    <w:p>
      <w:pPr>
        <w:pStyle w:val="ListBullet"/>
      </w:pPr>
      <w:r>
        <w:t>Supplier eligibility criteria are defined.</w:t>
      </w:r>
    </w:p>
    <w:p>
      <w:pPr>
        <w:pStyle w:val="ListBullet"/>
      </w:pPr>
      <w:r>
        <w:t>Submission instructions and contacts are correct.</w:t>
      </w:r>
    </w:p>
    <w:p>
      <w:pPr>
        <w:pStyle w:val="ListBullet"/>
      </w:pPr>
      <w:r>
        <w:t>Required internal approvals are recorded.</w:t>
      </w:r>
    </w:p>
    <w:p>
      <w:pPr>
        <w:pStyle w:val="ListBullet"/>
      </w:pPr>
      <w:r>
        <w:t>Document revisions and attachments are complete.</w:t>
      </w:r>
    </w:p>
    <w:p>
      <w:r>
        <w:t>An RFQ should be issued only through the applicable authorized procurement process.</w:t>
      </w:r>
    </w:p>
    <w:p>
      <w:pPr>
        <w:pStyle w:val="Heading2"/>
      </w:pPr>
      <w:r>
        <w:t>19. Common RFQ preparation mistakes</w:t>
      </w:r>
    </w:p>
    <w:p>
      <w:pPr>
        <w:pStyle w:val="ListBullet"/>
      </w:pPr>
      <w:r>
        <w:t>Providing only equipment names without technical requirements.</w:t>
      </w:r>
    </w:p>
    <w:p>
      <w:pPr>
        <w:pStyle w:val="ListBullet"/>
      </w:pPr>
      <w:r>
        <w:t>Failing to distinguish mandatory items from optional items.</w:t>
      </w:r>
    </w:p>
    <w:p>
      <w:pPr>
        <w:pStyle w:val="ListBullet"/>
      </w:pPr>
      <w:r>
        <w:t>Omitting installation, programming, commissioning, or training.</w:t>
      </w:r>
    </w:p>
    <w:p>
      <w:pPr>
        <w:pStyle w:val="ListBullet"/>
      </w:pPr>
      <w:r>
        <w:t>Leaving supplier responsibilities unclear.</w:t>
      </w:r>
    </w:p>
    <w:p>
      <w:pPr>
        <w:pStyle w:val="ListBullet"/>
      </w:pPr>
      <w:r>
        <w:t>Using inconsistent specifications across the BOM and technical documents.</w:t>
      </w:r>
    </w:p>
    <w:p>
      <w:pPr>
        <w:pStyle w:val="ListBullet"/>
      </w:pPr>
      <w:r>
        <w:t>Failing to describe existing-machine constraints.</w:t>
      </w:r>
    </w:p>
    <w:p>
      <w:pPr>
        <w:pStyle w:val="ListBullet"/>
      </w:pPr>
      <w:r>
        <w:t>Ignoring software licenses and source-project handover.</w:t>
      </w:r>
    </w:p>
    <w:p>
      <w:pPr>
        <w:pStyle w:val="ListBullet"/>
      </w:pPr>
      <w:r>
        <w:t>Omitting acceptance criteria.</w:t>
      </w:r>
    </w:p>
    <w:p>
      <w:pPr>
        <w:pStyle w:val="ListBullet"/>
      </w:pPr>
      <w:r>
        <w:t>Requesting delivery without defining the completion milestone.</w:t>
      </w:r>
    </w:p>
    <w:p>
      <w:pPr>
        <w:pStyle w:val="ListBullet"/>
      </w:pPr>
      <w:r>
        <w:t>Allowing undocumented assumptions to affect supplier pricing.</w:t>
      </w:r>
    </w:p>
    <w:p>
      <w:pPr>
        <w:pStyle w:val="ListBullet"/>
      </w:pPr>
      <w:r>
        <w:t>Comparing quotations with different commercial boundaries.</w:t>
      </w:r>
    </w:p>
    <w:p>
      <w:pPr>
        <w:pStyle w:val="ListBullet"/>
      </w:pPr>
      <w:r>
        <w:t>Failing to control supplier clarifications and RFQ revisions.</w:t>
      </w:r>
    </w:p>
    <w:p>
      <w:pPr>
        <w:pStyle w:val="ListBullet"/>
      </w:pPr>
      <w:r>
        <w:t>Accepting "equivalent" equipment without defined evaluation criteria.</w:t>
      </w:r>
    </w:p>
    <w:p>
      <w:pPr>
        <w:pStyle w:val="ListBullet"/>
      </w:pPr>
      <w:r>
        <w:t>Issuing the RFQ before required internal approvals.</w:t>
      </w:r>
    </w:p>
    <w:p>
      <w:r>
        <w:t>Most procurement disputes do not begin with a dramatic contractual crisis. They often begin with one missing sentence in a specification that several people assumed someone else had written.</w:t>
      </w:r>
    </w:p>
    <w:p>
      <w:pPr>
        <w:pStyle w:val="Heading2"/>
      </w:pPr>
      <w:r>
        <w:t>20. Practical example: RFQ for a PLC retrofit</w:t>
      </w:r>
    </w:p>
    <w:p>
      <w:r>
        <w:t>Assume a production machine has an obsolete PLC, limited diagnostic capability, and poor availability of replacement modules.</w:t>
      </w:r>
    </w:p>
    <w:p>
      <w:r>
        <w:t>The RFQ preparation team should establish the following before requesting quotations.</w:t>
      </w:r>
    </w:p>
    <w:p>
      <w:r>
        <w:t>Technical requirement</w:t>
      </w:r>
    </w:p>
    <w:p>
      <w:pPr>
        <w:pStyle w:val="ListBullet"/>
      </w:pPr>
      <w:r>
        <w:t>Replace the obsolete controller with a supported solution.</w:t>
      </w:r>
    </w:p>
    <w:p>
      <w:pPr>
        <w:pStyle w:val="ListBullet"/>
      </w:pPr>
      <w:r>
        <w:t>Preserve required machine functions and interfaces.</w:t>
      </w:r>
    </w:p>
    <w:p>
      <w:pPr>
        <w:pStyle w:val="ListBullet"/>
      </w:pPr>
      <w:r>
        <w:t>Define required I/O capacity and spare allowance.</w:t>
      </w:r>
    </w:p>
    <w:p>
      <w:pPr>
        <w:pStyle w:val="ListBullet"/>
      </w:pPr>
      <w:r>
        <w:t>Maintain communication with the existing drives, HMI, and connected equipment where feasible.</w:t>
      </w:r>
    </w:p>
    <w:p>
      <w:pPr>
        <w:pStyle w:val="ListBullet"/>
      </w:pPr>
      <w:r>
        <w:t>Define diagnostics, fault handling, and recovery behavior.</w:t>
      </w:r>
    </w:p>
    <w:p>
      <w:pPr>
        <w:pStyle w:val="ListBullet"/>
      </w:pPr>
      <w:r>
        <w:t>Identify any safety-related functions requiring assessment.</w:t>
      </w:r>
    </w:p>
    <w:p>
      <w:r>
        <w:t>Supplier scope</w:t>
      </w:r>
    </w:p>
    <w:p>
      <w:pPr>
        <w:pStyle w:val="ListBullet"/>
      </w:pPr>
      <w:r>
        <w:t>Engineering and hardware selection.</w:t>
      </w:r>
    </w:p>
    <w:p>
      <w:pPr>
        <w:pStyle w:val="ListBullet"/>
      </w:pPr>
      <w:r>
        <w:t>Software migration or redevelopment.</w:t>
      </w:r>
    </w:p>
    <w:p>
      <w:pPr>
        <w:pStyle w:val="ListBullet"/>
      </w:pPr>
      <w:r>
        <w:t>Panel and wiring modifications as defined.</w:t>
      </w:r>
    </w:p>
    <w:p>
      <w:pPr>
        <w:pStyle w:val="ListBullet"/>
      </w:pPr>
      <w:r>
        <w:t>Testing, installation, and commissioning.</w:t>
      </w:r>
    </w:p>
    <w:p>
      <w:pPr>
        <w:pStyle w:val="ListBullet"/>
      </w:pPr>
      <w:r>
        <w:t>Required training and documentation.</w:t>
      </w:r>
    </w:p>
    <w:p>
      <w:pPr>
        <w:pStyle w:val="ListBullet"/>
      </w:pPr>
      <w:r>
        <w:t>Editable software projects and configuration backups.</w:t>
      </w:r>
    </w:p>
    <w:p>
      <w:r>
        <w:t>Commercial requirement</w:t>
      </w:r>
    </w:p>
    <w:p>
      <w:pPr>
        <w:pStyle w:val="ListBullet"/>
      </w:pPr>
      <w:r>
        <w:t>Separate hardware, engineering, installation, testing, and commissioning costs.</w:t>
      </w:r>
    </w:p>
    <w:p>
      <w:pPr>
        <w:pStyle w:val="ListBullet"/>
      </w:pPr>
      <w:r>
        <w:t>Identify exclusions and optional items.</w:t>
      </w:r>
    </w:p>
    <w:p>
      <w:pPr>
        <w:pStyle w:val="ListBullet"/>
      </w:pPr>
      <w:r>
        <w:t>State delivery lead times, warranty, and payment terms.</w:t>
      </w:r>
    </w:p>
    <w:p>
      <w:pPr>
        <w:pStyle w:val="ListBullet"/>
      </w:pPr>
      <w:r>
        <w:t>Provide a breakdown of taxes, freight, and other applicable charges.</w:t>
      </w:r>
    </w:p>
    <w:p>
      <w:r>
        <w:t>Acceptance requirement</w:t>
      </w:r>
    </w:p>
    <w:p>
      <w:pPr>
        <w:pStyle w:val="ListBullet"/>
      </w:pPr>
      <w:r>
        <w:t>Verify I/O and interfaces.</w:t>
      </w:r>
    </w:p>
    <w:p>
      <w:pPr>
        <w:pStyle w:val="ListBullet"/>
      </w:pPr>
      <w:r>
        <w:t>Test required operating sequences.</w:t>
      </w:r>
    </w:p>
    <w:p>
      <w:pPr>
        <w:pStyle w:val="ListBullet"/>
      </w:pPr>
      <w:r>
        <w:t>Verify alarms, interlocks, and recovery behavior.</w:t>
      </w:r>
    </w:p>
    <w:p>
      <w:pPr>
        <w:pStyle w:val="ListBullet"/>
      </w:pPr>
      <w:r>
        <w:t>Complete required FAT or SAT activities.</w:t>
      </w:r>
    </w:p>
    <w:p>
      <w:pPr>
        <w:pStyle w:val="ListBullet"/>
      </w:pPr>
      <w:r>
        <w:t>Confirm documentation and backups.</w:t>
      </w:r>
    </w:p>
    <w:p>
      <w:pPr>
        <w:pStyle w:val="ListBullet"/>
      </w:pPr>
      <w:r>
        <w:t>Record final acceptance.</w:t>
      </w:r>
    </w:p>
    <w:p>
      <w:r>
        <w:t>The RFQ should identify the existing conditions and the information the supplier must verify before committing to a final solution.</w:t>
      </w:r>
    </w:p>
    <w:p>
      <w:pPr>
        <w:pStyle w:val="Heading2"/>
      </w:pPr>
      <w:r>
        <w:t>21. Evaluate RFQ quality before release</w:t>
      </w:r>
    </w:p>
    <w:p>
      <w:r>
        <w:t>RFQ quality can be assessed using a structured checklist or weighted review.</w:t>
      </w:r>
    </w:p>
    <w:p>
      <w:r>
        <w:t>Possible evaluation dimensions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Dimension</w:t>
            </w:r>
          </w:p>
        </w:tc>
        <w:tc>
          <w:tcPr>
            <w:tcW w:type="dxa" w:w="5400"/>
            <w:shd w:val="clear" w:color="auto" w:fill="EEF2F7"/>
          </w:tcPr>
          <w:p>
            <w:pPr>
              <w:spacing w:after="0" w:before="0" w:line="240" w:lineRule="auto"/>
              <w:jc w:val="left"/>
            </w:pPr>
            <w:r>
              <w:rPr>
                <w:b/>
                <w:color w:val="1A2E4A"/>
              </w:rPr>
              <w:t>What to check</w:t>
            </w:r>
          </w:p>
        </w:tc>
      </w:tr>
      <w:tr>
        <w:tc>
          <w:tcPr>
            <w:tcW w:type="dxa" w:w="5400"/>
          </w:tcPr>
          <w:p>
            <w:pPr>
              <w:spacing w:after="0" w:before="0" w:line="240" w:lineRule="auto"/>
              <w:jc w:val="left"/>
            </w:pPr>
            <w:r>
              <w:t>Technical completeness</w:t>
            </w:r>
          </w:p>
        </w:tc>
        <w:tc>
          <w:tcPr>
            <w:tcW w:type="dxa" w:w="5400"/>
          </w:tcPr>
          <w:p>
            <w:pPr>
              <w:spacing w:after="0" w:before="0" w:line="240" w:lineRule="auto"/>
              <w:jc w:val="left"/>
            </w:pPr>
            <w:r>
              <w:t>Are performance, interfaces, and equipment requirements defined?</w:t>
            </w:r>
          </w:p>
        </w:tc>
      </w:tr>
      <w:tr>
        <w:tc>
          <w:tcPr>
            <w:tcW w:type="dxa" w:w="5400"/>
          </w:tcPr>
          <w:p>
            <w:pPr>
              <w:spacing w:after="0" w:before="0" w:line="240" w:lineRule="auto"/>
              <w:jc w:val="left"/>
            </w:pPr>
            <w:r>
              <w:t>Scope clarity</w:t>
            </w:r>
          </w:p>
        </w:tc>
        <w:tc>
          <w:tcPr>
            <w:tcW w:type="dxa" w:w="5400"/>
          </w:tcPr>
          <w:p>
            <w:pPr>
              <w:spacing w:after="0" w:before="0" w:line="240" w:lineRule="auto"/>
              <w:jc w:val="left"/>
            </w:pPr>
            <w:r>
              <w:t>Are deliverables, exclusions, and responsibilities explicit?</w:t>
            </w:r>
          </w:p>
        </w:tc>
      </w:tr>
      <w:tr>
        <w:tc>
          <w:tcPr>
            <w:tcW w:type="dxa" w:w="5400"/>
          </w:tcPr>
          <w:p>
            <w:pPr>
              <w:spacing w:after="0" w:before="0" w:line="240" w:lineRule="auto"/>
              <w:jc w:val="left"/>
            </w:pPr>
            <w:r>
              <w:t>Commercial comparability</w:t>
            </w:r>
          </w:p>
        </w:tc>
        <w:tc>
          <w:tcPr>
            <w:tcW w:type="dxa" w:w="5400"/>
          </w:tcPr>
          <w:p>
            <w:pPr>
              <w:spacing w:after="0" w:before="0" w:line="240" w:lineRule="auto"/>
              <w:jc w:val="left"/>
            </w:pPr>
            <w:r>
              <w:t>Can suppliers quote against the same pricing structure?</w:t>
            </w:r>
          </w:p>
        </w:tc>
      </w:tr>
      <w:tr>
        <w:tc>
          <w:tcPr>
            <w:tcW w:type="dxa" w:w="5400"/>
          </w:tcPr>
          <w:p>
            <w:pPr>
              <w:spacing w:after="0" w:before="0" w:line="240" w:lineRule="auto"/>
              <w:jc w:val="left"/>
            </w:pPr>
            <w:r>
              <w:t>Risk control</w:t>
            </w:r>
          </w:p>
        </w:tc>
        <w:tc>
          <w:tcPr>
            <w:tcW w:type="dxa" w:w="5400"/>
          </w:tcPr>
          <w:p>
            <w:pPr>
              <w:spacing w:after="0" w:before="0" w:line="240" w:lineRule="auto"/>
              <w:jc w:val="left"/>
            </w:pPr>
            <w:r>
              <w:t>Are material technical, operational, and safety risks addressed?</w:t>
            </w:r>
          </w:p>
        </w:tc>
      </w:tr>
      <w:tr>
        <w:tc>
          <w:tcPr>
            <w:tcW w:type="dxa" w:w="5400"/>
          </w:tcPr>
          <w:p>
            <w:pPr>
              <w:spacing w:after="0" w:before="0" w:line="240" w:lineRule="auto"/>
              <w:jc w:val="left"/>
            </w:pPr>
            <w:r>
              <w:t>Acceptance clarity</w:t>
            </w:r>
          </w:p>
        </w:tc>
        <w:tc>
          <w:tcPr>
            <w:tcW w:type="dxa" w:w="5400"/>
          </w:tcPr>
          <w:p>
            <w:pPr>
              <w:spacing w:after="0" w:before="0" w:line="240" w:lineRule="auto"/>
              <w:jc w:val="left"/>
            </w:pPr>
            <w:r>
              <w:t>Are tests and acceptance criteria measurable?</w:t>
            </w:r>
          </w:p>
        </w:tc>
      </w:tr>
      <w:tr>
        <w:tc>
          <w:tcPr>
            <w:tcW w:type="dxa" w:w="5400"/>
          </w:tcPr>
          <w:p>
            <w:pPr>
              <w:spacing w:after="0" w:before="0" w:line="240" w:lineRule="auto"/>
              <w:jc w:val="left"/>
            </w:pPr>
            <w:r>
              <w:t>Schedule realism</w:t>
            </w:r>
          </w:p>
        </w:tc>
        <w:tc>
          <w:tcPr>
            <w:tcW w:type="dxa" w:w="5400"/>
          </w:tcPr>
          <w:p>
            <w:pPr>
              <w:spacing w:after="0" w:before="0" w:line="240" w:lineRule="auto"/>
              <w:jc w:val="left"/>
            </w:pPr>
            <w:r>
              <w:t>Are lead times, milestones, and dependencies identified?</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Are required records and source files specified?</w:t>
            </w:r>
          </w:p>
        </w:tc>
      </w:tr>
      <w:tr>
        <w:tc>
          <w:tcPr>
            <w:tcW w:type="dxa" w:w="5400"/>
          </w:tcPr>
          <w:p>
            <w:pPr>
              <w:spacing w:after="0" w:before="0" w:line="240" w:lineRule="auto"/>
              <w:jc w:val="left"/>
            </w:pPr>
            <w:r>
              <w:t>Governance</w:t>
            </w:r>
          </w:p>
        </w:tc>
        <w:tc>
          <w:tcPr>
            <w:tcW w:type="dxa" w:w="5400"/>
          </w:tcPr>
          <w:p>
            <w:pPr>
              <w:spacing w:after="0" w:before="0" w:line="240" w:lineRule="auto"/>
              <w:jc w:val="left"/>
            </w:pPr>
            <w:r>
              <w:t>Are revisions, clarifications, and approvals controlled?</w:t>
            </w:r>
          </w:p>
        </w:tc>
      </w:tr>
    </w:tbl>
    <w:p/>
    <w:p>
      <w:r>
        <w:t>A weighted score can help prioritize gaps, but it should not override mandatory requirements or required approvals.</w:t>
      </w:r>
    </w:p>
    <w:p>
      <w:r>
        <w:t>For example, a high overall score must not compensate for an unresolved critical safety requirement.</w:t>
      </w:r>
    </w:p>
    <w:p>
      <w:pPr>
        <w:pStyle w:val="Heading2"/>
      </w:pPr>
      <w:r>
        <w:t>22. Interview questions and answers</w:t>
      </w:r>
    </w:p>
    <w:p>
      <w:r>
        <w:t>1\. What is an RFQ?</w:t>
      </w:r>
    </w:p>
    <w:p>
      <w:r>
        <w:t>A Request for Quotation is a formal procurement package used to obtain supplier offers against a defined technical and commercial requirement.</w:t>
      </w:r>
    </w:p>
    <w:p>
      <w:r>
        <w:t>2\. What is the main objective of RFQ preparation?</w:t>
      </w:r>
    </w:p>
    <w:p>
      <w:r>
        <w:t>To communicate a clear, complete, and comparable requirement so that suppliers can submit technically suitable and commercially transparent quotations.</w:t>
      </w:r>
    </w:p>
    <w:p>
      <w:r>
        <w:t>3\. What documents are commonly included in an automation RFQ?</w:t>
      </w:r>
    </w:p>
    <w:p>
      <w:r>
        <w:t>Technical specifications, scope of supply, BOM, functional requirements, relevant drawings, testing requirements, documentation requirements, delivery schedule, commercial format, and applicable terms and conditions.</w:t>
      </w:r>
    </w:p>
    <w:p>
      <w:r>
        <w:t>4\. Why must the scope of supply be clearly defined?</w:t>
      </w:r>
    </w:p>
    <w:p>
      <w:r>
        <w:t>It prevents gaps, overlapping responsibilities, hidden costs, and disputes about what the supplier is expected to deliver.</w:t>
      </w:r>
    </w:p>
    <w:p>
      <w:r>
        <w:t>5\. What is the difference between a technical specification and a BOM?</w:t>
      </w:r>
    </w:p>
    <w:p>
      <w:r>
        <w:t>The technical specification defines required characteristics and performance. The BOM identifies the equipment and materials, including quantities and relevant item details.</w:t>
      </w:r>
    </w:p>
    <w:p>
      <w:r>
        <w:t>6\. Why should the RFQ define acceptance criteria?</w:t>
      </w:r>
    </w:p>
    <w:p>
      <w:r>
        <w:t>Acceptance criteria establish how the delivered system will be judged against the requirement and allow suppliers to account for the necessary testing and correction effort.</w:t>
      </w:r>
    </w:p>
    <w:p>
      <w:r>
        <w:t>7\. How should a supplier's proposed alternative component be handled?</w:t>
      </w:r>
    </w:p>
    <w:p>
      <w:r>
        <w:t>Evaluate it against defined technical and contractual requirements, verify compatibility and equivalence, assess cost and schedule impacts, and obtain the required approval.</w:t>
      </w:r>
    </w:p>
    <w:p>
      <w:r>
        <w:t>8\. Why should software handover be included in an automation RFQ?</w:t>
      </w:r>
    </w:p>
    <w:p>
      <w:r>
        <w:t>It helps ensure that the plant can maintain, troubleshoot, restore, and modify the delivered system within the applicable licensing and intellectual-property conditions.</w:t>
      </w:r>
    </w:p>
    <w:p>
      <w:r>
        <w:t>9\. How can suppliers' quotations be made comparable?</w:t>
      </w:r>
    </w:p>
    <w:p>
      <w:r>
        <w:t>Use common technical requirements, defined scope boundaries, standardized price-breakdown formats, consistent delivery expectations, and controlled clarification responses.</w:t>
      </w:r>
    </w:p>
    <w:p>
      <w:r>
        <w:t>10\. What is the difference between RFQ preparation and technical bid evaluation?</w:t>
      </w:r>
    </w:p>
    <w:p>
      <w:r>
        <w:t>RFQ preparation defines the requirement and the rules for responding. Technical bid evaluation assesses supplier offers against those requirements after quotations are received.</w:t>
      </w:r>
    </w:p>
    <w:p>
      <w:r>
        <w:t>11\. What should happen if the RFQ contains an error after release?</w:t>
      </w:r>
    </w:p>
    <w:p>
      <w:r>
        <w:t>Use the authorized clarification or amendment process, communicate the correction to affected bidders, and preserve the revision history.</w:t>
      </w:r>
    </w:p>
    <w:p>
      <w:r>
        <w:t>12\. What is the most important principle in RFQ preparation?</w:t>
      </w:r>
    </w:p>
    <w:p>
      <w:r>
        <w:t>Define what is required, who is responsible for each deliverable, how compliance will be demonstrated, and how the final result will be accepted.</w:t>
      </w:r>
    </w:p>
    <w:p>
      <w:pPr>
        <w:pStyle w:val="Heading2"/>
      </w:pPr>
      <w:r>
        <w:t>23. Final engineering principle</w:t>
      </w:r>
    </w:p>
    <w:p>
      <w:r>
        <w:t>An RFQ translates an approved engineering need into a procurement-ready requirement. Its quality determines how well suppliers understand the expected solution, how reliably their quotations can be compared, and how much uncertainty remains when the purchase order is issued.</w:t>
      </w:r>
    </w:p>
    <w:p>
      <w:r>
        <w:t>For industrial automation, a good RFQ covers the complete deliverable: equipment, interfaces, engineering, implementation, verification, documentation, support, and acceptance. A component list alone is not an adequate substitute.</w:t>
      </w:r>
    </w:p>
    <w:p>
      <w:pPr>
        <w:pStyle w:val="Heading2"/>
      </w:pPr>
      <w:r>
        <w:t>NEXT TOPIC</w:t>
      </w:r>
    </w:p>
    <w:p>
      <w:r>
        <w:rPr>
          <w:rFonts w:ascii="Consolas" w:hAnsi="Consolas"/>
          <w:color w:val="333333"/>
          <w:sz w:val="19"/>
          <w:shd w:val="clear" w:color="auto" w:fill="EFEFEF"/>
        </w:rPr>
        <w:t>02_PLAN_WISE_2026\02_INDUSTRY3_0\09_Procurement\01_RFQ\02_Scope_Supply - Scope of supply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02_PLAN_WISE_2026\02_INDUSTRY3_0\09_Procurement\01_RFQ\01_RFQ_Preparation - RFQ preparation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