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02_PLAN_WISE_2026\02_INDUSTRY3_0\09_Procurement\01_RFQ\04_Quantity - Quantity</w:t>
      </w:r>
    </w:p>
    <w:p>
      <w:pPr>
        <w:pStyle w:val="Heading2"/>
      </w:pPr>
      <w:r>
        <w:t>1. What is quantity in procurement?</w:t>
      </w:r>
    </w:p>
    <w:p>
      <w:r>
        <w:t>Quantity is the defined number, amount, length, capacity, or volume of each item, material, equipment, or service required for a project or purchase.</w:t>
      </w:r>
    </w:p>
    <w:p>
      <w:r>
        <w:t>In industrial automation procurement, quantity determines what the supplier must quote and deliver. It directly affects cost estimation, BOM preparation, stock planning, installation, spare availability, and project completion.</w:t>
      </w:r>
    </w:p>
    <w:p>
      <w:r>
        <w:t>For example, an RFQ for a PLC retrofit may require one PLC CPU, four digital input modules, two digital output modules, one HMI, one communication switch, and a specified number of terminals and cables.</w:t>
      </w:r>
    </w:p>
    <w:p>
      <w:r>
        <w:t>If quantities are incorrect, the project may face shortages, excess inventory, cost overruns, procurement delays, or unnecessary material accumulation.</w:t>
      </w:r>
    </w:p>
    <w:p>
      <w:r>
        <w:t>Quantity is not simply a number copied into a purchase request. It must be derived from the design, installation requirements, operating conditions, spare strategy, and approved scope of supply.</w:t>
      </w:r>
    </w:p>
    <w:p>
      <w:pPr>
        <w:pStyle w:val="Heading2"/>
      </w:pPr>
      <w:r>
        <w:t>2. Objectives of quantity definition</w:t>
      </w:r>
    </w:p>
    <w:p>
      <w:r>
        <w:t>The objectives are to:</w:t>
      </w:r>
    </w:p>
    <w:p>
      <w:pPr>
        <w:pStyle w:val="ListBullet"/>
      </w:pPr>
      <w:r>
        <w:t>Establish the exact quantity of each required item.</w:t>
      </w:r>
    </w:p>
    <w:p>
      <w:pPr>
        <w:pStyle w:val="ListBullet"/>
      </w:pPr>
      <w:r>
        <w:t>Ensure the RFQ covers the complete technical scope.</w:t>
      </w:r>
    </w:p>
    <w:p>
      <w:pPr>
        <w:pStyle w:val="ListBullet"/>
      </w:pPr>
      <w:r>
        <w:t>Prevent material shortages during assembly and commissioning.</w:t>
      </w:r>
    </w:p>
    <w:p>
      <w:pPr>
        <w:pStyle w:val="ListBullet"/>
      </w:pPr>
      <w:r>
        <w:t>Avoid over-ordering and unnecessary inventory.</w:t>
      </w:r>
    </w:p>
    <w:p>
      <w:pPr>
        <w:pStyle w:val="ListBullet"/>
      </w:pPr>
      <w:r>
        <w:t>Provide a common basis for comparing supplier quotations.</w:t>
      </w:r>
    </w:p>
    <w:p>
      <w:pPr>
        <w:pStyle w:val="ListBullet"/>
      </w:pPr>
      <w:r>
        <w:t>Support budgeting, purchase requisitions, and purchase orders.</w:t>
      </w:r>
    </w:p>
    <w:p>
      <w:pPr>
        <w:pStyle w:val="ListBullet"/>
      </w:pPr>
      <w:r>
        <w:t>Account for installation accessories, consumables, and spares.</w:t>
      </w:r>
    </w:p>
    <w:p>
      <w:pPr>
        <w:pStyle w:val="ListBullet"/>
      </w:pPr>
      <w:r>
        <w:t>Distinguish project quantities from recommended maintenance stock.</w:t>
      </w:r>
    </w:p>
    <w:p>
      <w:pPr>
        <w:pStyle w:val="ListBullet"/>
      </w:pPr>
      <w:r>
        <w:t>Make quantity changes traceable throughout procurement.</w:t>
      </w:r>
    </w:p>
    <w:p>
      <w:pPr>
        <w:pStyle w:val="ListBullet"/>
      </w:pPr>
      <w:r>
        <w:t>Support receipt inspection and reconciliation against delivered material.</w:t>
      </w:r>
    </w:p>
    <w:p>
      <w:pPr>
        <w:pStyle w:val="Heading2"/>
      </w:pPr>
      <w:r>
        <w:t>3. Where quantity fits in the procurement process</w:t>
      </w:r>
    </w:p>
    <w:p>
      <w:pPr>
        <w:shd w:val="clear" w:color="auto" w:fill="F4F4F4"/>
        <w:spacing w:before="0" w:after="0" w:line="240" w:lineRule="auto"/>
        <w:ind w:left="216" w:right="216"/>
        <w:jc w:val="left"/>
      </w:pPr>
      <w:r>
        <w:rPr>
          <w:rFonts w:ascii="Consolas" w:hAnsi="Consolas"/>
          <w:color w:val="202020"/>
          <w:sz w:val="18"/>
        </w:rPr>
        <w:t>Approved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design and I/O estimation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BOM and quantity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Quantity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issue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quotation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and commercial comparison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receipt and quantity reconciliation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commissioning, and inventory update</w:t>
      </w:r>
    </w:p>
    <w:p/>
    <w:p>
      <w:r>
        <w:t>Quantity definition begins during engineering and is refined as the design becomes more detailed. The RFQ should use a controlled quantity baseline, with any later changes approved and communicated to the affected suppliers.</w:t>
      </w:r>
    </w:p>
    <w:p>
      <w:pPr>
        <w:pStyle w:val="Heading2"/>
      </w:pPr>
      <w:r>
        <w:t>4. Common quantity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Quantity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Design quantity</w:t>
            </w:r>
          </w:p>
        </w:tc>
        <w:tc>
          <w:tcPr>
            <w:tcW w:type="dxa" w:w="3600"/>
          </w:tcPr>
          <w:p>
            <w:pPr>
              <w:spacing w:after="0" w:before="0" w:line="240" w:lineRule="auto"/>
              <w:jc w:val="left"/>
            </w:pPr>
            <w:r>
              <w:t>Quantity calculated from the engineering design</w:t>
            </w:r>
          </w:p>
        </w:tc>
        <w:tc>
          <w:tcPr>
            <w:tcW w:type="dxa" w:w="3600"/>
          </w:tcPr>
          <w:p>
            <w:pPr>
              <w:spacing w:after="0" w:before="0" w:line="240" w:lineRule="auto"/>
              <w:jc w:val="left"/>
            </w:pPr>
            <w:r>
              <w:t>32 digital inputs</w:t>
            </w:r>
          </w:p>
        </w:tc>
      </w:tr>
      <w:tr>
        <w:tc>
          <w:tcPr>
            <w:tcW w:type="dxa" w:w="3600"/>
          </w:tcPr>
          <w:p>
            <w:pPr>
              <w:spacing w:after="0" w:before="0" w:line="240" w:lineRule="auto"/>
              <w:jc w:val="left"/>
            </w:pPr>
            <w:r>
              <w:t>Required quantity</w:t>
            </w:r>
          </w:p>
        </w:tc>
        <w:tc>
          <w:tcPr>
            <w:tcW w:type="dxa" w:w="3600"/>
          </w:tcPr>
          <w:p>
            <w:pPr>
              <w:spacing w:after="0" w:before="0" w:line="240" w:lineRule="auto"/>
              <w:jc w:val="left"/>
            </w:pPr>
            <w:r>
              <w:t>Quantity needed to complete the approved scope</w:t>
            </w:r>
          </w:p>
        </w:tc>
        <w:tc>
          <w:tcPr>
            <w:tcW w:type="dxa" w:w="3600"/>
          </w:tcPr>
          <w:p>
            <w:pPr>
              <w:spacing w:after="0" w:before="0" w:line="240" w:lineRule="auto"/>
              <w:jc w:val="left"/>
            </w:pPr>
            <w:r>
              <w:t>32 input points plus required modules</w:t>
            </w:r>
          </w:p>
        </w:tc>
      </w:tr>
      <w:tr>
        <w:tc>
          <w:tcPr>
            <w:tcW w:type="dxa" w:w="3600"/>
          </w:tcPr>
          <w:p>
            <w:pPr>
              <w:spacing w:after="0" w:before="0" w:line="240" w:lineRule="auto"/>
              <w:jc w:val="left"/>
            </w:pPr>
            <w:r>
              <w:t>Purchase quantity</w:t>
            </w:r>
          </w:p>
        </w:tc>
        <w:tc>
          <w:tcPr>
            <w:tcW w:type="dxa" w:w="3600"/>
          </w:tcPr>
          <w:p>
            <w:pPr>
              <w:spacing w:after="0" w:before="0" w:line="240" w:lineRule="auto"/>
              <w:jc w:val="left"/>
            </w:pPr>
            <w:r>
              <w:t>Quantity ordered from the supplier</w:t>
            </w:r>
          </w:p>
        </w:tc>
        <w:tc>
          <w:tcPr>
            <w:tcW w:type="dxa" w:w="3600"/>
          </w:tcPr>
          <w:p>
            <w:pPr>
              <w:spacing w:after="0" w:before="0" w:line="240" w:lineRule="auto"/>
              <w:jc w:val="left"/>
            </w:pPr>
            <w:r>
              <w:t>4 modules of 16 inputs each</w:t>
            </w:r>
          </w:p>
        </w:tc>
      </w:tr>
      <w:tr>
        <w:tc>
          <w:tcPr>
            <w:tcW w:type="dxa" w:w="3600"/>
          </w:tcPr>
          <w:p>
            <w:pPr>
              <w:spacing w:after="0" w:before="0" w:line="240" w:lineRule="auto"/>
              <w:jc w:val="left"/>
            </w:pPr>
            <w:r>
              <w:t>Installed quantity</w:t>
            </w:r>
          </w:p>
        </w:tc>
        <w:tc>
          <w:tcPr>
            <w:tcW w:type="dxa" w:w="3600"/>
          </w:tcPr>
          <w:p>
            <w:pPr>
              <w:spacing w:after="0" w:before="0" w:line="240" w:lineRule="auto"/>
              <w:jc w:val="left"/>
            </w:pPr>
            <w:r>
              <w:t>Quantity physically installed</w:t>
            </w:r>
          </w:p>
        </w:tc>
        <w:tc>
          <w:tcPr>
            <w:tcW w:type="dxa" w:w="3600"/>
          </w:tcPr>
          <w:p>
            <w:pPr>
              <w:spacing w:after="0" w:before="0" w:line="240" w:lineRule="auto"/>
              <w:jc w:val="left"/>
            </w:pPr>
            <w:r>
              <w:t>4 input modules</w:t>
            </w:r>
          </w:p>
        </w:tc>
      </w:tr>
      <w:tr>
        <w:tc>
          <w:tcPr>
            <w:tcW w:type="dxa" w:w="3600"/>
          </w:tcPr>
          <w:p>
            <w:pPr>
              <w:spacing w:after="0" w:before="0" w:line="240" w:lineRule="auto"/>
              <w:jc w:val="left"/>
            </w:pPr>
            <w:r>
              <w:t>Spare quantity</w:t>
            </w:r>
          </w:p>
        </w:tc>
        <w:tc>
          <w:tcPr>
            <w:tcW w:type="dxa" w:w="3600"/>
          </w:tcPr>
          <w:p>
            <w:pPr>
              <w:spacing w:after="0" w:before="0" w:line="240" w:lineRule="auto"/>
              <w:jc w:val="left"/>
            </w:pPr>
            <w:r>
              <w:t>Additional items held for maintenance</w:t>
            </w:r>
          </w:p>
        </w:tc>
        <w:tc>
          <w:tcPr>
            <w:tcW w:type="dxa" w:w="3600"/>
          </w:tcPr>
          <w:p>
            <w:pPr>
              <w:spacing w:after="0" w:before="0" w:line="240" w:lineRule="auto"/>
              <w:jc w:val="left"/>
            </w:pPr>
            <w:r>
              <w:t>1 spare input module</w:t>
            </w:r>
          </w:p>
        </w:tc>
      </w:tr>
      <w:tr>
        <w:tc>
          <w:tcPr>
            <w:tcW w:type="dxa" w:w="3600"/>
          </w:tcPr>
          <w:p>
            <w:pPr>
              <w:spacing w:after="0" w:before="0" w:line="240" w:lineRule="auto"/>
              <w:jc w:val="left"/>
            </w:pPr>
            <w:r>
              <w:t>Consumable quantity</w:t>
            </w:r>
          </w:p>
        </w:tc>
        <w:tc>
          <w:tcPr>
            <w:tcW w:type="dxa" w:w="3600"/>
          </w:tcPr>
          <w:p>
            <w:pPr>
              <w:spacing w:after="0" w:before="0" w:line="240" w:lineRule="auto"/>
              <w:jc w:val="left"/>
            </w:pPr>
            <w:r>
              <w:t>Material consumed during installation or use</w:t>
            </w:r>
          </w:p>
        </w:tc>
        <w:tc>
          <w:tcPr>
            <w:tcW w:type="dxa" w:w="3600"/>
          </w:tcPr>
          <w:p>
            <w:pPr>
              <w:spacing w:after="0" w:before="0" w:line="240" w:lineRule="auto"/>
              <w:jc w:val="left"/>
            </w:pPr>
            <w:r>
              <w:t>Cable ties, ferrules, labels</w:t>
            </w:r>
          </w:p>
        </w:tc>
      </w:tr>
      <w:tr>
        <w:tc>
          <w:tcPr>
            <w:tcW w:type="dxa" w:w="3600"/>
          </w:tcPr>
          <w:p>
            <w:pPr>
              <w:spacing w:after="0" w:before="0" w:line="240" w:lineRule="auto"/>
              <w:jc w:val="left"/>
            </w:pPr>
            <w:r>
              <w:t>Bulk quantity</w:t>
            </w:r>
          </w:p>
        </w:tc>
        <w:tc>
          <w:tcPr>
            <w:tcW w:type="dxa" w:w="3600"/>
          </w:tcPr>
          <w:p>
            <w:pPr>
              <w:spacing w:after="0" w:before="0" w:line="240" w:lineRule="auto"/>
              <w:jc w:val="left"/>
            </w:pPr>
            <w:r>
              <w:t>Material measured by length, weight, or volume</w:t>
            </w:r>
          </w:p>
        </w:tc>
        <w:tc>
          <w:tcPr>
            <w:tcW w:type="dxa" w:w="3600"/>
          </w:tcPr>
          <w:p>
            <w:pPr>
              <w:spacing w:after="0" w:before="0" w:line="240" w:lineRule="auto"/>
              <w:jc w:val="left"/>
            </w:pPr>
            <w:r>
              <w:t>250 m of control cable</w:t>
            </w:r>
          </w:p>
        </w:tc>
      </w:tr>
      <w:tr>
        <w:tc>
          <w:tcPr>
            <w:tcW w:type="dxa" w:w="3600"/>
          </w:tcPr>
          <w:p>
            <w:pPr>
              <w:spacing w:after="0" w:before="0" w:line="240" w:lineRule="auto"/>
              <w:jc w:val="left"/>
            </w:pPr>
            <w:r>
              <w:t>Minimum order quantity</w:t>
            </w:r>
          </w:p>
        </w:tc>
        <w:tc>
          <w:tcPr>
            <w:tcW w:type="dxa" w:w="3600"/>
          </w:tcPr>
          <w:p>
            <w:pPr>
              <w:spacing w:after="0" w:before="0" w:line="240" w:lineRule="auto"/>
              <w:jc w:val="left"/>
            </w:pPr>
            <w:r>
              <w:t>Minimum quantity the supplier will accept for an order</w:t>
            </w:r>
          </w:p>
        </w:tc>
        <w:tc>
          <w:tcPr>
            <w:tcW w:type="dxa" w:w="3600"/>
          </w:tcPr>
          <w:p>
            <w:pPr>
              <w:spacing w:after="0" w:before="0" w:line="240" w:lineRule="auto"/>
              <w:jc w:val="left"/>
            </w:pPr>
            <w:r>
              <w:t>10 units</w:t>
            </w:r>
          </w:p>
        </w:tc>
      </w:tr>
      <w:tr>
        <w:tc>
          <w:tcPr>
            <w:tcW w:type="dxa" w:w="3600"/>
          </w:tcPr>
          <w:p>
            <w:pPr>
              <w:spacing w:after="0" w:before="0" w:line="240" w:lineRule="auto"/>
              <w:jc w:val="left"/>
            </w:pPr>
            <w:r>
              <w:t>Pack quantity</w:t>
            </w:r>
          </w:p>
        </w:tc>
        <w:tc>
          <w:tcPr>
            <w:tcW w:type="dxa" w:w="3600"/>
          </w:tcPr>
          <w:p>
            <w:pPr>
              <w:spacing w:after="0" w:before="0" w:line="240" w:lineRule="auto"/>
              <w:jc w:val="left"/>
            </w:pPr>
            <w:r>
              <w:t>Quantity supplied in a standard package</w:t>
            </w:r>
          </w:p>
        </w:tc>
        <w:tc>
          <w:tcPr>
            <w:tcW w:type="dxa" w:w="3600"/>
          </w:tcPr>
          <w:p>
            <w:pPr>
              <w:spacing w:after="0" w:before="0" w:line="240" w:lineRule="auto"/>
              <w:jc w:val="left"/>
            </w:pPr>
            <w:r>
              <w:t>100 terminals per pack</w:t>
            </w:r>
          </w:p>
        </w:tc>
      </w:tr>
      <w:tr>
        <w:tc>
          <w:tcPr>
            <w:tcW w:type="dxa" w:w="3600"/>
          </w:tcPr>
          <w:p>
            <w:pPr>
              <w:spacing w:after="0" w:before="0" w:line="240" w:lineRule="auto"/>
              <w:jc w:val="left"/>
            </w:pPr>
            <w:r>
              <w:t>Delivered quantity</w:t>
            </w:r>
          </w:p>
        </w:tc>
        <w:tc>
          <w:tcPr>
            <w:tcW w:type="dxa" w:w="3600"/>
          </w:tcPr>
          <w:p>
            <w:pPr>
              <w:spacing w:after="0" w:before="0" w:line="240" w:lineRule="auto"/>
              <w:jc w:val="left"/>
            </w:pPr>
            <w:r>
              <w:t>Quantity physically received</w:t>
            </w:r>
          </w:p>
        </w:tc>
        <w:tc>
          <w:tcPr>
            <w:tcW w:type="dxa" w:w="3600"/>
          </w:tcPr>
          <w:p>
            <w:pPr>
              <w:spacing w:after="0" w:before="0" w:line="240" w:lineRule="auto"/>
              <w:jc w:val="left"/>
            </w:pPr>
            <w:r>
              <w:t>4 modules received</w:t>
            </w:r>
          </w:p>
        </w:tc>
      </w:tr>
      <w:tr>
        <w:tc>
          <w:tcPr>
            <w:tcW w:type="dxa" w:w="3600"/>
          </w:tcPr>
          <w:p>
            <w:pPr>
              <w:spacing w:after="0" w:before="0" w:line="240" w:lineRule="auto"/>
              <w:jc w:val="left"/>
            </w:pPr>
            <w:r>
              <w:t>Accepted quantity</w:t>
            </w:r>
          </w:p>
        </w:tc>
        <w:tc>
          <w:tcPr>
            <w:tcW w:type="dxa" w:w="3600"/>
          </w:tcPr>
          <w:p>
            <w:pPr>
              <w:spacing w:after="0" w:before="0" w:line="240" w:lineRule="auto"/>
              <w:jc w:val="left"/>
            </w:pPr>
            <w:r>
              <w:t>Quantity accepted after receipt inspection</w:t>
            </w:r>
          </w:p>
        </w:tc>
        <w:tc>
          <w:tcPr>
            <w:tcW w:type="dxa" w:w="3600"/>
          </w:tcPr>
          <w:p>
            <w:pPr>
              <w:spacing w:after="0" w:before="0" w:line="240" w:lineRule="auto"/>
              <w:jc w:val="left"/>
            </w:pPr>
            <w:r>
              <w:t>3 accepted, 1 rejected</w:t>
            </w:r>
          </w:p>
        </w:tc>
      </w:tr>
    </w:tbl>
    <w:p/>
    <w:p>
      <w:r>
        <w:t>These quantities are related but not interchangeable. Four modules ordered, four modules delivered, and four modules accepted are three separate facts that must be recorded independently.</w:t>
      </w:r>
    </w:p>
    <w:p>
      <w:pPr>
        <w:pStyle w:val="Heading2"/>
      </w:pPr>
      <w:r>
        <w:t>5. Units of measurement</w:t>
      </w:r>
    </w:p>
    <w:p>
      <w:r>
        <w:t>Every quantity should have an unambiguous unit of measurement.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Unit</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EA or NOS</w:t>
            </w:r>
          </w:p>
        </w:tc>
        <w:tc>
          <w:tcPr>
            <w:tcW w:type="dxa" w:w="3600"/>
          </w:tcPr>
          <w:p>
            <w:pPr>
              <w:spacing w:after="0" w:before="0" w:line="240" w:lineRule="auto"/>
              <w:jc w:val="left"/>
            </w:pPr>
            <w:r>
              <w:t>Individual items</w:t>
            </w:r>
          </w:p>
        </w:tc>
        <w:tc>
          <w:tcPr>
            <w:tcW w:type="dxa" w:w="3600"/>
          </w:tcPr>
          <w:p>
            <w:pPr>
              <w:spacing w:after="0" w:before="0" w:line="240" w:lineRule="auto"/>
              <w:jc w:val="left"/>
            </w:pPr>
            <w:r>
              <w:t>3 sensors</w:t>
            </w:r>
          </w:p>
        </w:tc>
      </w:tr>
      <w:tr>
        <w:tc>
          <w:tcPr>
            <w:tcW w:type="dxa" w:w="3600"/>
          </w:tcPr>
          <w:p>
            <w:pPr>
              <w:spacing w:after="0" w:before="0" w:line="240" w:lineRule="auto"/>
              <w:jc w:val="left"/>
            </w:pPr>
            <w:r>
              <w:t>SET</w:t>
            </w:r>
          </w:p>
        </w:tc>
        <w:tc>
          <w:tcPr>
            <w:tcW w:type="dxa" w:w="3600"/>
          </w:tcPr>
          <w:p>
            <w:pPr>
              <w:spacing w:after="0" w:before="0" w:line="240" w:lineRule="auto"/>
              <w:jc w:val="left"/>
            </w:pPr>
            <w:r>
              <w:t>Defined collection of items</w:t>
            </w:r>
          </w:p>
        </w:tc>
        <w:tc>
          <w:tcPr>
            <w:tcW w:type="dxa" w:w="3600"/>
          </w:tcPr>
          <w:p>
            <w:pPr>
              <w:spacing w:after="0" w:before="0" w:line="240" w:lineRule="auto"/>
              <w:jc w:val="left"/>
            </w:pPr>
            <w:r>
              <w:t>1 complete mounting set</w:t>
            </w:r>
          </w:p>
        </w:tc>
      </w:tr>
      <w:tr>
        <w:tc>
          <w:tcPr>
            <w:tcW w:type="dxa" w:w="3600"/>
          </w:tcPr>
          <w:p>
            <w:pPr>
              <w:spacing w:after="0" w:before="0" w:line="240" w:lineRule="auto"/>
              <w:jc w:val="left"/>
            </w:pPr>
            <w:r>
              <w:t>LOT</w:t>
            </w:r>
          </w:p>
        </w:tc>
        <w:tc>
          <w:tcPr>
            <w:tcW w:type="dxa" w:w="3600"/>
          </w:tcPr>
          <w:p>
            <w:pPr>
              <w:spacing w:after="0" w:before="0" w:line="240" w:lineRule="auto"/>
              <w:jc w:val="left"/>
            </w:pPr>
            <w:r>
              <w:t>Group of items purchased or handled together</w:t>
            </w:r>
          </w:p>
        </w:tc>
        <w:tc>
          <w:tcPr>
            <w:tcW w:type="dxa" w:w="3600"/>
          </w:tcPr>
          <w:p>
            <w:pPr>
              <w:spacing w:after="0" w:before="0" w:line="240" w:lineRule="auto"/>
              <w:jc w:val="left"/>
            </w:pPr>
            <w:r>
              <w:t>1 lot of miscellaneous hardware</w:t>
            </w:r>
          </w:p>
        </w:tc>
      </w:tr>
      <w:tr>
        <w:tc>
          <w:tcPr>
            <w:tcW w:type="dxa" w:w="3600"/>
          </w:tcPr>
          <w:p>
            <w:pPr>
              <w:spacing w:after="0" w:before="0" w:line="240" w:lineRule="auto"/>
              <w:jc w:val="left"/>
            </w:pPr>
            <w:r>
              <w:t>M</w:t>
            </w:r>
          </w:p>
        </w:tc>
        <w:tc>
          <w:tcPr>
            <w:tcW w:type="dxa" w:w="3600"/>
          </w:tcPr>
          <w:p>
            <w:pPr>
              <w:spacing w:after="0" w:before="0" w:line="240" w:lineRule="auto"/>
              <w:jc w:val="left"/>
            </w:pPr>
            <w:r>
              <w:t>Cable, wire, or tubing length</w:t>
            </w:r>
          </w:p>
        </w:tc>
        <w:tc>
          <w:tcPr>
            <w:tcW w:type="dxa" w:w="3600"/>
          </w:tcPr>
          <w:p>
            <w:pPr>
              <w:spacing w:after="0" w:before="0" w:line="240" w:lineRule="auto"/>
              <w:jc w:val="left"/>
            </w:pPr>
            <w:r>
              <w:t>120 m of cable</w:t>
            </w:r>
          </w:p>
        </w:tc>
      </w:tr>
      <w:tr>
        <w:tc>
          <w:tcPr>
            <w:tcW w:type="dxa" w:w="3600"/>
          </w:tcPr>
          <w:p>
            <w:pPr>
              <w:spacing w:after="0" w:before="0" w:line="240" w:lineRule="auto"/>
              <w:jc w:val="left"/>
            </w:pPr>
            <w:r>
              <w:t>MM</w:t>
            </w:r>
          </w:p>
        </w:tc>
        <w:tc>
          <w:tcPr>
            <w:tcW w:type="dxa" w:w="3600"/>
          </w:tcPr>
          <w:p>
            <w:pPr>
              <w:spacing w:after="0" w:before="0" w:line="240" w:lineRule="auto"/>
              <w:jc w:val="left"/>
            </w:pPr>
            <w:r>
              <w:t>Small dimensions or cut lengths</w:t>
            </w:r>
          </w:p>
        </w:tc>
        <w:tc>
          <w:tcPr>
            <w:tcW w:type="dxa" w:w="3600"/>
          </w:tcPr>
          <w:p>
            <w:pPr>
              <w:spacing w:after="0" w:before="0" w:line="240" w:lineRule="auto"/>
              <w:jc w:val="left"/>
            </w:pPr>
            <w:r>
              <w:t>500 mm of tubing</w:t>
            </w:r>
          </w:p>
        </w:tc>
      </w:tr>
      <w:tr>
        <w:tc>
          <w:tcPr>
            <w:tcW w:type="dxa" w:w="3600"/>
          </w:tcPr>
          <w:p>
            <w:pPr>
              <w:spacing w:after="0" w:before="0" w:line="240" w:lineRule="auto"/>
              <w:jc w:val="left"/>
            </w:pPr>
            <w:r>
              <w:t>KG</w:t>
            </w:r>
          </w:p>
        </w:tc>
        <w:tc>
          <w:tcPr>
            <w:tcW w:type="dxa" w:w="3600"/>
          </w:tcPr>
          <w:p>
            <w:pPr>
              <w:spacing w:after="0" w:before="0" w:line="240" w:lineRule="auto"/>
              <w:jc w:val="left"/>
            </w:pPr>
            <w:r>
              <w:t>Material by mass</w:t>
            </w:r>
          </w:p>
        </w:tc>
        <w:tc>
          <w:tcPr>
            <w:tcW w:type="dxa" w:w="3600"/>
          </w:tcPr>
          <w:p>
            <w:pPr>
              <w:spacing w:after="0" w:before="0" w:line="240" w:lineRule="auto"/>
              <w:jc w:val="left"/>
            </w:pPr>
            <w:r>
              <w:t>25 kg of material</w:t>
            </w:r>
          </w:p>
        </w:tc>
      </w:tr>
      <w:tr>
        <w:tc>
          <w:tcPr>
            <w:tcW w:type="dxa" w:w="3600"/>
          </w:tcPr>
          <w:p>
            <w:pPr>
              <w:spacing w:after="0" w:before="0" w:line="240" w:lineRule="auto"/>
              <w:jc w:val="left"/>
            </w:pPr>
            <w:r>
              <w:t>L</w:t>
            </w:r>
          </w:p>
        </w:tc>
        <w:tc>
          <w:tcPr>
            <w:tcW w:type="dxa" w:w="3600"/>
          </w:tcPr>
          <w:p>
            <w:pPr>
              <w:spacing w:after="0" w:before="0" w:line="240" w:lineRule="auto"/>
              <w:jc w:val="left"/>
            </w:pPr>
            <w:r>
              <w:t>Liquid volume</w:t>
            </w:r>
          </w:p>
        </w:tc>
        <w:tc>
          <w:tcPr>
            <w:tcW w:type="dxa" w:w="3600"/>
          </w:tcPr>
          <w:p>
            <w:pPr>
              <w:spacing w:after="0" w:before="0" w:line="240" w:lineRule="auto"/>
              <w:jc w:val="left"/>
            </w:pPr>
            <w:r>
              <w:t>10 L of coolant</w:t>
            </w:r>
          </w:p>
        </w:tc>
      </w:tr>
      <w:tr>
        <w:tc>
          <w:tcPr>
            <w:tcW w:type="dxa" w:w="3600"/>
          </w:tcPr>
          <w:p>
            <w:pPr>
              <w:spacing w:after="0" w:before="0" w:line="240" w:lineRule="auto"/>
              <w:jc w:val="left"/>
            </w:pPr>
            <w:r>
              <w:t>BOX</w:t>
            </w:r>
          </w:p>
        </w:tc>
        <w:tc>
          <w:tcPr>
            <w:tcW w:type="dxa" w:w="3600"/>
          </w:tcPr>
          <w:p>
            <w:pPr>
              <w:spacing w:after="0" w:before="0" w:line="240" w:lineRule="auto"/>
              <w:jc w:val="left"/>
            </w:pPr>
            <w:r>
              <w:t>Standard packaged quantity</w:t>
            </w:r>
          </w:p>
        </w:tc>
        <w:tc>
          <w:tcPr>
            <w:tcW w:type="dxa" w:w="3600"/>
          </w:tcPr>
          <w:p>
            <w:pPr>
              <w:spacing w:after="0" w:before="0" w:line="240" w:lineRule="auto"/>
              <w:jc w:val="left"/>
            </w:pPr>
            <w:r>
              <w:t>2 boxes of terminals</w:t>
            </w:r>
          </w:p>
        </w:tc>
      </w:tr>
      <w:tr>
        <w:tc>
          <w:tcPr>
            <w:tcW w:type="dxa" w:w="3600"/>
          </w:tcPr>
          <w:p>
            <w:pPr>
              <w:spacing w:after="0" w:before="0" w:line="240" w:lineRule="auto"/>
              <w:jc w:val="left"/>
            </w:pPr>
            <w:r>
              <w:t>PAIR</w:t>
            </w:r>
          </w:p>
        </w:tc>
        <w:tc>
          <w:tcPr>
            <w:tcW w:type="dxa" w:w="3600"/>
          </w:tcPr>
          <w:p>
            <w:pPr>
              <w:spacing w:after="0" w:before="0" w:line="240" w:lineRule="auto"/>
              <w:jc w:val="left"/>
            </w:pPr>
            <w:r>
              <w:t>Two items forming a pair</w:t>
            </w:r>
          </w:p>
        </w:tc>
        <w:tc>
          <w:tcPr>
            <w:tcW w:type="dxa" w:w="3600"/>
          </w:tcPr>
          <w:p>
            <w:pPr>
              <w:spacing w:after="0" w:before="0" w:line="240" w:lineRule="auto"/>
              <w:jc w:val="left"/>
            </w:pPr>
            <w:r>
              <w:t>2 pairs of photoelectric sensors</w:t>
            </w:r>
          </w:p>
        </w:tc>
      </w:tr>
      <w:tr>
        <w:tc>
          <w:tcPr>
            <w:tcW w:type="dxa" w:w="3600"/>
          </w:tcPr>
          <w:p>
            <w:pPr>
              <w:spacing w:after="0" w:before="0" w:line="240" w:lineRule="auto"/>
              <w:jc w:val="left"/>
            </w:pPr>
            <w:r>
              <w:t>JOB</w:t>
            </w:r>
          </w:p>
        </w:tc>
        <w:tc>
          <w:tcPr>
            <w:tcW w:type="dxa" w:w="3600"/>
          </w:tcPr>
          <w:p>
            <w:pPr>
              <w:spacing w:after="0" w:before="0" w:line="240" w:lineRule="auto"/>
              <w:jc w:val="left"/>
            </w:pPr>
            <w:r>
              <w:t>Defined service or work package</w:t>
            </w:r>
          </w:p>
        </w:tc>
        <w:tc>
          <w:tcPr>
            <w:tcW w:type="dxa" w:w="3600"/>
          </w:tcPr>
          <w:p>
            <w:pPr>
              <w:spacing w:after="0" w:before="0" w:line="240" w:lineRule="auto"/>
              <w:jc w:val="left"/>
            </w:pPr>
            <w:r>
              <w:t>1 commissioning job</w:t>
            </w:r>
          </w:p>
        </w:tc>
      </w:tr>
      <w:tr>
        <w:tc>
          <w:tcPr>
            <w:tcW w:type="dxa" w:w="3600"/>
          </w:tcPr>
          <w:p>
            <w:pPr>
              <w:spacing w:after="0" w:before="0" w:line="240" w:lineRule="auto"/>
              <w:jc w:val="left"/>
            </w:pPr>
            <w:r>
              <w:t>HOUR</w:t>
            </w:r>
          </w:p>
        </w:tc>
        <w:tc>
          <w:tcPr>
            <w:tcW w:type="dxa" w:w="3600"/>
          </w:tcPr>
          <w:p>
            <w:pPr>
              <w:spacing w:after="0" w:before="0" w:line="240" w:lineRule="auto"/>
              <w:jc w:val="left"/>
            </w:pPr>
            <w:r>
              <w:t>Labour or service duration</w:t>
            </w:r>
          </w:p>
        </w:tc>
        <w:tc>
          <w:tcPr>
            <w:tcW w:type="dxa" w:w="3600"/>
          </w:tcPr>
          <w:p>
            <w:pPr>
              <w:spacing w:after="0" w:before="0" w:line="240" w:lineRule="auto"/>
              <w:jc w:val="left"/>
            </w:pPr>
            <w:r>
              <w:t>16 engineering hours</w:t>
            </w:r>
          </w:p>
        </w:tc>
      </w:tr>
    </w:tbl>
    <w:p/>
    <w:p>
      <w:r>
        <w:t>Use the organization's approved SAP or ERP units of measure. Avoid ambiguous entries such as "1 set" unless the set's complete contents are defined.</w:t>
      </w:r>
    </w:p>
    <w:p>
      <w:pPr>
        <w:pStyle w:val="Heading2"/>
      </w:pPr>
      <w:r>
        <w:t>6. Quantity calculation from engineering requirements</w:t>
      </w:r>
    </w:p>
    <w:p>
      <w:r>
        <w:t>Quantity should be derived from the actual design rather than guessed from previous projects.</w:t>
      </w:r>
    </w:p>
    <w:p>
      <w:r>
        <w:t>For example, assume a machine requires 48 digital inputs and 32 digital outputs.</w:t>
      </w:r>
    </w:p>
    <w:p>
      <w:r>
        <w:t>If the selected input module supports 16 channels and the output module also supports 16 channels:</w:t>
      </w:r>
    </w:p>
    <w:p>
      <w:pPr>
        <w:spacing w:before="120" w:after="160"/>
        <w:jc w:val="center"/>
      </w:pPr>
      <m:oMathPara>
        <m:oMath>
          <m:sSub>
            <m:e>
              <m:r>
                <m:t>N</m:t>
              </m:r>
            </m:e>
            <m:sub>
              <m:r>
                <m:rPr>
                  <m:nor/>
                </m:rPr>
                <m:t>DI modules</m:t>
              </m:r>
            </m:sub>
          </m:sSub>
          <m:r>
            <m:t>=</m:t>
          </m:r>
          <m:d>
            <m:dPr>
              <m:begChr m:val="⌈"/>
              <m:sepChr m:val=""/>
              <m:endChr m:val="⌉"/>
            </m:dPr>
            <m:e>
              <m:f>
                <m:fPr>
                  <m:type m:val="bar"/>
                </m:fPr>
                <m:num>
                  <m:r>
                    <m:t>48</m:t>
                  </m:r>
                </m:num>
                <m:den>
                  <m:r>
                    <m:t>16</m:t>
                  </m:r>
                </m:den>
              </m:f>
            </m:e>
          </m:d>
          <m:r>
            <m:t>=3</m:t>
          </m:r>
        </m:oMath>
      </m:oMathPara>
    </w:p>
    <w:p>
      <w:pPr>
        <w:spacing w:before="120" w:after="160"/>
        <w:jc w:val="center"/>
      </w:pPr>
      <m:oMathPara>
        <m:oMath>
          <m:sSub>
            <m:e>
              <m:r>
                <m:t>N</m:t>
              </m:r>
            </m:e>
            <m:sub>
              <m:r>
                <m:rPr>
                  <m:nor/>
                </m:rPr>
                <m:t>DO modules</m:t>
              </m:r>
            </m:sub>
          </m:sSub>
          <m:r>
            <m:t>=</m:t>
          </m:r>
          <m:d>
            <m:dPr>
              <m:begChr m:val="⌈"/>
              <m:sepChr m:val=""/>
              <m:endChr m:val="⌉"/>
            </m:dPr>
            <m:e>
              <m:f>
                <m:fPr>
                  <m:type m:val="bar"/>
                </m:fPr>
                <m:num>
                  <m:r>
                    <m:t>32</m:t>
                  </m:r>
                </m:num>
                <m:den>
                  <m:r>
                    <m:t>16</m:t>
                  </m:r>
                </m:den>
              </m:f>
            </m:e>
          </m:d>
          <m:r>
            <m:t>=2</m:t>
          </m:r>
        </m:oMath>
      </m:oMathPara>
    </w:p>
    <w:p>
      <w:r>
        <w:t>The calculated requirement is three digital input modules and two digital output modules, before considering spare capacity or architecture constraints.</w:t>
      </w:r>
    </w:p>
    <w:p>
      <w:r>
        <w:t>The ceiling function means any fractional module requirement is rounded up to the next whole module.</w:t>
      </w:r>
    </w:p>
    <w:p>
      <w:r>
        <w:t>This calculation alone is not enough. The design must also check CPU or remote-I/O capacity, electrical loading, module compatibility, available slots, communication limits, safety requirements, and future expansion.</w:t>
      </w:r>
    </w:p>
    <w:p>
      <w:pPr>
        <w:pStyle w:val="Heading2"/>
      </w:pPr>
      <w:r>
        <w:t>7. Quantity calculation for industrial automation equipment</w:t>
      </w:r>
    </w:p>
    <w:p>
      <w:pPr>
        <w:pStyle w:val="Heading3"/>
      </w:pPr>
      <w:r>
        <w:t>7.1 PLC I/O modules</w:t>
      </w:r>
    </w:p>
    <w:p>
      <w:r>
        <w:t>The basic module calculation is:</w:t>
      </w:r>
    </w:p>
    <w:p>
      <w:pPr>
        <w:spacing w:before="120" w:after="160"/>
        <w:jc w:val="center"/>
      </w:pPr>
      <m:oMathPara>
        <m:oMath>
          <m:sSub>
            <m:e>
              <m:r>
                <m:t>N</m:t>
              </m:r>
            </m:e>
            <m:sub>
              <m:r>
                <m:rPr>
                  <m:nor/>
                </m:rPr>
                <m:t>modules</m:t>
              </m:r>
            </m:sub>
          </m:sSub>
          <m:r>
            <m:t>=</m:t>
          </m:r>
          <m:d>
            <m:dPr>
              <m:begChr m:val="⌈"/>
              <m:sepChr m:val=""/>
              <m:endChr m:val="⌉"/>
            </m:dPr>
            <m:e>
              <m:f>
                <m:fPr>
                  <m:type m:val="bar"/>
                </m:fPr>
                <m:num>
                  <m:sSub>
                    <m:e>
                      <m:r>
                        <m:t>N</m:t>
                      </m:r>
                    </m:e>
                    <m:sub>
                      <m:r>
                        <m:rPr>
                          <m:nor/>
                        </m:rPr>
                        <m:t>required channels</m:t>
                      </m:r>
                    </m:sub>
                  </m:sSub>
                </m:num>
                <m:den>
                  <m:sSub>
                    <m:e>
                      <m:r>
                        <m:t>N</m:t>
                      </m:r>
                    </m:e>
                    <m:sub>
                      <m:r>
                        <m:rPr>
                          <m:nor/>
                        </m:rPr>
                        <m:t>usable channels per module</m:t>
                      </m:r>
                    </m:sub>
                  </m:sSub>
                </m:den>
              </m:f>
            </m:e>
          </m:d>
        </m:oMath>
      </m:oMathPara>
    </w:p>
    <w:p>
      <w:r>
        <w:t>Use usable channels rather than assuming every advertised channel is available for the application. Some channels may be reserved, incompatible with the required signal type, or constrained by configuration.</w:t>
      </w:r>
    </w:p>
    <w:p>
      <w:pPr>
        <w:pStyle w:val="Heading3"/>
      </w:pPr>
      <w:r>
        <w:t>7.2 Digital input and output capacity</w:t>
      </w:r>
    </w:p>
    <w:p>
      <w:r>
        <w:t>Calculate quantities separately for:</w:t>
      </w:r>
    </w:p>
    <w:p>
      <w:pPr>
        <w:pStyle w:val="ListBullet"/>
      </w:pPr>
      <w:r>
        <w:t>Digital inputs.</w:t>
      </w:r>
    </w:p>
    <w:p>
      <w:pPr>
        <w:pStyle w:val="ListBullet"/>
      </w:pPr>
      <w:r>
        <w:t>Digital outputs.</w:t>
      </w:r>
    </w:p>
    <w:p>
      <w:pPr>
        <w:pStyle w:val="ListBullet"/>
      </w:pPr>
      <w:r>
        <w:t>Analog inputs.</w:t>
      </w:r>
    </w:p>
    <w:p>
      <w:pPr>
        <w:pStyle w:val="ListBullet"/>
      </w:pPr>
      <w:r>
        <w:t>Analog outputs.</w:t>
      </w:r>
    </w:p>
    <w:p>
      <w:pPr>
        <w:pStyle w:val="ListBullet"/>
      </w:pPr>
      <w:r>
        <w:t>High-speed or specialized channels.</w:t>
      </w:r>
    </w:p>
    <w:p>
      <w:pPr>
        <w:pStyle w:val="ListBullet"/>
      </w:pPr>
      <w:r>
        <w:t>Safety I/O.</w:t>
      </w:r>
    </w:p>
    <w:p>
      <w:pPr>
        <w:pStyle w:val="ListBullet"/>
      </w:pPr>
      <w:r>
        <w:t>Communication modules.</w:t>
      </w:r>
    </w:p>
    <w:p>
      <w:pPr>
        <w:pStyle w:val="ListBullet"/>
      </w:pPr>
      <w:r>
        <w:t>Remote-I/O adapters and power modules.</w:t>
      </w:r>
    </w:p>
    <w:p>
      <w:r>
        <w:t>A digital input channel cannot automatically substitute for an analog input channel. Module type must match the signal characteristics and design requirements.</w:t>
      </w:r>
    </w:p>
    <w:p>
      <w:pPr>
        <w:pStyle w:val="Heading3"/>
      </w:pPr>
      <w:r>
        <w:t>7.3 Sensors and actuators</w:t>
      </w:r>
    </w:p>
    <w:p>
      <w:r>
        <w:t>Quantities should be derived from the machine layout, process requirements, and I/O list.</w:t>
      </w:r>
    </w:p>
    <w:p>
      <w:r>
        <w:t>Examples include:</w:t>
      </w:r>
    </w:p>
    <w:p>
      <w:pPr>
        <w:pStyle w:val="ListBullet"/>
      </w:pPr>
      <w:r>
        <w:t>Proximity sensors for position detection.</w:t>
      </w:r>
    </w:p>
    <w:p>
      <w:pPr>
        <w:pStyle w:val="ListBullet"/>
      </w:pPr>
      <w:r>
        <w:t>Photoelectric sensors for part presence.</w:t>
      </w:r>
    </w:p>
    <w:p>
      <w:pPr>
        <w:pStyle w:val="ListBullet"/>
      </w:pPr>
      <w:r>
        <w:t>Pressure switches and transmitters.</w:t>
      </w:r>
    </w:p>
    <w:p>
      <w:pPr>
        <w:pStyle w:val="ListBullet"/>
      </w:pPr>
      <w:r>
        <w:t>Solenoid valves.</w:t>
      </w:r>
    </w:p>
    <w:p>
      <w:pPr>
        <w:pStyle w:val="ListBullet"/>
      </w:pPr>
      <w:r>
        <w:t>Limit switches.</w:t>
      </w:r>
    </w:p>
    <w:p>
      <w:pPr>
        <w:pStyle w:val="ListBullet"/>
      </w:pPr>
      <w:r>
        <w:t>Encoders.</w:t>
      </w:r>
    </w:p>
    <w:p>
      <w:pPr>
        <w:pStyle w:val="ListBullet"/>
      </w:pPr>
      <w:r>
        <w:t>Temperature sensors.</w:t>
      </w:r>
    </w:p>
    <w:p>
      <w:pPr>
        <w:pStyle w:val="ListBullet"/>
      </w:pPr>
      <w:r>
        <w:t>Motor contactors and overload relays.</w:t>
      </w:r>
    </w:p>
    <w:p>
      <w:r>
        <w:t>The count should include all specified installation locations, including sensors on fixtures, stations, transfer systems, and auxiliary equipment where included in scope.</w:t>
      </w:r>
    </w:p>
    <w:p>
      <w:pPr>
        <w:pStyle w:val="Heading3"/>
      </w:pPr>
      <w:r>
        <w:t>7.4 Control panels and accessories</w:t>
      </w:r>
    </w:p>
    <w:p>
      <w:r>
        <w:t>A complete quantity calculation may include:</w:t>
      </w:r>
    </w:p>
    <w:p>
      <w:pPr>
        <w:pStyle w:val="ListBullet"/>
      </w:pPr>
      <w:r>
        <w:t>Enclosures and mounting plates.</w:t>
      </w:r>
    </w:p>
    <w:p>
      <w:pPr>
        <w:pStyle w:val="ListBullet"/>
      </w:pPr>
      <w:r>
        <w:t>DIN rails and cable ducts.</w:t>
      </w:r>
    </w:p>
    <w:p>
      <w:pPr>
        <w:pStyle w:val="ListBullet"/>
      </w:pPr>
      <w:r>
        <w:t>Circuit breakers and fuses.</w:t>
      </w:r>
    </w:p>
    <w:p>
      <w:pPr>
        <w:pStyle w:val="ListBullet"/>
      </w:pPr>
      <w:r>
        <w:t>Contactors and overload relays.</w:t>
      </w:r>
    </w:p>
    <w:p>
      <w:pPr>
        <w:pStyle w:val="ListBullet"/>
      </w:pPr>
      <w:r>
        <w:t>Power supplies.</w:t>
      </w:r>
    </w:p>
    <w:p>
      <w:pPr>
        <w:pStyle w:val="ListBullet"/>
      </w:pPr>
      <w:r>
        <w:t>Terminals and end plates.</w:t>
      </w:r>
    </w:p>
    <w:p>
      <w:pPr>
        <w:pStyle w:val="ListBullet"/>
      </w:pPr>
      <w:r>
        <w:t>Grounding terminals.</w:t>
      </w:r>
    </w:p>
    <w:p>
      <w:pPr>
        <w:pStyle w:val="ListBullet"/>
      </w:pPr>
      <w:r>
        <w:t>Cable glands.</w:t>
      </w:r>
    </w:p>
    <w:p>
      <w:pPr>
        <w:pStyle w:val="ListBullet"/>
      </w:pPr>
      <w:r>
        <w:t>Wire ferrules and identification markers.</w:t>
      </w:r>
    </w:p>
    <w:p>
      <w:pPr>
        <w:pStyle w:val="ListBullet"/>
      </w:pPr>
      <w:r>
        <w:t>Fans, filters, and thermostats.</w:t>
      </w:r>
    </w:p>
    <w:p>
      <w:pPr>
        <w:pStyle w:val="ListBullet"/>
      </w:pPr>
      <w:r>
        <w:t>Network switches.</w:t>
      </w:r>
    </w:p>
    <w:p>
      <w:pPr>
        <w:pStyle w:val="ListBullet"/>
      </w:pPr>
      <w:r>
        <w:t>Internal wiring.</w:t>
      </w:r>
    </w:p>
    <w:p>
      <w:pPr>
        <w:pStyle w:val="ListBullet"/>
      </w:pPr>
      <w:r>
        <w:t>Panel labels and warning labels.</w:t>
      </w:r>
    </w:p>
    <w:p>
      <w:r>
        <w:t>Accessories should be calculated from the drawings, component count, wiring plan, and installation requirements. A quotation that includes a PLC but omits its necessary power supply or mounting accessories may be technically incomplete even if the main item count looks correct.</w:t>
      </w:r>
    </w:p>
    <w:p>
      <w:pPr>
        <w:pStyle w:val="Heading2"/>
      </w:pPr>
      <w:r>
        <w:t>8. Cable and wire quantity estimation</w:t>
      </w:r>
    </w:p>
    <w:p>
      <w:r>
        <w:t>Cable quantities require more than counting the number of signals.</w:t>
      </w:r>
    </w:p>
    <w:p>
      <w:r>
        <w:t>The estimate should consider:</w:t>
      </w:r>
    </w:p>
    <w:p>
      <w:pPr>
        <w:pStyle w:val="ListBullet"/>
      </w:pPr>
      <w:r>
        <w:t>Cable route length.</w:t>
      </w:r>
    </w:p>
    <w:p>
      <w:pPr>
        <w:pStyle w:val="ListBullet"/>
      </w:pPr>
      <w:r>
        <w:t>Vertical and horizontal routing.</w:t>
      </w:r>
    </w:p>
    <w:p>
      <w:pPr>
        <w:pStyle w:val="ListBullet"/>
      </w:pPr>
      <w:r>
        <w:t>Routing through trays, ducts, and conduits.</w:t>
      </w:r>
    </w:p>
    <w:p>
      <w:pPr>
        <w:pStyle w:val="ListBullet"/>
      </w:pPr>
      <w:r>
        <w:t>Equipment movement and flexible cable requirements.</w:t>
      </w:r>
    </w:p>
    <w:p>
      <w:pPr>
        <w:pStyle w:val="ListBullet"/>
      </w:pPr>
      <w:r>
        <w:t>Termination and dressing allowances.</w:t>
      </w:r>
    </w:p>
    <w:p>
      <w:pPr>
        <w:pStyle w:val="ListBullet"/>
      </w:pPr>
      <w:r>
        <w:t>Segregation between power, control, and communication cables.</w:t>
      </w:r>
    </w:p>
    <w:p>
      <w:pPr>
        <w:pStyle w:val="ListBullet"/>
      </w:pPr>
      <w:r>
        <w:t>Required shielding and grounding arrangements.</w:t>
      </w:r>
    </w:p>
    <w:p>
      <w:pPr>
        <w:pStyle w:val="ListBullet"/>
      </w:pPr>
      <w:r>
        <w:t>Spare cable requirements.</w:t>
      </w:r>
    </w:p>
    <w:p>
      <w:pPr>
        <w:pStyle w:val="ListBullet"/>
      </w:pPr>
      <w:r>
        <w:t>Cutting and installation losses.</w:t>
      </w:r>
    </w:p>
    <w:p>
      <w:r>
        <w:t>A basic estimate is:</w:t>
      </w:r>
    </w:p>
    <w:p>
      <w:pPr>
        <w:spacing w:before="120" w:after="160"/>
        <w:jc w:val="center"/>
      </w:pPr>
      <m:oMathPara>
        <m:oMath>
          <m:sSub>
            <m:e>
              <m:r>
                <m:t>L</m:t>
              </m:r>
            </m:e>
            <m:sub>
              <m:r>
                <m:rPr>
                  <m:nor/>
                </m:rPr>
                <m:t>purchase</m:t>
              </m:r>
            </m:sub>
          </m:sSub>
          <m:r>
            <m:t>=</m:t>
          </m:r>
          <m:sSub>
            <m:e>
              <m:r>
                <m:t>L</m:t>
              </m:r>
            </m:e>
            <m:sub>
              <m:r>
                <m:rPr>
                  <m:nor/>
                </m:rPr>
                <m:t>route</m:t>
              </m:r>
            </m:sub>
          </m:sSub>
          <m:r>
            <m:t>+</m:t>
          </m:r>
          <m:sSub>
            <m:e>
              <m:r>
                <m:t>L</m:t>
              </m:r>
            </m:e>
            <m:sub>
              <m:r>
                <m:rPr>
                  <m:nor/>
                </m:rPr>
                <m:t>allowance</m:t>
              </m:r>
            </m:sub>
          </m:sSub>
        </m:oMath>
      </m:oMathPara>
    </w:p>
    <w:p>
      <w:r>
        <w:t>If a cable route is 80 m and the approved allowance is 10%:</w:t>
      </w:r>
    </w:p>
    <w:p>
      <w:pPr>
        <w:spacing w:before="120" w:after="160"/>
        <w:jc w:val="center"/>
      </w:pPr>
      <m:oMathPara>
        <m:oMath>
          <m:sSub>
            <m:e>
              <m:r>
                <m:t>L</m:t>
              </m:r>
            </m:e>
            <m:sub>
              <m:r>
                <m:rPr>
                  <m:nor/>
                </m:rPr>
                <m:t>purchase</m:t>
              </m:r>
            </m:sub>
          </m:sSub>
          <m:r>
            <m:t>=80+(80×0.10)=88</m:t>
          </m:r>
          <m:r>
            <m:rPr>
              <m:nor/>
            </m:rPr>
            <m:t> m</m:t>
          </m:r>
        </m:oMath>
      </m:oMathPara>
    </w:p>
    <w:p>
      <w:r>
        <w:t>The purchase quantity may need to be rounded to a supplier's standard reel length or an approved purchasing increment.</w:t>
      </w:r>
    </w:p>
    <w:p>
      <w:r>
        <w:t>The allowance should be justified by route uncertainty, termination needs, installation practice, and supplier packaging. Do not apply a blanket percentage to every material without considering the application.</w:t>
      </w:r>
    </w:p>
    <w:p>
      <w:pPr>
        <w:pStyle w:val="Heading2"/>
      </w:pPr>
      <w:r>
        <w:t>9. Spare quantity planning</w:t>
      </w:r>
    </w:p>
    <w:p>
      <w:r>
        <w:t>Spare quantities are additional materials intended to reduce downtime or support future maintenance.</w:t>
      </w:r>
    </w:p>
    <w:p>
      <w:r>
        <w:t>Spare planning should consider:</w:t>
      </w:r>
    </w:p>
    <w:p>
      <w:pPr>
        <w:pStyle w:val="ListBullet"/>
      </w:pPr>
      <w:r>
        <w:t>Equipment criticality.</w:t>
      </w:r>
    </w:p>
    <w:p>
      <w:pPr>
        <w:pStyle w:val="ListBullet"/>
      </w:pPr>
      <w:r>
        <w:t>Failure consequences.</w:t>
      </w:r>
    </w:p>
    <w:p>
      <w:pPr>
        <w:pStyle w:val="ListBullet"/>
      </w:pPr>
      <w:r>
        <w:t>Supplier lead time.</w:t>
      </w:r>
    </w:p>
    <w:p>
      <w:pPr>
        <w:pStyle w:val="ListBullet"/>
      </w:pPr>
      <w:r>
        <w:t>Installed population.</w:t>
      </w:r>
    </w:p>
    <w:p>
      <w:pPr>
        <w:pStyle w:val="ListBullet"/>
      </w:pPr>
      <w:r>
        <w:t>Failure history.</w:t>
      </w:r>
    </w:p>
    <w:p>
      <w:pPr>
        <w:pStyle w:val="ListBullet"/>
      </w:pPr>
      <w:r>
        <w:t>Obsolescence risk.</w:t>
      </w:r>
    </w:p>
    <w:p>
      <w:pPr>
        <w:pStyle w:val="ListBullet"/>
      </w:pPr>
      <w:r>
        <w:t>Repairability.</w:t>
      </w:r>
    </w:p>
    <w:p>
      <w:pPr>
        <w:pStyle w:val="ListBullet"/>
      </w:pPr>
      <w:r>
        <w:t>Storage requirements.</w:t>
      </w:r>
    </w:p>
    <w:p>
      <w:pPr>
        <w:pStyle w:val="ListBullet"/>
      </w:pPr>
      <w:r>
        <w:t>Commonality across machines.</w:t>
      </w:r>
    </w:p>
    <w:p>
      <w:pPr>
        <w:pStyle w:val="ListBullet"/>
      </w:pPr>
      <w:r>
        <w:t>Availability of approved alternatives.</w:t>
      </w:r>
    </w:p>
    <w:p>
      <w:r>
        <w:t>For example, one spare PLC CPU may be justified for a critical line with a long procurement lead time, while an ordinary terminal block may be inexpensive and readily available.</w:t>
      </w:r>
    </w:p>
    <w:p>
      <w:r>
        <w:t>A simple planning approach is:</w:t>
      </w:r>
    </w:p>
    <w:p>
      <w:pPr>
        <w:spacing w:before="120" w:after="160"/>
        <w:jc w:val="center"/>
      </w:pPr>
      <m:oMathPara>
        <m:oMath>
          <m:sSub>
            <m:e>
              <m:r>
                <m:t>Q</m:t>
              </m:r>
            </m:e>
            <m:sub>
              <m:r>
                <m:rPr>
                  <m:nor/>
                </m:rPr>
                <m:t>total</m:t>
              </m:r>
            </m:sub>
          </m:sSub>
          <m:r>
            <m:t>=</m:t>
          </m:r>
          <m:sSub>
            <m:e>
              <m:r>
                <m:t>Q</m:t>
              </m:r>
            </m:e>
            <m:sub>
              <m:r>
                <m:rPr>
                  <m:nor/>
                </m:rPr>
                <m:t>project</m:t>
              </m:r>
            </m:sub>
          </m:sSub>
          <m:r>
            <m:t>+</m:t>
          </m:r>
          <m:sSub>
            <m:e>
              <m:r>
                <m:t>Q</m:t>
              </m:r>
            </m:e>
            <m:sub>
              <m:r>
                <m:rPr>
                  <m:nor/>
                </m:rPr>
                <m:t>spares</m:t>
              </m:r>
            </m:sub>
          </m:sSub>
        </m:oMath>
      </m:oMathPara>
    </w:p>
    <w:p>
      <w:r>
        <w:t>This equation is valid only when project and spare quantities are measured in the same unit and refer to the same item.</w:t>
      </w:r>
    </w:p>
    <w:p>
      <w:r>
        <w:t>Spare quantities should be shown separately from installation quantities in the RFQ and BOM. Otherwise, the supplier may quote an incorrect amount or the organization may accidentally install its intended maintenance stock.</w:t>
      </w:r>
    </w:p>
    <w:p>
      <w:pPr>
        <w:pStyle w:val="Heading2"/>
      </w:pPr>
      <w:r>
        <w:t>10. Quantity versus capacity</w:t>
      </w:r>
    </w:p>
    <w:p>
      <w:r>
        <w:t>Quantity and capacity describe different characteristics.</w:t>
      </w:r>
    </w:p>
    <w:p>
      <w:pPr>
        <w:pStyle w:val="ListBullet"/>
      </w:pPr>
      <w:r>
        <w:t>Quantity describes how many items are required.</w:t>
      </w:r>
    </w:p>
    <w:p>
      <w:pPr>
        <w:pStyle w:val="ListBullet"/>
      </w:pPr>
      <w:r>
        <w:t>Capacity describes what an item or system can handle.</w:t>
      </w:r>
    </w:p>
    <w:p>
      <w:r>
        <w:t>For example, a requirement for two power supplies is a quantity. A requirement for each supply to provide 10 A is a capacity requirement.</w:t>
      </w:r>
    </w:p>
    <w:p>
      <w:r>
        <w:t>Similarly, a PLC system may require four analog input modules, each with eight channels. The module quantity is four, while the installed channel capacity is 32 channels.</w:t>
      </w:r>
    </w:p>
    <w:p>
      <w:r>
        <w:t>Both must be specified correctly. A correct item count does not prove that the selected system has sufficient capacity.</w:t>
      </w:r>
    </w:p>
    <w:p>
      <w:pPr>
        <w:pStyle w:val="Heading2"/>
      </w:pPr>
      <w:r>
        <w:t>11. Quantity in the BOM</w:t>
      </w:r>
    </w:p>
    <w:p>
      <w:r>
        <w:t>The BOM translates engineering design into a structured list of materials.</w:t>
      </w:r>
    </w:p>
    <w:p>
      <w:r>
        <w:t>A typical BOM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Item number</w:t>
            </w:r>
          </w:p>
        </w:tc>
        <w:tc>
          <w:tcPr>
            <w:tcW w:type="dxa" w:w="5400"/>
          </w:tcPr>
          <w:p>
            <w:pPr>
              <w:spacing w:after="0" w:before="0" w:line="240" w:lineRule="auto"/>
              <w:jc w:val="left"/>
            </w:pPr>
            <w:r>
              <w:t>Unique row identifier</w:t>
            </w:r>
          </w:p>
        </w:tc>
      </w:tr>
      <w:tr>
        <w:tc>
          <w:tcPr>
            <w:tcW w:type="dxa" w:w="5400"/>
          </w:tcPr>
          <w:p>
            <w:pPr>
              <w:spacing w:after="0" w:before="0" w:line="240" w:lineRule="auto"/>
              <w:jc w:val="left"/>
            </w:pPr>
            <w:r>
              <w:t>Part number</w:t>
            </w:r>
          </w:p>
        </w:tc>
        <w:tc>
          <w:tcPr>
            <w:tcW w:type="dxa" w:w="5400"/>
          </w:tcPr>
          <w:p>
            <w:pPr>
              <w:spacing w:after="0" w:before="0" w:line="240" w:lineRule="auto"/>
              <w:jc w:val="left"/>
            </w:pPr>
            <w:r>
              <w:t>Manufacturer or internal material identifier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Clear material description</w:t>
            </w:r>
          </w:p>
        </w:tc>
      </w:tr>
      <w:tr>
        <w:tc>
          <w:tcPr>
            <w:tcW w:type="dxa" w:w="5400"/>
          </w:tcPr>
          <w:p>
            <w:pPr>
              <w:spacing w:after="0" w:before="0" w:line="240" w:lineRule="auto"/>
              <w:jc w:val="left"/>
            </w:pPr>
            <w:r>
              <w:t>Specification</w:t>
            </w:r>
          </w:p>
        </w:tc>
        <w:tc>
          <w:tcPr>
            <w:tcW w:type="dxa" w:w="5400"/>
          </w:tcPr>
          <w:p>
            <w:pPr>
              <w:spacing w:after="0" w:before="0" w:line="240" w:lineRule="auto"/>
              <w:jc w:val="left"/>
            </w:pPr>
            <w:r>
              <w:t>Required technical characteristics</w:t>
            </w:r>
          </w:p>
        </w:tc>
      </w:tr>
      <w:tr>
        <w:tc>
          <w:tcPr>
            <w:tcW w:type="dxa" w:w="5400"/>
          </w:tcPr>
          <w:p>
            <w:pPr>
              <w:spacing w:after="0" w:before="0" w:line="240" w:lineRule="auto"/>
              <w:jc w:val="left"/>
            </w:pPr>
            <w:r>
              <w:t>Unit of measure</w:t>
            </w:r>
          </w:p>
        </w:tc>
        <w:tc>
          <w:tcPr>
            <w:tcW w:type="dxa" w:w="5400"/>
          </w:tcPr>
          <w:p>
            <w:pPr>
              <w:spacing w:after="0" w:before="0" w:line="240" w:lineRule="auto"/>
              <w:jc w:val="left"/>
            </w:pPr>
            <w:r>
              <w:t>EA, M, SET, or other approved unit</w:t>
            </w:r>
          </w:p>
        </w:tc>
      </w:tr>
      <w:tr>
        <w:tc>
          <w:tcPr>
            <w:tcW w:type="dxa" w:w="5400"/>
          </w:tcPr>
          <w:p>
            <w:pPr>
              <w:spacing w:after="0" w:before="0" w:line="240" w:lineRule="auto"/>
              <w:jc w:val="left"/>
            </w:pPr>
            <w:r>
              <w:t>Required quantity</w:t>
            </w:r>
          </w:p>
        </w:tc>
        <w:tc>
          <w:tcPr>
            <w:tcW w:type="dxa" w:w="5400"/>
          </w:tcPr>
          <w:p>
            <w:pPr>
              <w:spacing w:after="0" w:before="0" w:line="240" w:lineRule="auto"/>
              <w:jc w:val="left"/>
            </w:pPr>
            <w:r>
              <w:t>Number or amount needed</w:t>
            </w:r>
          </w:p>
        </w:tc>
      </w:tr>
      <w:tr>
        <w:tc>
          <w:tcPr>
            <w:tcW w:type="dxa" w:w="5400"/>
          </w:tcPr>
          <w:p>
            <w:pPr>
              <w:spacing w:after="0" w:before="0" w:line="240" w:lineRule="auto"/>
              <w:jc w:val="left"/>
            </w:pPr>
            <w:r>
              <w:t>Spare quantity</w:t>
            </w:r>
          </w:p>
        </w:tc>
        <w:tc>
          <w:tcPr>
            <w:tcW w:type="dxa" w:w="5400"/>
          </w:tcPr>
          <w:p>
            <w:pPr>
              <w:spacing w:after="0" w:before="0" w:line="240" w:lineRule="auto"/>
              <w:jc w:val="left"/>
            </w:pPr>
            <w:r>
              <w:t>Additional maintenance stock</w:t>
            </w:r>
          </w:p>
        </w:tc>
      </w:tr>
      <w:tr>
        <w:tc>
          <w:tcPr>
            <w:tcW w:type="dxa" w:w="5400"/>
          </w:tcPr>
          <w:p>
            <w:pPr>
              <w:spacing w:after="0" w:before="0" w:line="240" w:lineRule="auto"/>
              <w:jc w:val="left"/>
            </w:pPr>
            <w:r>
              <w:t>Total quantity</w:t>
            </w:r>
          </w:p>
        </w:tc>
        <w:tc>
          <w:tcPr>
            <w:tcW w:type="dxa" w:w="5400"/>
          </w:tcPr>
          <w:p>
            <w:pPr>
              <w:spacing w:after="0" w:before="0" w:line="240" w:lineRule="auto"/>
              <w:jc w:val="left"/>
            </w:pPr>
            <w:r>
              <w:t>Combined requirement where applicable</w:t>
            </w:r>
          </w:p>
        </w:tc>
      </w:tr>
      <w:tr>
        <w:tc>
          <w:tcPr>
            <w:tcW w:type="dxa" w:w="5400"/>
          </w:tcPr>
          <w:p>
            <w:pPr>
              <w:spacing w:after="0" w:before="0" w:line="240" w:lineRule="auto"/>
              <w:jc w:val="left"/>
            </w:pPr>
            <w:r>
              <w:t>Reference</w:t>
            </w:r>
          </w:p>
        </w:tc>
        <w:tc>
          <w:tcPr>
            <w:tcW w:type="dxa" w:w="5400"/>
          </w:tcPr>
          <w:p>
            <w:pPr>
              <w:spacing w:after="0" w:before="0" w:line="240" w:lineRule="auto"/>
              <w:jc w:val="left"/>
            </w:pPr>
            <w:r>
              <w:t>Drawing, circuit, or equipment tag</w:t>
            </w:r>
          </w:p>
        </w:tc>
      </w:tr>
      <w:tr>
        <w:tc>
          <w:tcPr>
            <w:tcW w:type="dxa" w:w="5400"/>
          </w:tcPr>
          <w:p>
            <w:pPr>
              <w:spacing w:after="0" w:before="0" w:line="240" w:lineRule="auto"/>
              <w:jc w:val="left"/>
            </w:pPr>
            <w:r>
              <w:t>Revision</w:t>
            </w:r>
          </w:p>
        </w:tc>
        <w:tc>
          <w:tcPr>
            <w:tcW w:type="dxa" w:w="5400"/>
          </w:tcPr>
          <w:p>
            <w:pPr>
              <w:spacing w:after="0" w:before="0" w:line="240" w:lineRule="auto"/>
              <w:jc w:val="left"/>
            </w:pPr>
            <w:r>
              <w:t>Applicable design or BOM revision</w:t>
            </w:r>
          </w:p>
        </w:tc>
      </w:tr>
      <w:tr>
        <w:tc>
          <w:tcPr>
            <w:tcW w:type="dxa" w:w="5400"/>
          </w:tcPr>
          <w:p>
            <w:pPr>
              <w:spacing w:after="0" w:before="0" w:line="240" w:lineRule="auto"/>
              <w:jc w:val="left"/>
            </w:pPr>
            <w:r>
              <w:t>Remarks</w:t>
            </w:r>
          </w:p>
        </w:tc>
        <w:tc>
          <w:tcPr>
            <w:tcW w:type="dxa" w:w="5400"/>
          </w:tcPr>
          <w:p>
            <w:pPr>
              <w:spacing w:after="0" w:before="0" w:line="240" w:lineRule="auto"/>
              <w:jc w:val="left"/>
            </w:pPr>
            <w:r>
              <w:t>Approved alternatives or special conditions</w:t>
            </w:r>
          </w:p>
        </w:tc>
      </w:tr>
    </w:tbl>
    <w:p/>
    <w:p>
      <w:r>
        <w:t>Example BOM: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Item</w:t>
            </w:r>
          </w:p>
        </w:tc>
        <w:tc>
          <w:tcPr>
            <w:tcW w:type="dxa" w:w="1800"/>
            <w:shd w:val="clear" w:color="auto" w:fill="EEF2F7"/>
          </w:tcPr>
          <w:p>
            <w:pPr>
              <w:spacing w:after="0" w:before="0" w:line="240" w:lineRule="auto"/>
              <w:jc w:val="left"/>
            </w:pPr>
            <w:r>
              <w:rPr>
                <w:b/>
                <w:color w:val="1A2E4A"/>
              </w:rPr>
              <w:t>Description</w:t>
            </w:r>
          </w:p>
        </w:tc>
        <w:tc>
          <w:tcPr>
            <w:tcW w:type="dxa" w:w="1800"/>
            <w:shd w:val="clear" w:color="auto" w:fill="EEF2F7"/>
          </w:tcPr>
          <w:p>
            <w:pPr>
              <w:spacing w:after="0" w:before="0" w:line="240" w:lineRule="auto"/>
              <w:jc w:val="left"/>
            </w:pPr>
            <w:r>
              <w:rPr>
                <w:b/>
                <w:color w:val="1A2E4A"/>
              </w:rPr>
              <w:t>Unit</w:t>
            </w:r>
          </w:p>
        </w:tc>
        <w:tc>
          <w:tcPr>
            <w:tcW w:type="dxa" w:w="1800"/>
            <w:shd w:val="clear" w:color="auto" w:fill="EEF2F7"/>
          </w:tcPr>
          <w:p>
            <w:pPr>
              <w:spacing w:after="0" w:before="0" w:line="240" w:lineRule="auto"/>
              <w:jc w:val="left"/>
            </w:pPr>
            <w:r>
              <w:rPr>
                <w:b/>
                <w:color w:val="1A2E4A"/>
              </w:rPr>
              <w:t>Project quantity</w:t>
            </w:r>
          </w:p>
        </w:tc>
        <w:tc>
          <w:tcPr>
            <w:tcW w:type="dxa" w:w="1800"/>
            <w:shd w:val="clear" w:color="auto" w:fill="EEF2F7"/>
          </w:tcPr>
          <w:p>
            <w:pPr>
              <w:spacing w:after="0" w:before="0" w:line="240" w:lineRule="auto"/>
              <w:jc w:val="left"/>
            </w:pPr>
            <w:r>
              <w:rPr>
                <w:b/>
                <w:color w:val="1A2E4A"/>
              </w:rPr>
              <w:t>Spare quantity</w:t>
            </w:r>
          </w:p>
        </w:tc>
        <w:tc>
          <w:tcPr>
            <w:tcW w:type="dxa" w:w="1800"/>
            <w:shd w:val="clear" w:color="auto" w:fill="EEF2F7"/>
          </w:tcPr>
          <w:p>
            <w:pPr>
              <w:spacing w:after="0" w:before="0" w:line="240" w:lineRule="auto"/>
              <w:jc w:val="left"/>
            </w:pPr>
            <w:r>
              <w:rPr>
                <w:b/>
                <w:color w:val="1A2E4A"/>
              </w:rPr>
              <w:t>Total quantity</w:t>
            </w:r>
          </w:p>
        </w:tc>
      </w:tr>
      <w:tr>
        <w:tc>
          <w:tcPr>
            <w:tcW w:type="dxa" w:w="1800"/>
          </w:tcPr>
          <w:p>
            <w:pPr>
              <w:spacing w:after="0" w:before="0" w:line="240" w:lineRule="auto"/>
              <w:jc w:val="left"/>
            </w:pPr>
            <w:r>
              <w:t>1</w:t>
            </w:r>
          </w:p>
        </w:tc>
        <w:tc>
          <w:tcPr>
            <w:tcW w:type="dxa" w:w="1800"/>
          </w:tcPr>
          <w:p>
            <w:pPr>
              <w:spacing w:after="0" w:before="0" w:line="240" w:lineRule="auto"/>
              <w:jc w:val="left"/>
            </w:pPr>
            <w:r>
              <w:t>PLC digital input module, 16 channels</w:t>
            </w:r>
          </w:p>
        </w:tc>
        <w:tc>
          <w:tcPr>
            <w:tcW w:type="dxa" w:w="1800"/>
          </w:tcPr>
          <w:p>
            <w:pPr>
              <w:spacing w:after="0" w:before="0" w:line="240" w:lineRule="auto"/>
              <w:jc w:val="left"/>
            </w:pPr>
            <w:r>
              <w:t>EA</w:t>
            </w:r>
          </w:p>
        </w:tc>
        <w:tc>
          <w:tcPr>
            <w:tcW w:type="dxa" w:w="1800"/>
          </w:tcPr>
          <w:p>
            <w:pPr>
              <w:spacing w:after="0" w:before="0" w:line="240" w:lineRule="auto"/>
              <w:jc w:val="left"/>
            </w:pPr>
            <w:r>
              <w:t>3</w:t>
            </w:r>
          </w:p>
        </w:tc>
        <w:tc>
          <w:tcPr>
            <w:tcW w:type="dxa" w:w="1800"/>
          </w:tcPr>
          <w:p>
            <w:pPr>
              <w:spacing w:after="0" w:before="0" w:line="240" w:lineRule="auto"/>
              <w:jc w:val="left"/>
            </w:pPr>
            <w:r>
              <w:t>1</w:t>
            </w:r>
          </w:p>
        </w:tc>
        <w:tc>
          <w:tcPr>
            <w:tcW w:type="dxa" w:w="1800"/>
          </w:tcPr>
          <w:p>
            <w:pPr>
              <w:spacing w:after="0" w:before="0" w:line="240" w:lineRule="auto"/>
              <w:jc w:val="left"/>
            </w:pPr>
            <w:r>
              <w:t>4</w:t>
            </w:r>
          </w:p>
        </w:tc>
      </w:tr>
      <w:tr>
        <w:tc>
          <w:tcPr>
            <w:tcW w:type="dxa" w:w="1800"/>
          </w:tcPr>
          <w:p>
            <w:pPr>
              <w:spacing w:after="0" w:before="0" w:line="240" w:lineRule="auto"/>
              <w:jc w:val="left"/>
            </w:pPr>
            <w:r>
              <w:t>2</w:t>
            </w:r>
          </w:p>
        </w:tc>
        <w:tc>
          <w:tcPr>
            <w:tcW w:type="dxa" w:w="1800"/>
          </w:tcPr>
          <w:p>
            <w:pPr>
              <w:spacing w:after="0" w:before="0" w:line="240" w:lineRule="auto"/>
              <w:jc w:val="left"/>
            </w:pPr>
            <w:r>
              <w:t>PLC digital output module, 16 channels</w:t>
            </w:r>
          </w:p>
        </w:tc>
        <w:tc>
          <w:tcPr>
            <w:tcW w:type="dxa" w:w="1800"/>
          </w:tcPr>
          <w:p>
            <w:pPr>
              <w:spacing w:after="0" w:before="0" w:line="240" w:lineRule="auto"/>
              <w:jc w:val="left"/>
            </w:pPr>
            <w:r>
              <w:t>EA</w:t>
            </w:r>
          </w:p>
        </w:tc>
        <w:tc>
          <w:tcPr>
            <w:tcW w:type="dxa" w:w="1800"/>
          </w:tcPr>
          <w:p>
            <w:pPr>
              <w:spacing w:after="0" w:before="0" w:line="240" w:lineRule="auto"/>
              <w:jc w:val="left"/>
            </w:pPr>
            <w:r>
              <w:t>2</w:t>
            </w:r>
          </w:p>
        </w:tc>
        <w:tc>
          <w:tcPr>
            <w:tcW w:type="dxa" w:w="1800"/>
          </w:tcPr>
          <w:p>
            <w:pPr>
              <w:spacing w:after="0" w:before="0" w:line="240" w:lineRule="auto"/>
              <w:jc w:val="left"/>
            </w:pPr>
            <w:r>
              <w:t>1</w:t>
            </w:r>
          </w:p>
        </w:tc>
        <w:tc>
          <w:tcPr>
            <w:tcW w:type="dxa" w:w="1800"/>
          </w:tcPr>
          <w:p>
            <w:pPr>
              <w:spacing w:after="0" w:before="0" w:line="240" w:lineRule="auto"/>
              <w:jc w:val="left"/>
            </w:pPr>
            <w:r>
              <w:t>3</w:t>
            </w:r>
          </w:p>
        </w:tc>
      </w:tr>
      <w:tr>
        <w:tc>
          <w:tcPr>
            <w:tcW w:type="dxa" w:w="1800"/>
          </w:tcPr>
          <w:p>
            <w:pPr>
              <w:spacing w:after="0" w:before="0" w:line="240" w:lineRule="auto"/>
              <w:jc w:val="left"/>
            </w:pPr>
            <w:r>
              <w:t>3</w:t>
            </w:r>
          </w:p>
        </w:tc>
        <w:tc>
          <w:tcPr>
            <w:tcW w:type="dxa" w:w="1800"/>
          </w:tcPr>
          <w:p>
            <w:pPr>
              <w:spacing w:after="0" w:before="0" w:line="240" w:lineRule="auto"/>
              <w:jc w:val="left"/>
            </w:pPr>
            <w:r>
              <w:t>Industrial Ethernet switch, 8 ports</w:t>
            </w:r>
          </w:p>
        </w:tc>
        <w:tc>
          <w:tcPr>
            <w:tcW w:type="dxa" w:w="1800"/>
          </w:tcPr>
          <w:p>
            <w:pPr>
              <w:spacing w:after="0" w:before="0" w:line="240" w:lineRule="auto"/>
              <w:jc w:val="left"/>
            </w:pPr>
            <w:r>
              <w:t>EA</w:t>
            </w:r>
          </w:p>
        </w:tc>
        <w:tc>
          <w:tcPr>
            <w:tcW w:type="dxa" w:w="1800"/>
          </w:tcPr>
          <w:p>
            <w:pPr>
              <w:spacing w:after="0" w:before="0" w:line="240" w:lineRule="auto"/>
              <w:jc w:val="left"/>
            </w:pPr>
            <w:r>
              <w:t>1</w:t>
            </w:r>
          </w:p>
        </w:tc>
        <w:tc>
          <w:tcPr>
            <w:tcW w:type="dxa" w:w="1800"/>
          </w:tcPr>
          <w:p>
            <w:pPr>
              <w:spacing w:after="0" w:before="0" w:line="240" w:lineRule="auto"/>
              <w:jc w:val="left"/>
            </w:pPr>
            <w:r>
              <w:t>1</w:t>
            </w:r>
          </w:p>
        </w:tc>
        <w:tc>
          <w:tcPr>
            <w:tcW w:type="dxa" w:w="1800"/>
          </w:tcPr>
          <w:p>
            <w:pPr>
              <w:spacing w:after="0" w:before="0" w:line="240" w:lineRule="auto"/>
              <w:jc w:val="left"/>
            </w:pPr>
            <w:r>
              <w:t>2</w:t>
            </w:r>
          </w:p>
        </w:tc>
      </w:tr>
      <w:tr>
        <w:tc>
          <w:tcPr>
            <w:tcW w:type="dxa" w:w="1800"/>
          </w:tcPr>
          <w:p>
            <w:pPr>
              <w:spacing w:after="0" w:before="0" w:line="240" w:lineRule="auto"/>
              <w:jc w:val="left"/>
            </w:pPr>
            <w:r>
              <w:t>4</w:t>
            </w:r>
          </w:p>
        </w:tc>
        <w:tc>
          <w:tcPr>
            <w:tcW w:type="dxa" w:w="1800"/>
          </w:tcPr>
          <w:p>
            <w:pPr>
              <w:spacing w:after="0" w:before="0" w:line="240" w:lineRule="auto"/>
              <w:jc w:val="left"/>
            </w:pPr>
            <w:r>
              <w:t>24 V DC power supply, approved rating</w:t>
            </w:r>
          </w:p>
        </w:tc>
        <w:tc>
          <w:tcPr>
            <w:tcW w:type="dxa" w:w="1800"/>
          </w:tcPr>
          <w:p>
            <w:pPr>
              <w:spacing w:after="0" w:before="0" w:line="240" w:lineRule="auto"/>
              <w:jc w:val="left"/>
            </w:pPr>
            <w:r>
              <w:t>EA</w:t>
            </w:r>
          </w:p>
        </w:tc>
        <w:tc>
          <w:tcPr>
            <w:tcW w:type="dxa" w:w="1800"/>
          </w:tcPr>
          <w:p>
            <w:pPr>
              <w:spacing w:after="0" w:before="0" w:line="240" w:lineRule="auto"/>
              <w:jc w:val="left"/>
            </w:pPr>
            <w:r>
              <w:t>2</w:t>
            </w:r>
          </w:p>
        </w:tc>
        <w:tc>
          <w:tcPr>
            <w:tcW w:type="dxa" w:w="1800"/>
          </w:tcPr>
          <w:p>
            <w:pPr>
              <w:spacing w:after="0" w:before="0" w:line="240" w:lineRule="auto"/>
              <w:jc w:val="left"/>
            </w:pPr>
            <w:r>
              <w:t>1</w:t>
            </w:r>
          </w:p>
        </w:tc>
        <w:tc>
          <w:tcPr>
            <w:tcW w:type="dxa" w:w="1800"/>
          </w:tcPr>
          <w:p>
            <w:pPr>
              <w:spacing w:after="0" w:before="0" w:line="240" w:lineRule="auto"/>
              <w:jc w:val="left"/>
            </w:pPr>
            <w:r>
              <w:t>3</w:t>
            </w:r>
          </w:p>
        </w:tc>
      </w:tr>
      <w:tr>
        <w:tc>
          <w:tcPr>
            <w:tcW w:type="dxa" w:w="1800"/>
          </w:tcPr>
          <w:p>
            <w:pPr>
              <w:spacing w:after="0" w:before="0" w:line="240" w:lineRule="auto"/>
              <w:jc w:val="left"/>
            </w:pPr>
            <w:r>
              <w:t>5</w:t>
            </w:r>
          </w:p>
        </w:tc>
        <w:tc>
          <w:tcPr>
            <w:tcW w:type="dxa" w:w="1800"/>
          </w:tcPr>
          <w:p>
            <w:pPr>
              <w:spacing w:after="0" w:before="0" w:line="240" w:lineRule="auto"/>
              <w:jc w:val="left"/>
            </w:pPr>
            <w:r>
              <w:t>Control cable, specified type</w:t>
            </w:r>
          </w:p>
        </w:tc>
        <w:tc>
          <w:tcPr>
            <w:tcW w:type="dxa" w:w="1800"/>
          </w:tcPr>
          <w:p>
            <w:pPr>
              <w:spacing w:after="0" w:before="0" w:line="240" w:lineRule="auto"/>
              <w:jc w:val="left"/>
            </w:pPr>
            <w:r>
              <w:t>M</w:t>
            </w:r>
          </w:p>
        </w:tc>
        <w:tc>
          <w:tcPr>
            <w:tcW w:type="dxa" w:w="1800"/>
          </w:tcPr>
          <w:p>
            <w:pPr>
              <w:spacing w:after="0" w:before="0" w:line="240" w:lineRule="auto"/>
              <w:jc w:val="left"/>
            </w:pPr>
            <w:r>
              <w:t>120</w:t>
            </w:r>
          </w:p>
        </w:tc>
        <w:tc>
          <w:tcPr>
            <w:tcW w:type="dxa" w:w="1800"/>
          </w:tcPr>
          <w:p>
            <w:pPr>
              <w:spacing w:after="0" w:before="0" w:line="240" w:lineRule="auto"/>
              <w:jc w:val="left"/>
            </w:pPr>
            <w:r>
              <w:t>10</w:t>
            </w:r>
          </w:p>
        </w:tc>
        <w:tc>
          <w:tcPr>
            <w:tcW w:type="dxa" w:w="1800"/>
          </w:tcPr>
          <w:p>
            <w:pPr>
              <w:spacing w:after="0" w:before="0" w:line="240" w:lineRule="auto"/>
              <w:jc w:val="left"/>
            </w:pPr>
            <w:r>
              <w:t>130</w:t>
            </w:r>
          </w:p>
        </w:tc>
      </w:tr>
    </w:tbl>
    <w:p/>
    <w:p>
      <w:r>
        <w:t>The example quantities are illustrative, not a universal recommendation. Actual quantities must come from the approved design and maintenance strategy.</w:t>
      </w:r>
    </w:p>
    <w:p>
      <w:pPr>
        <w:pStyle w:val="Heading2"/>
      </w:pPr>
      <w:r>
        <w:t>12. Quantity definition in an RFQ</w:t>
      </w:r>
    </w:p>
    <w:p>
      <w:r>
        <w:t>The RFQ must state the required quantity clearly enough for each supplier to prepare a comparable quotation.</w:t>
      </w:r>
    </w:p>
    <w:p>
      <w:r>
        <w:t>For each line item, define:</w:t>
      </w:r>
    </w:p>
    <w:p>
      <w:pPr>
        <w:pStyle w:val="ListBullet"/>
      </w:pPr>
      <w:r>
        <w:t>Item number and description.</w:t>
      </w:r>
    </w:p>
    <w:p>
      <w:pPr>
        <w:pStyle w:val="ListBullet"/>
      </w:pPr>
      <w:r>
        <w:t>Technical specification or approved reference.</w:t>
      </w:r>
    </w:p>
    <w:p>
      <w:pPr>
        <w:pStyle w:val="ListBullet"/>
      </w:pPr>
      <w:r>
        <w:t>Unit of measurement.</w:t>
      </w:r>
    </w:p>
    <w:p>
      <w:pPr>
        <w:pStyle w:val="ListBullet"/>
      </w:pPr>
      <w:r>
        <w:t>Required quantity.</w:t>
      </w:r>
    </w:p>
    <w:p>
      <w:pPr>
        <w:pStyle w:val="ListBullet"/>
      </w:pPr>
      <w:r>
        <w:t>Whether the quantity is fixed or estimated.</w:t>
      </w:r>
    </w:p>
    <w:p>
      <w:pPr>
        <w:pStyle w:val="ListBullet"/>
      </w:pPr>
      <w:r>
        <w:t>Required delivery quantity and schedule.</w:t>
      </w:r>
    </w:p>
    <w:p>
      <w:pPr>
        <w:pStyle w:val="ListBullet"/>
      </w:pPr>
      <w:r>
        <w:t>Spare or optional quantities, where applicable.</w:t>
      </w:r>
    </w:p>
    <w:p>
      <w:pPr>
        <w:pStyle w:val="ListBullet"/>
      </w:pPr>
      <w:r>
        <w:t>Packaging and minimum-order constraints.</w:t>
      </w:r>
    </w:p>
    <w:p>
      <w:pPr>
        <w:pStyle w:val="ListBullet"/>
      </w:pPr>
      <w:r>
        <w:t>Any permitted alternatives.</w:t>
      </w:r>
    </w:p>
    <w:p>
      <w:pPr>
        <w:pStyle w:val="ListBullet"/>
      </w:pPr>
      <w:r>
        <w:t>Whether installation, commissioning, or other services are included.</w:t>
      </w:r>
    </w:p>
    <w:p>
      <w:r>
        <w:t>If quantities are estimates, label them clearly and state how final quantities will be determined. Do not present an estimate as a guaranteed purchase quantity.</w:t>
      </w:r>
    </w:p>
    <w:p>
      <w:r>
        <w:t>For bulk materials, clarify whether the supplier should quote the estimated requirement, a defined minimum, or a rate per unit subject to an approved final measurement.</w:t>
      </w:r>
    </w:p>
    <w:p>
      <w:pPr>
        <w:pStyle w:val="Heading2"/>
      </w:pPr>
      <w:r>
        <w:t>13. Fixed, estimated, and optional quantities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Quantity basis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Procurement treatment</w:t>
            </w:r>
          </w:p>
        </w:tc>
      </w:tr>
      <w:tr>
        <w:tc>
          <w:tcPr>
            <w:tcW w:type="dxa" w:w="3600"/>
          </w:tcPr>
          <w:p>
            <w:pPr>
              <w:spacing w:after="0" w:before="0" w:line="240" w:lineRule="auto"/>
              <w:jc w:val="left"/>
            </w:pPr>
            <w:r>
              <w:t>Fixed quantity</w:t>
            </w:r>
          </w:p>
        </w:tc>
        <w:tc>
          <w:tcPr>
            <w:tcW w:type="dxa" w:w="3600"/>
          </w:tcPr>
          <w:p>
            <w:pPr>
              <w:spacing w:after="0" w:before="0" w:line="240" w:lineRule="auto"/>
              <w:jc w:val="left"/>
            </w:pPr>
            <w:r>
              <w:t>Exact required amount</w:t>
            </w:r>
          </w:p>
        </w:tc>
        <w:tc>
          <w:tcPr>
            <w:tcW w:type="dxa" w:w="3600"/>
          </w:tcPr>
          <w:p>
            <w:pPr>
              <w:spacing w:after="0" w:before="0" w:line="240" w:lineRule="auto"/>
              <w:jc w:val="left"/>
            </w:pPr>
            <w:r>
              <w:t>Quote and supply the stated quantity</w:t>
            </w:r>
          </w:p>
        </w:tc>
      </w:tr>
      <w:tr>
        <w:tc>
          <w:tcPr>
            <w:tcW w:type="dxa" w:w="3600"/>
          </w:tcPr>
          <w:p>
            <w:pPr>
              <w:spacing w:after="0" w:before="0" w:line="240" w:lineRule="auto"/>
              <w:jc w:val="left"/>
            </w:pPr>
            <w:r>
              <w:t>Estimated quantity</w:t>
            </w:r>
          </w:p>
        </w:tc>
        <w:tc>
          <w:tcPr>
            <w:tcW w:type="dxa" w:w="3600"/>
          </w:tcPr>
          <w:p>
            <w:pPr>
              <w:spacing w:after="0" w:before="0" w:line="240" w:lineRule="auto"/>
              <w:jc w:val="left"/>
            </w:pPr>
            <w:r>
              <w:t>Forecast amount subject to confirmation</w:t>
            </w:r>
          </w:p>
        </w:tc>
        <w:tc>
          <w:tcPr>
            <w:tcW w:type="dxa" w:w="3600"/>
          </w:tcPr>
          <w:p>
            <w:pPr>
              <w:spacing w:after="0" w:before="0" w:line="240" w:lineRule="auto"/>
              <w:jc w:val="left"/>
            </w:pPr>
            <w:r>
              <w:t>State the basis and adjustment mechanism</w:t>
            </w:r>
          </w:p>
        </w:tc>
      </w:tr>
      <w:tr>
        <w:tc>
          <w:tcPr>
            <w:tcW w:type="dxa" w:w="3600"/>
          </w:tcPr>
          <w:p>
            <w:pPr>
              <w:spacing w:after="0" w:before="0" w:line="240" w:lineRule="auto"/>
              <w:jc w:val="left"/>
            </w:pPr>
            <w:r>
              <w:t>Optional quantity</w:t>
            </w:r>
          </w:p>
        </w:tc>
        <w:tc>
          <w:tcPr>
            <w:tcW w:type="dxa" w:w="3600"/>
          </w:tcPr>
          <w:p>
            <w:pPr>
              <w:spacing w:after="0" w:before="0" w:line="240" w:lineRule="auto"/>
              <w:jc w:val="left"/>
            </w:pPr>
            <w:r>
              <w:t>Additional amount that may be ordered</w:t>
            </w:r>
          </w:p>
        </w:tc>
        <w:tc>
          <w:tcPr>
            <w:tcW w:type="dxa" w:w="3600"/>
          </w:tcPr>
          <w:p>
            <w:pPr>
              <w:spacing w:after="0" w:before="0" w:line="240" w:lineRule="auto"/>
              <w:jc w:val="left"/>
            </w:pPr>
            <w:r>
              <w:t>Quote separately or identify the option price</w:t>
            </w:r>
          </w:p>
        </w:tc>
      </w:tr>
      <w:tr>
        <w:tc>
          <w:tcPr>
            <w:tcW w:type="dxa" w:w="3600"/>
          </w:tcPr>
          <w:p>
            <w:pPr>
              <w:spacing w:after="0" w:before="0" w:line="240" w:lineRule="auto"/>
              <w:jc w:val="left"/>
            </w:pPr>
            <w:r>
              <w:t>Provisional quantity</w:t>
            </w:r>
          </w:p>
        </w:tc>
        <w:tc>
          <w:tcPr>
            <w:tcW w:type="dxa" w:w="3600"/>
          </w:tcPr>
          <w:p>
            <w:pPr>
              <w:spacing w:after="0" w:before="0" w:line="240" w:lineRule="auto"/>
              <w:jc w:val="left"/>
            </w:pPr>
            <w:r>
              <w:t>Allowance for work or materials not fully defined</w:t>
            </w:r>
          </w:p>
        </w:tc>
        <w:tc>
          <w:tcPr>
            <w:tcW w:type="dxa" w:w="3600"/>
          </w:tcPr>
          <w:p>
            <w:pPr>
              <w:spacing w:after="0" w:before="0" w:line="240" w:lineRule="auto"/>
              <w:jc w:val="left"/>
            </w:pPr>
            <w:r>
              <w:t>Apply the contractual measurement and approval rules</w:t>
            </w:r>
          </w:p>
        </w:tc>
      </w:tr>
      <w:tr>
        <w:tc>
          <w:tcPr>
            <w:tcW w:type="dxa" w:w="3600"/>
          </w:tcPr>
          <w:p>
            <w:pPr>
              <w:spacing w:after="0" w:before="0" w:line="240" w:lineRule="auto"/>
              <w:jc w:val="left"/>
            </w:pPr>
            <w:r>
              <w:t>Framework quantity</w:t>
            </w:r>
          </w:p>
        </w:tc>
        <w:tc>
          <w:tcPr>
            <w:tcW w:type="dxa" w:w="3600"/>
          </w:tcPr>
          <w:p>
            <w:pPr>
              <w:spacing w:after="0" w:before="0" w:line="240" w:lineRule="auto"/>
              <w:jc w:val="left"/>
            </w:pPr>
            <w:r>
              <w:t>Expected requirement across multiple orders</w:t>
            </w:r>
          </w:p>
        </w:tc>
        <w:tc>
          <w:tcPr>
            <w:tcW w:type="dxa" w:w="3600"/>
          </w:tcPr>
          <w:p>
            <w:pPr>
              <w:spacing w:after="0" w:before="0" w:line="240" w:lineRule="auto"/>
              <w:jc w:val="left"/>
            </w:pPr>
            <w:r>
              <w:t>Clarify commitment, ordering period, and pricing basis</w:t>
            </w:r>
          </w:p>
        </w:tc>
      </w:tr>
    </w:tbl>
    <w:p/>
    <w:p>
      <w:r>
        <w:t>The purchase commitment depends on the RFQ and contract terms. A supplier should not assume that an estimated or optional quantity is guaranteed.</w:t>
      </w:r>
    </w:p>
    <w:p>
      <w:pPr>
        <w:pStyle w:val="Heading2"/>
      </w:pPr>
      <w:r>
        <w:t>14. Quantity verification before RFQ release</w:t>
      </w:r>
    </w:p>
    <w:p>
      <w:r>
        <w:t>Before issuing an RFQ, reconcile the quantity list against engineering documents.</w:t>
      </w:r>
    </w:p>
    <w:p>
      <w:r>
        <w:t>A practical verification method is:</w:t>
      </w:r>
    </w:p>
    <w:p>
      <w:pPr>
        <w:tabs>
          <w:tab w:pos="403" w:val="left"/>
        </w:tabs>
        <w:spacing w:after="40" w:line="276" w:lineRule="auto"/>
        <w:ind w:left="403" w:hanging="403"/>
        <w:jc w:val="left"/>
      </w:pPr>
      <w:r>
        <w:rPr>
          <w:color w:val="1A2E4A"/>
        </w:rPr>
        <w:t>1.</w:t>
        <w:tab/>
      </w:r>
      <w:r>
        <w:t>Confirm that each item belongs to the approved scope of supply.</w:t>
      </w:r>
    </w:p>
    <w:p>
      <w:pPr>
        <w:tabs>
          <w:tab w:pos="403" w:val="left"/>
        </w:tabs>
        <w:spacing w:after="40" w:line="276" w:lineRule="auto"/>
        <w:ind w:left="403" w:hanging="403"/>
        <w:jc w:val="left"/>
      </w:pPr>
      <w:r>
        <w:rPr>
          <w:color w:val="1A2E4A"/>
        </w:rPr>
        <w:t>2.</w:t>
        <w:tab/>
      </w:r>
      <w:r>
        <w:t>Verify equipment counts against layouts, schematics, I/O lists, and BOMs.</w:t>
      </w:r>
    </w:p>
    <w:p>
      <w:pPr>
        <w:tabs>
          <w:tab w:pos="403" w:val="left"/>
        </w:tabs>
        <w:spacing w:after="40" w:line="276" w:lineRule="auto"/>
        <w:ind w:left="403" w:hanging="403"/>
        <w:jc w:val="left"/>
      </w:pPr>
      <w:r>
        <w:rPr>
          <w:color w:val="1A2E4A"/>
        </w:rPr>
        <w:t>3.</w:t>
        <w:tab/>
      </w:r>
      <w:r>
        <w:t>Recalculate module capacities and specialized hardware requirements.</w:t>
      </w:r>
    </w:p>
    <w:p>
      <w:pPr>
        <w:tabs>
          <w:tab w:pos="403" w:val="left"/>
        </w:tabs>
        <w:spacing w:after="40" w:line="276" w:lineRule="auto"/>
        <w:ind w:left="403" w:hanging="403"/>
        <w:jc w:val="left"/>
      </w:pPr>
      <w:r>
        <w:rPr>
          <w:color w:val="1A2E4A"/>
        </w:rPr>
        <w:t>4.</w:t>
        <w:tab/>
      </w:r>
      <w:r>
        <w:t>Check that required accessories are included.</w:t>
      </w:r>
    </w:p>
    <w:p>
      <w:pPr>
        <w:tabs>
          <w:tab w:pos="403" w:val="left"/>
        </w:tabs>
        <w:spacing w:after="40" w:line="276" w:lineRule="auto"/>
        <w:ind w:left="403" w:hanging="403"/>
        <w:jc w:val="left"/>
      </w:pPr>
      <w:r>
        <w:rPr>
          <w:color w:val="1A2E4A"/>
        </w:rPr>
        <w:t>5.</w:t>
        <w:tab/>
      </w:r>
      <w:r>
        <w:t>Confirm cable lengths against routing information.</w:t>
      </w:r>
    </w:p>
    <w:p>
      <w:pPr>
        <w:tabs>
          <w:tab w:pos="403" w:val="left"/>
        </w:tabs>
        <w:spacing w:after="40" w:line="276" w:lineRule="auto"/>
        <w:ind w:left="403" w:hanging="403"/>
        <w:jc w:val="left"/>
      </w:pPr>
      <w:r>
        <w:rPr>
          <w:color w:val="1A2E4A"/>
        </w:rPr>
        <w:t>6.</w:t>
        <w:tab/>
      </w:r>
      <w:r>
        <w:t>Separate project quantities from spare quantities.</w:t>
      </w:r>
    </w:p>
    <w:p>
      <w:pPr>
        <w:tabs>
          <w:tab w:pos="403" w:val="left"/>
        </w:tabs>
        <w:spacing w:after="40" w:line="276" w:lineRule="auto"/>
        <w:ind w:left="403" w:hanging="403"/>
        <w:jc w:val="left"/>
      </w:pPr>
      <w:r>
        <w:rPr>
          <w:color w:val="1A2E4A"/>
        </w:rPr>
        <w:t>7.</w:t>
        <w:tab/>
      </w:r>
      <w:r>
        <w:t>Confirm units of measurement and packaging assumptions.</w:t>
      </w:r>
    </w:p>
    <w:p>
      <w:pPr>
        <w:tabs>
          <w:tab w:pos="403" w:val="left"/>
        </w:tabs>
        <w:spacing w:after="40" w:line="276" w:lineRule="auto"/>
        <w:ind w:left="403" w:hanging="403"/>
        <w:jc w:val="left"/>
      </w:pPr>
      <w:r>
        <w:rPr>
          <w:color w:val="1A2E4A"/>
        </w:rPr>
        <w:t>8.</w:t>
        <w:tab/>
      </w:r>
      <w:r>
        <w:t>Check whether minimum order quantities affect the purchase.</w:t>
      </w:r>
    </w:p>
    <w:p>
      <w:pPr>
        <w:tabs>
          <w:tab w:pos="403" w:val="left"/>
        </w:tabs>
        <w:spacing w:after="40" w:line="276" w:lineRule="auto"/>
        <w:ind w:left="403" w:hanging="403"/>
        <w:jc w:val="left"/>
      </w:pPr>
      <w:r>
        <w:rPr>
          <w:color w:val="1A2E4A"/>
        </w:rPr>
        <w:t>9.</w:t>
        <w:tab/>
      </w:r>
      <w:r>
        <w:t>Compare the current revision with earlier approved revisions.</w:t>
      </w:r>
    </w:p>
    <w:p>
      <w:pPr>
        <w:tabs>
          <w:tab w:pos="403" w:val="left"/>
        </w:tabs>
        <w:spacing w:after="40" w:line="276" w:lineRule="auto"/>
        <w:ind w:left="403" w:hanging="403"/>
        <w:jc w:val="left"/>
      </w:pPr>
      <w:r>
        <w:rPr>
          <w:color w:val="1A2E4A"/>
        </w:rPr>
        <w:t>10.</w:t>
        <w:tab/>
      </w:r>
      <w:r>
        <w:t>Obtain the required engineering and procurement approvals.</w:t>
      </w:r>
    </w:p>
    <w:p>
      <w:r>
        <w:t>A second-person check is particularly useful for high-value equipment, large cable schedules, and complex automation systems.</w:t>
      </w:r>
    </w:p>
    <w:p>
      <w:pPr>
        <w:pStyle w:val="Heading2"/>
      </w:pPr>
      <w:r>
        <w:t>15. Quantity changes and revision control</w:t>
      </w:r>
    </w:p>
    <w:p>
      <w:r>
        <w:t>Quantities can change because of design modifications, site conditions, supplier recommendations, or newly identified requirements.</w:t>
      </w:r>
    </w:p>
    <w:p>
      <w:r>
        <w:t>Every material change should be traceable.</w:t>
      </w:r>
    </w:p>
    <w:p>
      <w:r>
        <w:t>A controlled change should identify:</w:t>
      </w:r>
    </w:p>
    <w:p>
      <w:pPr>
        <w:pStyle w:val="ListBullet"/>
      </w:pPr>
      <w:r>
        <w:t>Original quantity.</w:t>
      </w:r>
    </w:p>
    <w:p>
      <w:pPr>
        <w:pStyle w:val="ListBullet"/>
      </w:pPr>
      <w:r>
        <w:t>Revised quantity.</w:t>
      </w:r>
    </w:p>
    <w:p>
      <w:pPr>
        <w:pStyle w:val="ListBullet"/>
      </w:pPr>
      <w:r>
        <w:t>Difference.</w:t>
      </w:r>
    </w:p>
    <w:p>
      <w:pPr>
        <w:pStyle w:val="ListBullet"/>
      </w:pPr>
      <w:r>
        <w:t>Reason for change.</w:t>
      </w:r>
    </w:p>
    <w:p>
      <w:pPr>
        <w:pStyle w:val="ListBullet"/>
      </w:pPr>
      <w:r>
        <w:t>Affected drawings and documents.</w:t>
      </w:r>
    </w:p>
    <w:p>
      <w:pPr>
        <w:pStyle w:val="ListBullet"/>
      </w:pPr>
      <w:r>
        <w:t>Cost impact.</w:t>
      </w:r>
    </w:p>
    <w:p>
      <w:pPr>
        <w:pStyle w:val="ListBullet"/>
      </w:pPr>
      <w:r>
        <w:t>Delivery or schedule impact.</w:t>
      </w:r>
    </w:p>
    <w:p>
      <w:pPr>
        <w:pStyle w:val="ListBullet"/>
      </w:pPr>
      <w:r>
        <w:t>Required approvals.</w:t>
      </w:r>
    </w:p>
    <w:p>
      <w:pPr>
        <w:pStyle w:val="ListBullet"/>
      </w:pPr>
      <w:r>
        <w:t>Supplier communication.</w:t>
      </w:r>
    </w:p>
    <w:p>
      <w:pPr>
        <w:pStyle w:val="ListBullet"/>
      </w:pPr>
      <w:r>
        <w:t>Effective revision.</w:t>
      </w:r>
    </w:p>
    <w:p>
      <w:r>
        <w:t>The quantity difference is calculated as:</w:t>
      </w:r>
    </w:p>
    <w:p>
      <w:pPr>
        <w:spacing w:before="120" w:after="160"/>
        <w:jc w:val="center"/>
      </w:pPr>
      <m:oMathPara>
        <m:oMath>
          <m:r>
            <m:t>ΔQ=</m:t>
          </m:r>
          <m:sSub>
            <m:e>
              <m:r>
                <m:t>Q</m:t>
              </m:r>
            </m:e>
            <m:sub>
              <m:r>
                <m:rPr>
                  <m:nor/>
                </m:rPr>
                <m:t>revised</m:t>
              </m:r>
            </m:sub>
          </m:sSub>
          <m:r>
            <m:t>−</m:t>
          </m:r>
          <m:sSub>
            <m:e>
              <m:r>
                <m:t>Q</m:t>
              </m:r>
            </m:e>
            <m:sub>
              <m:r>
                <m:rPr>
                  <m:nor/>
                </m:rPr>
                <m:t>original</m:t>
              </m:r>
            </m:sub>
          </m:sSub>
        </m:oMath>
      </m:oMathPara>
    </w:p>
    <w:p>
      <w:r>
        <w:t>For example, if the original design requires 12 sensors and the revised design requires 15:</w:t>
      </w:r>
    </w:p>
    <w:p>
      <w:pPr>
        <w:spacing w:before="120" w:after="160"/>
        <w:jc w:val="center"/>
      </w:pPr>
      <m:oMathPara>
        <m:oMath>
          <m:r>
            <m:t>ΔQ=15−12=3</m:t>
          </m:r>
        </m:oMath>
      </m:oMathPara>
    </w:p>
    <w:p>
      <w:r>
        <w:t>The change adds three sensors. Procurement must also verify whether mounting hardware, cables, I/O capacity, and installation work need to change.</w:t>
      </w:r>
    </w:p>
    <w:p>
      <w:r>
        <w:t>Never update a spreadsheet quantity without checking the dependent design documents and procurement status. The spreadsheet may look correct while the machine is quietly preparing to disagree.</w:t>
      </w:r>
    </w:p>
    <w:p>
      <w:pPr>
        <w:pStyle w:val="Heading2"/>
      </w:pPr>
      <w:r>
        <w:t>16. Quantity reconciliation during material receipt</w:t>
      </w:r>
    </w:p>
    <w:p>
      <w:r>
        <w:t>Quantity control continues after the purchase order is released.</w:t>
      </w:r>
    </w:p>
    <w:p>
      <w:r>
        <w:t>At receipt, distinguish between:</w:t>
      </w:r>
    </w:p>
    <w:p>
      <w:pPr>
        <w:pStyle w:val="ListBullet"/>
      </w:pPr>
      <w:r>
        <w:t>Ordered quantity.</w:t>
      </w:r>
    </w:p>
    <w:p>
      <w:pPr>
        <w:pStyle w:val="ListBullet"/>
      </w:pPr>
      <w:r>
        <w:t>Shipped quantity.</w:t>
      </w:r>
    </w:p>
    <w:p>
      <w:pPr>
        <w:pStyle w:val="ListBullet"/>
      </w:pPr>
      <w:r>
        <w:t>Physically received quantity.</w:t>
      </w:r>
    </w:p>
    <w:p>
      <w:pPr>
        <w:pStyle w:val="ListBullet"/>
      </w:pPr>
      <w:r>
        <w:t>Inspected quantity.</w:t>
      </w:r>
    </w:p>
    <w:p>
      <w:pPr>
        <w:pStyle w:val="ListBullet"/>
      </w:pPr>
      <w:r>
        <w:t>Accepted quantity.</w:t>
      </w:r>
    </w:p>
    <w:p>
      <w:pPr>
        <w:pStyle w:val="ListBullet"/>
      </w:pPr>
      <w:r>
        <w:t>Rejected or damaged quantity.</w:t>
      </w:r>
    </w:p>
    <w:p>
      <w:pPr>
        <w:pStyle w:val="ListBullet"/>
      </w:pPr>
      <w:r>
        <w:t>Outstanding quantity.</w:t>
      </w:r>
    </w:p>
    <w:p>
      <w:pPr>
        <w:pStyle w:val="ListBullet"/>
      </w:pPr>
      <w:r>
        <w:t>Quantity posted into inventory.</w:t>
      </w:r>
    </w:p>
    <w:p>
      <w:r>
        <w:t>A basic outstanding quantity calculation is:</w:t>
      </w:r>
    </w:p>
    <w:p>
      <w:pPr>
        <w:spacing w:before="120" w:after="160"/>
        <w:jc w:val="center"/>
      </w:pPr>
      <m:oMathPara>
        <m:oMath>
          <m:sSub>
            <m:e>
              <m:r>
                <m:t>Q</m:t>
              </m:r>
            </m:e>
            <m:sub>
              <m:r>
                <m:rPr>
                  <m:nor/>
                </m:rPr>
                <m:t>outstanding</m:t>
              </m:r>
            </m:sub>
          </m:sSub>
          <m:r>
            <m:t>=</m:t>
          </m:r>
          <m:sSub>
            <m:e>
              <m:r>
                <m:t>Q</m:t>
              </m:r>
            </m:e>
            <m:sub>
              <m:r>
                <m:rPr>
                  <m:nor/>
                </m:rPr>
                <m:t>ordered</m:t>
              </m:r>
            </m:sub>
          </m:sSub>
          <m:r>
            <m:t>−</m:t>
          </m:r>
          <m:sSub>
            <m:e>
              <m:r>
                <m:t>Q</m:t>
              </m:r>
            </m:e>
            <m:sub>
              <m:r>
                <m:rPr>
                  <m:nor/>
                </m:rPr>
                <m:t>accepted</m:t>
              </m:r>
            </m:sub>
          </m:sSub>
        </m:oMath>
      </m:oMathPara>
    </w:p>
    <w:p>
      <w:r>
        <w:t>For example, if 20 units were ordered and 18 units were accepted:</w:t>
      </w:r>
    </w:p>
    <w:p>
      <w:pPr>
        <w:spacing w:before="120" w:after="160"/>
        <w:jc w:val="center"/>
      </w:pPr>
      <m:oMathPara>
        <m:oMath>
          <m:sSub>
            <m:e>
              <m:r>
                <m:t>Q</m:t>
              </m:r>
            </m:e>
            <m:sub>
              <m:r>
                <m:rPr>
                  <m:nor/>
                </m:rPr>
                <m:t>outstanding</m:t>
              </m:r>
            </m:sub>
          </m:sSub>
          <m:r>
            <m:t>=20−18=2</m:t>
          </m:r>
        </m:oMath>
      </m:oMathPara>
    </w:p>
    <w:p>
      <w:r>
        <w:t>This calculation assumes the accepted quantity is measured against the same order line and unit. Rejected material may require replacement, return, or another formally approved disposition.</w:t>
      </w:r>
    </w:p>
    <w:p>
      <w:r>
        <w:t>Receipt records should identify the purchase order, material code, item description, unit, batch or serial details where applicable, and any discrepancies.</w:t>
      </w:r>
    </w:p>
    <w:p>
      <w:pPr>
        <w:pStyle w:val="Heading2"/>
      </w:pPr>
      <w:r>
        <w:t>17. Quantity management in SAP and ERP systems</w:t>
      </w:r>
    </w:p>
    <w:p>
      <w:r>
        <w:t>In SAP or another ERP system, quantity data connects purchasing, inventory, material planning, goods receipt, and financial transactions.</w:t>
      </w:r>
    </w:p>
    <w:p>
      <w:r>
        <w:t>Typical records include:</w:t>
      </w:r>
    </w:p>
    <w:p>
      <w:pPr>
        <w:pStyle w:val="ListBullet"/>
      </w:pPr>
      <w:r>
        <w:t>Material master and base unit of measure.</w:t>
      </w:r>
    </w:p>
    <w:p>
      <w:pPr>
        <w:pStyle w:val="ListBullet"/>
      </w:pPr>
      <w:r>
        <w:t>Purchase requisition quantity.</w:t>
      </w:r>
    </w:p>
    <w:p>
      <w:pPr>
        <w:pStyle w:val="ListBullet"/>
      </w:pPr>
      <w:r>
        <w:t>RFQ line quantity.</w:t>
      </w:r>
    </w:p>
    <w:p>
      <w:pPr>
        <w:pStyle w:val="ListBullet"/>
      </w:pPr>
      <w:r>
        <w:t>Supplier quotation quantity.</w:t>
      </w:r>
    </w:p>
    <w:p>
      <w:pPr>
        <w:pStyle w:val="ListBullet"/>
      </w:pPr>
      <w:r>
        <w:t>Purchase order quantity.</w:t>
      </w:r>
    </w:p>
    <w:p>
      <w:pPr>
        <w:pStyle w:val="ListBullet"/>
      </w:pPr>
      <w:r>
        <w:t>Goods receipt quantity.</w:t>
      </w:r>
    </w:p>
    <w:p>
      <w:pPr>
        <w:pStyle w:val="ListBullet"/>
      </w:pPr>
      <w:r>
        <w:t>Accepted or blocked stock quantity.</w:t>
      </w:r>
    </w:p>
    <w:p>
      <w:pPr>
        <w:pStyle w:val="ListBullet"/>
      </w:pPr>
      <w:r>
        <w:t>Reservation or maintenance requirement.</w:t>
      </w:r>
    </w:p>
    <w:p>
      <w:pPr>
        <w:pStyle w:val="ListBullet"/>
      </w:pPr>
      <w:r>
        <w:t>Open order quantity.</w:t>
      </w:r>
    </w:p>
    <w:p>
      <w:pPr>
        <w:pStyle w:val="ListBullet"/>
      </w:pPr>
      <w:r>
        <w:t>Inventory balance.</w:t>
      </w:r>
    </w:p>
    <w:p>
      <w:r>
        <w:t>Important checks include:</w:t>
      </w:r>
    </w:p>
    <w:p>
      <w:pPr>
        <w:pStyle w:val="ListBullet"/>
      </w:pPr>
      <w:r>
        <w:t>Correct material code and unit of measure.</w:t>
      </w:r>
    </w:p>
    <w:p>
      <w:pPr>
        <w:pStyle w:val="ListBullet"/>
      </w:pPr>
      <w:r>
        <w:t>Correct order and delivery quantities.</w:t>
      </w:r>
    </w:p>
    <w:p>
      <w:pPr>
        <w:pStyle w:val="ListBullet"/>
      </w:pPr>
      <w:r>
        <w:t>Consistency between purchase order and receipt.</w:t>
      </w:r>
    </w:p>
    <w:p>
      <w:pPr>
        <w:pStyle w:val="ListBullet"/>
      </w:pPr>
      <w:r>
        <w:t>Accurate posting of partial deliveries.</w:t>
      </w:r>
    </w:p>
    <w:p>
      <w:pPr>
        <w:pStyle w:val="ListBullet"/>
      </w:pPr>
      <w:r>
        <w:t>Correct handling of rejected or damaged materials.</w:t>
      </w:r>
    </w:p>
    <w:p>
      <w:pPr>
        <w:pStyle w:val="ListBullet"/>
      </w:pPr>
      <w:r>
        <w:t>Appropriate treatment of over-delivery or under-delivery.</w:t>
      </w:r>
    </w:p>
    <w:p>
      <w:pPr>
        <w:pStyle w:val="ListBullet"/>
      </w:pPr>
      <w:r>
        <w:t>Reconciliation of outstanding quantities.</w:t>
      </w:r>
    </w:p>
    <w:p>
      <w:r>
        <w:t>ERP quantity and engineering quantity are not always identical. Engineering may specify metres of cable, while the supplier sells standard reels. The purchasing unit and conversion factor must be configured and understood correctly.</w:t>
      </w:r>
    </w:p>
    <w:p>
      <w:pPr>
        <w:pStyle w:val="Heading2"/>
      </w:pPr>
      <w:r>
        <w:t>18. Common quantity errors</w:t>
      </w:r>
    </w:p>
    <w:p>
      <w:pPr>
        <w:pStyle w:val="ListBullet"/>
      </w:pPr>
      <w:r>
        <w:t>Counting signals without checking module capacity.</w:t>
      </w:r>
    </w:p>
    <w:p>
      <w:pPr>
        <w:pStyle w:val="ListBullet"/>
      </w:pPr>
      <w:r>
        <w:t>Forgetting power supplies, communication modules, or accessories.</w:t>
      </w:r>
    </w:p>
    <w:p>
      <w:pPr>
        <w:pStyle w:val="ListBullet"/>
      </w:pPr>
      <w:r>
        <w:t>Mixing metres, millimetres, pieces, and package quantities.</w:t>
      </w:r>
    </w:p>
    <w:p>
      <w:pPr>
        <w:pStyle w:val="ListBullet"/>
      </w:pPr>
      <w:r>
        <w:t>Adding spares without identifying them separately.</w:t>
      </w:r>
    </w:p>
    <w:p>
      <w:pPr>
        <w:pStyle w:val="ListBullet"/>
      </w:pPr>
      <w:r>
        <w:t>Applying unjustified material allowances.</w:t>
      </w:r>
    </w:p>
    <w:p>
      <w:pPr>
        <w:pStyle w:val="ListBullet"/>
      </w:pPr>
      <w:r>
        <w:t>Using an obsolete BOM revision.</w:t>
      </w:r>
    </w:p>
    <w:p>
      <w:pPr>
        <w:pStyle w:val="ListBullet"/>
      </w:pPr>
      <w:r>
        <w:t>Ordering equipment without checking minimum order quantities.</w:t>
      </w:r>
    </w:p>
    <w:p>
      <w:pPr>
        <w:pStyle w:val="ListBullet"/>
      </w:pPr>
      <w:r>
        <w:t>Treating an estimated quantity as a fixed commitment.</w:t>
      </w:r>
    </w:p>
    <w:p>
      <w:pPr>
        <w:pStyle w:val="ListBullet"/>
      </w:pPr>
      <w:r>
        <w:t>Failing to account for supplier packaging increments.</w:t>
      </w:r>
    </w:p>
    <w:p>
      <w:pPr>
        <w:pStyle w:val="ListBullet"/>
      </w:pPr>
      <w:r>
        <w:t>Duplicating items listed in multiple assemblies.</w:t>
      </w:r>
    </w:p>
    <w:p>
      <w:pPr>
        <w:pStyle w:val="ListBullet"/>
      </w:pPr>
      <w:r>
        <w:t>Ignoring material already available in approved inventory.</w:t>
      </w:r>
    </w:p>
    <w:p>
      <w:pPr>
        <w:pStyle w:val="ListBullet"/>
      </w:pPr>
      <w:r>
        <w:t>Failing to reconcile partial deliveries.</w:t>
      </w:r>
    </w:p>
    <w:p>
      <w:pPr>
        <w:pStyle w:val="ListBullet"/>
      </w:pPr>
      <w:r>
        <w:t>Confusing received quantities with accepted quantities.</w:t>
      </w:r>
    </w:p>
    <w:p>
      <w:pPr>
        <w:pStyle w:val="ListBullet"/>
      </w:pPr>
      <w:r>
        <w:t>Changing quantities without assessing cost and schedule impacts.</w:t>
      </w:r>
    </w:p>
    <w:p>
      <w:pPr>
        <w:pStyle w:val="Heading2"/>
      </w:pPr>
      <w:r>
        <w:t>19. Practical example: PLC retrofit quantity calculation</w:t>
      </w:r>
    </w:p>
    <w:p>
      <w:r>
        <w:t>Assume a retrofit requires the following I/O:</w:t>
      </w:r>
    </w:p>
    <w:p>
      <w:pPr>
        <w:pStyle w:val="ListBullet"/>
      </w:pPr>
      <w:r>
        <w:t>48 digital input points.</w:t>
      </w:r>
    </w:p>
    <w:p>
      <w:pPr>
        <w:pStyle w:val="ListBullet"/>
      </w:pPr>
      <w:r>
        <w:t>32 digital output points.</w:t>
      </w:r>
    </w:p>
    <w:p>
      <w:pPr>
        <w:pStyle w:val="ListBullet"/>
      </w:pPr>
      <w:r>
        <w:t>12 analog input points.</w:t>
      </w:r>
    </w:p>
    <w:p>
      <w:pPr>
        <w:pStyle w:val="ListBullet"/>
      </w:pPr>
      <w:r>
        <w:t>4 analog output points.</w:t>
      </w:r>
    </w:p>
    <w:p>
      <w:r>
        <w:t>The selected module capacities are:</w:t>
      </w:r>
    </w:p>
    <w:p>
      <w:pPr>
        <w:pStyle w:val="ListBullet"/>
      </w:pPr>
      <w:r>
        <w:t>Digital input: 16 channels per module.</w:t>
      </w:r>
    </w:p>
    <w:p>
      <w:pPr>
        <w:pStyle w:val="ListBullet"/>
      </w:pPr>
      <w:r>
        <w:t>Digital output: 16 channels per module.</w:t>
      </w:r>
    </w:p>
    <w:p>
      <w:pPr>
        <w:pStyle w:val="ListBullet"/>
      </w:pPr>
      <w:r>
        <w:t>Analog input: 8 channels per module.</w:t>
      </w:r>
    </w:p>
    <w:p>
      <w:pPr>
        <w:pStyle w:val="ListBullet"/>
      </w:pPr>
      <w:r>
        <w:t>Analog output: 4 channels per module.</w:t>
      </w:r>
    </w:p>
    <w:p>
      <w:r>
        <w:t>The basic calculation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Module type</w:t>
            </w:r>
          </w:p>
        </w:tc>
        <w:tc>
          <w:tcPr>
            <w:tcW w:type="dxa" w:w="2700"/>
            <w:shd w:val="clear" w:color="auto" w:fill="EEF2F7"/>
          </w:tcPr>
          <w:p>
            <w:pPr>
              <w:spacing w:after="0" w:before="0" w:line="240" w:lineRule="auto"/>
              <w:jc w:val="left"/>
            </w:pPr>
            <w:r>
              <w:rPr>
                <w:b/>
                <w:color w:val="1A2E4A"/>
              </w:rPr>
              <w:t>Required channels</w:t>
            </w:r>
          </w:p>
        </w:tc>
        <w:tc>
          <w:tcPr>
            <w:tcW w:type="dxa" w:w="2700"/>
            <w:shd w:val="clear" w:color="auto" w:fill="EEF2F7"/>
          </w:tcPr>
          <w:p>
            <w:pPr>
              <w:spacing w:after="0" w:before="0" w:line="240" w:lineRule="auto"/>
              <w:jc w:val="left"/>
            </w:pPr>
            <w:r>
              <w:rPr>
                <w:b/>
                <w:color w:val="1A2E4A"/>
              </w:rPr>
              <w:t>Channels per module</w:t>
            </w:r>
          </w:p>
        </w:tc>
        <w:tc>
          <w:tcPr>
            <w:tcW w:type="dxa" w:w="2700"/>
            <w:shd w:val="clear" w:color="auto" w:fill="EEF2F7"/>
          </w:tcPr>
          <w:p>
            <w:pPr>
              <w:spacing w:after="0" w:before="0" w:line="240" w:lineRule="auto"/>
              <w:jc w:val="left"/>
            </w:pPr>
            <w:r>
              <w:rPr>
                <w:b/>
                <w:color w:val="1A2E4A"/>
              </w:rPr>
              <w:t>Calculated quantity</w:t>
            </w:r>
          </w:p>
        </w:tc>
      </w:tr>
      <w:tr>
        <w:tc>
          <w:tcPr>
            <w:tcW w:type="dxa" w:w="2700"/>
          </w:tcPr>
          <w:p>
            <w:pPr>
              <w:spacing w:after="0" w:before="0" w:line="240" w:lineRule="auto"/>
              <w:jc w:val="left"/>
            </w:pPr>
            <w:r>
              <w:t>Digital input</w:t>
            </w:r>
          </w:p>
        </w:tc>
        <w:tc>
          <w:tcPr>
            <w:tcW w:type="dxa" w:w="2700"/>
          </w:tcPr>
          <w:p>
            <w:pPr>
              <w:spacing w:after="0" w:before="0" w:line="240" w:lineRule="auto"/>
              <w:jc w:val="left"/>
            </w:pPr>
            <w:r>
              <w:t>48</w:t>
            </w:r>
          </w:p>
        </w:tc>
        <w:tc>
          <w:tcPr>
            <w:tcW w:type="dxa" w:w="2700"/>
          </w:tcPr>
          <w:p>
            <w:pPr>
              <w:spacing w:after="0" w:before="0" w:line="240" w:lineRule="auto"/>
              <w:jc w:val="left"/>
            </w:pPr>
            <w:r>
              <w:t>16</w:t>
            </w:r>
          </w:p>
        </w:tc>
        <w:tc>
          <w:tcPr>
            <w:tcW w:type="dxa" w:w="2700"/>
          </w:tcPr>
          <w:p>
            <w:pPr>
              <w:spacing w:after="0" w:before="0" w:line="240" w:lineRule="auto"/>
              <w:jc w:val="left"/>
            </w:pPr>
            <w:r>
              <w:t>3</w:t>
            </w:r>
          </w:p>
        </w:tc>
      </w:tr>
      <w:tr>
        <w:tc>
          <w:tcPr>
            <w:tcW w:type="dxa" w:w="2700"/>
          </w:tcPr>
          <w:p>
            <w:pPr>
              <w:spacing w:after="0" w:before="0" w:line="240" w:lineRule="auto"/>
              <w:jc w:val="left"/>
            </w:pPr>
            <w:r>
              <w:t>Digital output</w:t>
            </w:r>
          </w:p>
        </w:tc>
        <w:tc>
          <w:tcPr>
            <w:tcW w:type="dxa" w:w="2700"/>
          </w:tcPr>
          <w:p>
            <w:pPr>
              <w:spacing w:after="0" w:before="0" w:line="240" w:lineRule="auto"/>
              <w:jc w:val="left"/>
            </w:pPr>
            <w:r>
              <w:t>32</w:t>
            </w:r>
          </w:p>
        </w:tc>
        <w:tc>
          <w:tcPr>
            <w:tcW w:type="dxa" w:w="2700"/>
          </w:tcPr>
          <w:p>
            <w:pPr>
              <w:spacing w:after="0" w:before="0" w:line="240" w:lineRule="auto"/>
              <w:jc w:val="left"/>
            </w:pPr>
            <w:r>
              <w:t>16</w:t>
            </w:r>
          </w:p>
        </w:tc>
        <w:tc>
          <w:tcPr>
            <w:tcW w:type="dxa" w:w="2700"/>
          </w:tcPr>
          <w:p>
            <w:pPr>
              <w:spacing w:after="0" w:before="0" w:line="240" w:lineRule="auto"/>
              <w:jc w:val="left"/>
            </w:pPr>
            <w:r>
              <w:t>2</w:t>
            </w:r>
          </w:p>
        </w:tc>
      </w:tr>
      <w:tr>
        <w:tc>
          <w:tcPr>
            <w:tcW w:type="dxa" w:w="2700"/>
          </w:tcPr>
          <w:p>
            <w:pPr>
              <w:spacing w:after="0" w:before="0" w:line="240" w:lineRule="auto"/>
              <w:jc w:val="left"/>
            </w:pPr>
            <w:r>
              <w:t>Analog input</w:t>
            </w:r>
          </w:p>
        </w:tc>
        <w:tc>
          <w:tcPr>
            <w:tcW w:type="dxa" w:w="2700"/>
          </w:tcPr>
          <w:p>
            <w:pPr>
              <w:spacing w:after="0" w:before="0" w:line="240" w:lineRule="auto"/>
              <w:jc w:val="left"/>
            </w:pPr>
            <w:r>
              <w:t>12</w:t>
            </w:r>
          </w:p>
        </w:tc>
        <w:tc>
          <w:tcPr>
            <w:tcW w:type="dxa" w:w="2700"/>
          </w:tcPr>
          <w:p>
            <w:pPr>
              <w:spacing w:after="0" w:before="0" w:line="240" w:lineRule="auto"/>
              <w:jc w:val="left"/>
            </w:pPr>
            <w:r>
              <w:t>8</w:t>
            </w:r>
          </w:p>
        </w:tc>
        <w:tc>
          <w:tcPr>
            <w:tcW w:type="dxa" w:w="2700"/>
          </w:tcPr>
          <w:p>
            <w:pPr>
              <w:spacing w:after="0" w:before="0" w:line="240" w:lineRule="auto"/>
              <w:jc w:val="left"/>
            </w:pPr>
            <w:r>
              <w:t>2</w:t>
            </w:r>
          </w:p>
        </w:tc>
      </w:tr>
      <w:tr>
        <w:tc>
          <w:tcPr>
            <w:tcW w:type="dxa" w:w="2700"/>
          </w:tcPr>
          <w:p>
            <w:pPr>
              <w:spacing w:after="0" w:before="0" w:line="240" w:lineRule="auto"/>
              <w:jc w:val="left"/>
            </w:pPr>
            <w:r>
              <w:t>Analog output</w:t>
            </w:r>
          </w:p>
        </w:tc>
        <w:tc>
          <w:tcPr>
            <w:tcW w:type="dxa" w:w="2700"/>
          </w:tcPr>
          <w:p>
            <w:pPr>
              <w:spacing w:after="0" w:before="0" w:line="240" w:lineRule="auto"/>
              <w:jc w:val="left"/>
            </w:pPr>
            <w:r>
              <w:t>4</w:t>
            </w:r>
          </w:p>
        </w:tc>
        <w:tc>
          <w:tcPr>
            <w:tcW w:type="dxa" w:w="2700"/>
          </w:tcPr>
          <w:p>
            <w:pPr>
              <w:spacing w:after="0" w:before="0" w:line="240" w:lineRule="auto"/>
              <w:jc w:val="left"/>
            </w:pPr>
            <w:r>
              <w:t>4</w:t>
            </w:r>
          </w:p>
        </w:tc>
        <w:tc>
          <w:tcPr>
            <w:tcW w:type="dxa" w:w="2700"/>
          </w:tcPr>
          <w:p>
            <w:pPr>
              <w:spacing w:after="0" w:before="0" w:line="240" w:lineRule="auto"/>
              <w:jc w:val="left"/>
            </w:pPr>
            <w:r>
              <w:t>1</w:t>
            </w:r>
          </w:p>
        </w:tc>
      </w:tr>
    </w:tbl>
    <w:p/>
    <w:p>
      <w:r>
        <w:t>The total is eight I/O modules before adding spare capacity or considering system architecture.</w:t>
      </w:r>
    </w:p>
    <w:p>
      <w:r>
        <w:t>The engineering review must then check:</w:t>
      </w:r>
    </w:p>
    <w:p>
      <w:pPr>
        <w:pStyle w:val="ListBullet"/>
      </w:pPr>
      <w:r>
        <w:t>Whether the selected CPU supports the modules and total configuration.</w:t>
      </w:r>
    </w:p>
    <w:p>
      <w:pPr>
        <w:pStyle w:val="ListBullet"/>
      </w:pPr>
      <w:r>
        <w:t>Whether all analog signal types and ranges are supported.</w:t>
      </w:r>
    </w:p>
    <w:p>
      <w:pPr>
        <w:pStyle w:val="ListBullet"/>
      </w:pPr>
      <w:r>
        <w:t>Whether specialized or safety-rated I/O is needed.</w:t>
      </w:r>
    </w:p>
    <w:p>
      <w:pPr>
        <w:pStyle w:val="ListBullet"/>
      </w:pPr>
      <w:r>
        <w:t>Whether spare channels or modules are required.</w:t>
      </w:r>
    </w:p>
    <w:p>
      <w:pPr>
        <w:pStyle w:val="ListBullet"/>
      </w:pPr>
      <w:r>
        <w:t>Whether the rack or remote-I/O architecture has sufficient capacity.</w:t>
      </w:r>
    </w:p>
    <w:p>
      <w:pPr>
        <w:pStyle w:val="ListBullet"/>
      </w:pPr>
      <w:r>
        <w:t>Whether power, communication, mounting, and accessories are included.</w:t>
      </w:r>
    </w:p>
    <w:p>
      <w:pPr>
        <w:pStyle w:val="ListBullet"/>
      </w:pPr>
      <w:r>
        <w:t>Whether the module quantities match the drawings and BOM.</w:t>
      </w:r>
    </w:p>
    <w:p>
      <w:r>
        <w:t>If one spare module is approved for each module type, four additional modules are required. The total purchase quantity becomes 12 modules, with eight for the project and four for spares.</w:t>
      </w:r>
    </w:p>
    <w:p>
      <w:r>
        <w:t>This is a quantity estimate, not a final hardware design. The selected manufacturer's configuration rules must still be verified.</w:t>
      </w:r>
    </w:p>
    <w:p>
      <w:pPr>
        <w:pStyle w:val="Heading2"/>
      </w:pPr>
      <w:r>
        <w:t>20. Interview questions and answers</w:t>
      </w:r>
    </w:p>
    <w:p>
      <w:r>
        <w:t>1\. What is quantity in procurement?</w:t>
      </w:r>
    </w:p>
    <w:p>
      <w:r>
        <w:t>It is the defined amount of each material, equipment item, or service required for the approved purchase scope.</w:t>
      </w:r>
    </w:p>
    <w:p>
      <w:r>
        <w:t>2\. What is the difference between design quantity and purchase quantity?</w:t>
      </w:r>
    </w:p>
    <w:p>
      <w:r>
        <w:t>Design quantity is derived from the engineering requirement. Purchase quantity is the quantity ordered after considering the design, spares, packaging, purchasing constraints, and approved procurement decisions.</w:t>
      </w:r>
    </w:p>
    <w:p>
      <w:r>
        <w:t>3\. How do you calculate the number of PLC I/O modules?</w:t>
      </w:r>
    </w:p>
    <w:p>
      <w:r>
        <w:t>Divide the required usable channels by the usable channels per module and round up to the next whole module. Then verify system capacity and compatibility.</w:t>
      </w:r>
    </w:p>
    <w:p>
      <w:r>
        <w:t>4\. Why are units of measurement important?</w:t>
      </w:r>
    </w:p>
    <w:p>
      <w:r>
        <w:t>They prevent ambiguity and errors when quoting, ordering, receiving, storing, and consuming materials.</w:t>
      </w:r>
    </w:p>
    <w:p>
      <w:r>
        <w:t>5\. What is the difference between quantity and capacity?</w:t>
      </w:r>
    </w:p>
    <w:p>
      <w:r>
        <w:t>Quantity specifies how many items are needed. Capacity specifies how much each item or system can handle.</w:t>
      </w:r>
    </w:p>
    <w:p>
      <w:r>
        <w:t>6\. Why should spare quantities be separated from project quantities?</w:t>
      </w:r>
    </w:p>
    <w:p>
      <w:r>
        <w:t>This preserves visibility of the installation requirement and makes maintenance stock, cost, and inventory planning easier to control.</w:t>
      </w:r>
    </w:p>
    <w:p>
      <w:r>
        <w:t>7\. How should cable quantities be estimated?</w:t>
      </w:r>
    </w:p>
    <w:p>
      <w:r>
        <w:t>Use the actual routing information, cable type, termination needs, installation allowances, and any approved spare requirements.</w:t>
      </w:r>
    </w:p>
    <w:p>
      <w:r>
        <w:t>8\. What should happen if the design quantity changes after the RFQ is issued?</w:t>
      </w:r>
    </w:p>
    <w:p>
      <w:r>
        <w:t>The change should be assessed, documented, approved, and communicated to affected suppliers. Commercial and delivery impacts must be reviewed.</w:t>
      </w:r>
    </w:p>
    <w:p>
      <w:r>
        <w:t>9\. What is quantity reconciliation?</w:t>
      </w:r>
    </w:p>
    <w:p>
      <w:r>
        <w:t>It is the process of comparing ordered quantities with delivered, inspected, accepted, and recorded quantities to identify shortages, excesses, and discrepancies.</w:t>
      </w:r>
    </w:p>
    <w:p>
      <w:r>
        <w:t>10\. Why is a BOM important for quantity control?</w:t>
      </w:r>
    </w:p>
    <w:p>
      <w:r>
        <w:t>It provides a structured connection between engineering design and procurement, including material identification, units, quantities, and document references.</w:t>
      </w:r>
    </w:p>
    <w:p>
      <w:r>
        <w:t>11\. How do minimum order quantities affect procurement?</w:t>
      </w:r>
    </w:p>
    <w:p>
      <w:r>
        <w:t>They may force the purchased quantity to exceed the immediate engineering requirement. The excess should be assessed for storage, future use, and cost implications.</w:t>
      </w:r>
    </w:p>
    <w:p>
      <w:r>
        <w:t>12\. What is the most important quantity-control principle?</w:t>
      </w:r>
    </w:p>
    <w:p>
      <w:r>
        <w:t>Every quantity must be traceable to a defined requirement, use a consistent unit, match the approved document revision, and be reconciled throughout procurement and delivery.</w:t>
      </w:r>
    </w:p>
    <w:p>
      <w:pPr>
        <w:pStyle w:val="Heading2"/>
      </w:pPr>
      <w:r>
        <w:t>21. Final engineering principle</w:t>
      </w:r>
    </w:p>
    <w:p>
      <w:r>
        <w:t>Accurate quantity definition connects engineering intent to actual procurement. It ensures that the correct materials are purchased in the correct amounts, that spares and accessories are accounted for, and that delivery can be reconciled against the approved requirement.</w:t>
      </w:r>
    </w:p>
    <w:p>
      <w:r>
        <w:t>Quantity control is not complete when an RFQ is sent or a purchase order is released. It continues through supplier confirmation, delivery, inspection, installation, inventory updates, and approved changes.</w:t>
      </w:r>
    </w:p>
    <w:p>
      <w:pPr>
        <w:pStyle w:val="Heading2"/>
      </w:pPr>
      <w:r>
        <w:t>NEXT TOPIC</w:t>
      </w:r>
    </w:p>
    <w:p>
      <w:r>
        <w:rPr>
          <w:rFonts w:ascii="Consolas" w:hAnsi="Consolas"/>
          <w:color w:val="333333"/>
          <w:sz w:val="19"/>
          <w:shd w:val="clear" w:color="auto" w:fill="EFEFEF"/>
        </w:rPr>
        <w:t>02_PLAN_WISE_2026\02_INDUSTRY3_0\09_Procurement\01_RFQ\05_Make_Model - Make/model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02_PLAN_WISE_2026\02_INDUSTRY3_0\09_Procurement\01_RFQ\04_Quantity - Quantity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