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02_PLAN_WISE_2026\02_INDUSTRY3_0\09_Procurement\01_RFQ\05_Make_Model - Make/model</w:t>
      </w:r>
    </w:p>
    <w:p>
      <w:pPr>
        <w:pStyle w:val="Heading2"/>
      </w:pPr>
      <w:r>
        <w:t>1. What is make and model in procurement?</w:t>
      </w:r>
    </w:p>
    <w:p>
      <w:r>
        <w:t>Make identifies the manufacturer or brand of a product. Model identifies the specific product type, series, or variant offered by that manufacturer.</w:t>
      </w:r>
    </w:p>
    <w:p>
      <w:r>
        <w:t>In industrial automation procurement, make and model information helps establish equipment identity, technical compatibility, interchangeability, spare-part availability, maintenance requirements, and lifecycle support.</w:t>
      </w:r>
    </w:p>
    <w:p>
      <w:r>
        <w:t>For example:</w:t>
      </w:r>
    </w:p>
    <w:p>
      <w:pPr>
        <w:pStyle w:val="ListBullet"/>
      </w:pPr>
      <w:r>
        <w:t>Make: Siemens</w:t>
      </w:r>
    </w:p>
    <w:p>
      <w:pPr>
        <w:pStyle w:val="ListBullet"/>
      </w:pPr>
      <w:r>
        <w:t>Product family: SIMATIC S7-1500</w:t>
      </w:r>
    </w:p>
    <w:p>
      <w:pPr>
        <w:pStyle w:val="ListBullet"/>
      </w:pPr>
      <w:r>
        <w:t>Model or order number: The exact CPU variant selected for the application</w:t>
      </w:r>
    </w:p>
    <w:p>
      <w:r>
        <w:t>The product family alone may not uniquely identify the hardware. The exact order number, hardware revision, firmware compatibility, and included accessories may also be important.</w:t>
      </w:r>
    </w:p>
    <w:p>
      <w:r>
        <w:t>Similarly, identifying a drive only as "ABB drive" is insufficient when the application depends on a specific voltage class, power rating, control interface, enclosure type, and communication option.</w:t>
      </w:r>
    </w:p>
    <w:p>
      <w:r>
        <w:t>The purpose is not merely to choose a famous brand. It is to ensure that the quoted product is the correct, compatible, supportable, and approved item for the intended application.</w:t>
      </w:r>
    </w:p>
    <w:p>
      <w:pPr>
        <w:pStyle w:val="Heading2"/>
      </w:pPr>
      <w:r>
        <w:t>2. Objectives of make/model definition</w:t>
      </w:r>
    </w:p>
    <w:p>
      <w:pPr>
        <w:pStyle w:val="ListBullet"/>
      </w:pPr>
      <w:r>
        <w:t>Identify the exact manufacturer and equipment variant.</w:t>
      </w:r>
    </w:p>
    <w:p>
      <w:pPr>
        <w:pStyle w:val="ListBullet"/>
      </w:pPr>
      <w:r>
        <w:t>Ensure compatibility with existing machinery and control systems.</w:t>
      </w:r>
    </w:p>
    <w:p>
      <w:pPr>
        <w:pStyle w:val="ListBullet"/>
      </w:pPr>
      <w:r>
        <w:t>Standardize equipment where technically justified.</w:t>
      </w:r>
    </w:p>
    <w:p>
      <w:pPr>
        <w:pStyle w:val="ListBullet"/>
      </w:pPr>
      <w:r>
        <w:t>Improve maintenance familiarity and troubleshooting efficiency.</w:t>
      </w:r>
    </w:p>
    <w:p>
      <w:pPr>
        <w:pStyle w:val="ListBullet"/>
      </w:pPr>
      <w:r>
        <w:t>Simplify spare-parts management.</w:t>
      </w:r>
    </w:p>
    <w:p>
      <w:pPr>
        <w:pStyle w:val="ListBullet"/>
      </w:pPr>
      <w:r>
        <w:t>Reduce risks from unsupported or obsolete products.</w:t>
      </w:r>
    </w:p>
    <w:p>
      <w:pPr>
        <w:pStyle w:val="ListBullet"/>
      </w:pPr>
      <w:r>
        <w:t>Establish a clear technical basis for supplier quotations.</w:t>
      </w:r>
    </w:p>
    <w:p>
      <w:pPr>
        <w:pStyle w:val="ListBullet"/>
      </w:pPr>
      <w:r>
        <w:t>Prevent unauthorized substitutions.</w:t>
      </w:r>
    </w:p>
    <w:p>
      <w:pPr>
        <w:pStyle w:val="ListBullet"/>
      </w:pPr>
      <w:r>
        <w:t>Verify firmware, accessories, licenses, and communication compatibility.</w:t>
      </w:r>
    </w:p>
    <w:p>
      <w:pPr>
        <w:pStyle w:val="ListBullet"/>
      </w:pPr>
      <w:r>
        <w:t>Support lifecycle cost and reliability decisions.</w:t>
      </w:r>
    </w:p>
    <w:p>
      <w:pPr>
        <w:pStyle w:val="Heading2"/>
      </w:pPr>
      <w:r>
        <w:t>3. Make versus model versus part number</w:t>
      </w:r>
    </w:p>
    <w:p>
      <w:r>
        <w:t>These terms are related but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Make</w:t>
            </w:r>
          </w:p>
        </w:tc>
        <w:tc>
          <w:tcPr>
            <w:tcW w:type="dxa" w:w="3600"/>
          </w:tcPr>
          <w:p>
            <w:pPr>
              <w:spacing w:after="0" w:before="0" w:line="240" w:lineRule="auto"/>
              <w:jc w:val="left"/>
            </w:pPr>
            <w:r>
              <w:t>Manufacturer or brand</w:t>
            </w:r>
          </w:p>
        </w:tc>
        <w:tc>
          <w:tcPr>
            <w:tcW w:type="dxa" w:w="3600"/>
          </w:tcPr>
          <w:p>
            <w:pPr>
              <w:spacing w:after="0" w:before="0" w:line="240" w:lineRule="auto"/>
              <w:jc w:val="left"/>
            </w:pPr>
            <w:r>
              <w:t>Siemens</w:t>
            </w:r>
          </w:p>
        </w:tc>
      </w:tr>
      <w:tr>
        <w:tc>
          <w:tcPr>
            <w:tcW w:type="dxa" w:w="3600"/>
          </w:tcPr>
          <w:p>
            <w:pPr>
              <w:spacing w:after="0" w:before="0" w:line="240" w:lineRule="auto"/>
              <w:jc w:val="left"/>
            </w:pPr>
            <w:r>
              <w:t>Product family</w:t>
            </w:r>
          </w:p>
        </w:tc>
        <w:tc>
          <w:tcPr>
            <w:tcW w:type="dxa" w:w="3600"/>
          </w:tcPr>
          <w:p>
            <w:pPr>
              <w:spacing w:after="0" w:before="0" w:line="240" w:lineRule="auto"/>
              <w:jc w:val="left"/>
            </w:pPr>
            <w:r>
              <w:t>Group of related products</w:t>
            </w:r>
          </w:p>
        </w:tc>
        <w:tc>
          <w:tcPr>
            <w:tcW w:type="dxa" w:w="3600"/>
          </w:tcPr>
          <w:p>
            <w:pPr>
              <w:spacing w:after="0" w:before="0" w:line="240" w:lineRule="auto"/>
              <w:jc w:val="left"/>
            </w:pPr>
            <w:r>
              <w:t>SIMATIC S7-1500</w:t>
            </w:r>
          </w:p>
        </w:tc>
      </w:tr>
      <w:tr>
        <w:tc>
          <w:tcPr>
            <w:tcW w:type="dxa" w:w="3600"/>
          </w:tcPr>
          <w:p>
            <w:pPr>
              <w:spacing w:after="0" w:before="0" w:line="240" w:lineRule="auto"/>
              <w:jc w:val="left"/>
            </w:pPr>
            <w:r>
              <w:t>Model</w:t>
            </w:r>
          </w:p>
        </w:tc>
        <w:tc>
          <w:tcPr>
            <w:tcW w:type="dxa" w:w="3600"/>
          </w:tcPr>
          <w:p>
            <w:pPr>
              <w:spacing w:after="0" w:before="0" w:line="240" w:lineRule="auto"/>
              <w:jc w:val="left"/>
            </w:pPr>
            <w:r>
              <w:t>Product variant or model designation</w:t>
            </w:r>
          </w:p>
        </w:tc>
        <w:tc>
          <w:tcPr>
            <w:tcW w:type="dxa" w:w="3600"/>
          </w:tcPr>
          <w:p>
            <w:pPr>
              <w:spacing w:after="0" w:before="0" w:line="240" w:lineRule="auto"/>
              <w:jc w:val="left"/>
            </w:pPr>
            <w:r>
              <w:t>Specific CPU variant</w:t>
            </w:r>
          </w:p>
        </w:tc>
      </w:tr>
      <w:tr>
        <w:tc>
          <w:tcPr>
            <w:tcW w:type="dxa" w:w="3600"/>
          </w:tcPr>
          <w:p>
            <w:pPr>
              <w:spacing w:after="0" w:before="0" w:line="240" w:lineRule="auto"/>
              <w:jc w:val="left"/>
            </w:pPr>
            <w:r>
              <w:t>Order number</w:t>
            </w:r>
          </w:p>
        </w:tc>
        <w:tc>
          <w:tcPr>
            <w:tcW w:type="dxa" w:w="3600"/>
          </w:tcPr>
          <w:p>
            <w:pPr>
              <w:spacing w:after="0" w:before="0" w:line="240" w:lineRule="auto"/>
              <w:jc w:val="left"/>
            </w:pPr>
            <w:r>
              <w:t>Manufacturer's exact ordering identifier</w:t>
            </w:r>
          </w:p>
        </w:tc>
        <w:tc>
          <w:tcPr>
            <w:tcW w:type="dxa" w:w="3600"/>
          </w:tcPr>
          <w:p>
            <w:pPr>
              <w:spacing w:after="0" w:before="0" w:line="240" w:lineRule="auto"/>
              <w:jc w:val="left"/>
            </w:pPr>
            <w:r>
              <w:t>Full manufacturer order code</w:t>
            </w:r>
          </w:p>
        </w:tc>
      </w:tr>
      <w:tr>
        <w:tc>
          <w:tcPr>
            <w:tcW w:type="dxa" w:w="3600"/>
          </w:tcPr>
          <w:p>
            <w:pPr>
              <w:spacing w:after="0" w:before="0" w:line="240" w:lineRule="auto"/>
              <w:jc w:val="left"/>
            </w:pPr>
            <w:r>
              <w:t>Part number</w:t>
            </w:r>
          </w:p>
        </w:tc>
        <w:tc>
          <w:tcPr>
            <w:tcW w:type="dxa" w:w="3600"/>
          </w:tcPr>
          <w:p>
            <w:pPr>
              <w:spacing w:after="0" w:before="0" w:line="240" w:lineRule="auto"/>
              <w:jc w:val="left"/>
            </w:pPr>
            <w:r>
              <w:t>Identifier used to order or manage a specific item</w:t>
            </w:r>
          </w:p>
        </w:tc>
        <w:tc>
          <w:tcPr>
            <w:tcW w:type="dxa" w:w="3600"/>
          </w:tcPr>
          <w:p>
            <w:pPr>
              <w:spacing w:after="0" w:before="0" w:line="240" w:lineRule="auto"/>
              <w:jc w:val="left"/>
            </w:pPr>
            <w:r>
              <w:t>Manufacturer or internal material code</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Physical design or hardware revision</w:t>
            </w:r>
          </w:p>
        </w:tc>
        <w:tc>
          <w:tcPr>
            <w:tcW w:type="dxa" w:w="3600"/>
          </w:tcPr>
          <w:p>
            <w:pPr>
              <w:spacing w:after="0" w:before="0" w:line="240" w:lineRule="auto"/>
              <w:jc w:val="left"/>
            </w:pPr>
            <w:r>
              <w:t>Revision identified on the product label</w:t>
            </w:r>
          </w:p>
        </w:tc>
      </w:tr>
      <w:tr>
        <w:tc>
          <w:tcPr>
            <w:tcW w:type="dxa" w:w="3600"/>
          </w:tcPr>
          <w:p>
            <w:pPr>
              <w:spacing w:after="0" w:before="0" w:line="240" w:lineRule="auto"/>
              <w:jc w:val="left"/>
            </w:pPr>
            <w:r>
              <w:t>Firmware version</w:t>
            </w:r>
          </w:p>
        </w:tc>
        <w:tc>
          <w:tcPr>
            <w:tcW w:type="dxa" w:w="3600"/>
          </w:tcPr>
          <w:p>
            <w:pPr>
              <w:spacing w:after="0" w:before="0" w:line="240" w:lineRule="auto"/>
              <w:jc w:val="left"/>
            </w:pPr>
            <w:r>
              <w:t>Software embedded in the device</w:t>
            </w:r>
          </w:p>
        </w:tc>
        <w:tc>
          <w:tcPr>
            <w:tcW w:type="dxa" w:w="3600"/>
          </w:tcPr>
          <w:p>
            <w:pPr>
              <w:spacing w:after="0" w:before="0" w:line="240" w:lineRule="auto"/>
              <w:jc w:val="left"/>
            </w:pPr>
            <w:r>
              <w:t>Installed CPU firmware version</w:t>
            </w:r>
          </w:p>
        </w:tc>
      </w:tr>
      <w:tr>
        <w:tc>
          <w:tcPr>
            <w:tcW w:type="dxa" w:w="3600"/>
          </w:tcPr>
          <w:p>
            <w:pPr>
              <w:spacing w:after="0" w:before="0" w:line="240" w:lineRule="auto"/>
              <w:jc w:val="left"/>
            </w:pPr>
            <w:r>
              <w:t>Accessory</w:t>
            </w:r>
          </w:p>
        </w:tc>
        <w:tc>
          <w:tcPr>
            <w:tcW w:type="dxa" w:w="3600"/>
          </w:tcPr>
          <w:p>
            <w:pPr>
              <w:spacing w:after="0" w:before="0" w:line="240" w:lineRule="auto"/>
              <w:jc w:val="left"/>
            </w:pPr>
            <w:r>
              <w:t>Supporting item required for use</w:t>
            </w:r>
          </w:p>
        </w:tc>
        <w:tc>
          <w:tcPr>
            <w:tcW w:type="dxa" w:w="3600"/>
          </w:tcPr>
          <w:p>
            <w:pPr>
              <w:spacing w:after="0" w:before="0" w:line="240" w:lineRule="auto"/>
              <w:jc w:val="left"/>
            </w:pPr>
            <w:r>
              <w:t>Connector, memory card, or mounting accessory</w:t>
            </w:r>
          </w:p>
        </w:tc>
      </w:tr>
      <w:tr>
        <w:tc>
          <w:tcPr>
            <w:tcW w:type="dxa" w:w="3600"/>
          </w:tcPr>
          <w:p>
            <w:pPr>
              <w:spacing w:after="0" w:before="0" w:line="240" w:lineRule="auto"/>
              <w:jc w:val="left"/>
            </w:pPr>
            <w:r>
              <w:t>Equivalent model</w:t>
            </w:r>
          </w:p>
        </w:tc>
        <w:tc>
          <w:tcPr>
            <w:tcW w:type="dxa" w:w="3600"/>
          </w:tcPr>
          <w:p>
            <w:pPr>
              <w:spacing w:after="0" w:before="0" w:line="240" w:lineRule="auto"/>
              <w:jc w:val="left"/>
            </w:pPr>
            <w:r>
              <w:t>Alternative product demonstrated to satisfy the requirements</w:t>
            </w:r>
          </w:p>
        </w:tc>
        <w:tc>
          <w:tcPr>
            <w:tcW w:type="dxa" w:w="3600"/>
          </w:tcPr>
          <w:p>
            <w:pPr>
              <w:spacing w:after="0" w:before="0" w:line="240" w:lineRule="auto"/>
              <w:jc w:val="left"/>
            </w:pPr>
            <w:r>
              <w:t>Approved alternative CPU</w:t>
            </w:r>
          </w:p>
        </w:tc>
      </w:tr>
    </w:tbl>
    <w:p/>
    <w:p>
      <w:r>
        <w:t>A model name may cover several variants. The order number often provides the precision needed for purchasing and maintenance.</w:t>
      </w:r>
    </w:p>
    <w:p>
      <w:r>
        <w:t>For procurement, record the most specific identifier available and applicable to the item.</w:t>
      </w:r>
    </w:p>
    <w:p>
      <w:pPr>
        <w:pStyle w:val="Heading2"/>
      </w:pPr>
      <w:r>
        <w:t>4. Where make/model fits in the procurement process</w:t>
      </w:r>
    </w:p>
    <w:p>
      <w:pPr>
        <w:shd w:val="clear" w:color="auto" w:fill="F4F4F4"/>
        <w:spacing w:before="0" w:after="0" w:line="240" w:lineRule="auto"/>
        <w:ind w:left="216" w:right="216"/>
        <w:jc w:val="left"/>
      </w:pPr>
      <w:r>
        <w:rPr>
          <w:rFonts w:ascii="Consolas" w:hAnsi="Consolas"/>
          <w:color w:val="202020"/>
          <w:sz w:val="18"/>
        </w:rPr>
        <w:t>User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 equipment and compatibility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Preferred make/model or performance-based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proposes exact product and order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compliance and deviation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Lifecycle and 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make/model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verification and equipment registration</w:t>
      </w:r>
    </w:p>
    <w:p/>
    <w:p>
      <w:r>
        <w:t>A make/model specified in an RFQ is not automatically approved merely because it appears in the supplier quotation. The exact proposed product must satisfy the requirements and receive the necessary approval.</w:t>
      </w:r>
    </w:p>
    <w:p>
      <w:pPr>
        <w:pStyle w:val="Heading2"/>
      </w:pPr>
      <w:r>
        <w:t>5. Three approaches to make/model specification</w:t>
      </w:r>
    </w:p>
    <w:p>
      <w:pPr>
        <w:pStyle w:val="Heading3"/>
      </w:pPr>
      <w:r>
        <w:t>5.1 Specific make and model</w:t>
      </w:r>
    </w:p>
    <w:p>
      <w:r>
        <w:t>The RFQ identifies the exact approved product.</w:t>
      </w:r>
    </w:p>
    <w:p>
      <w:r>
        <w:t>Example:</w:t>
      </w:r>
    </w:p>
    <w:p>
      <w:pPr>
        <w:pStyle w:val="ListBullet"/>
      </w:pPr>
      <w:r>
        <w:t>Manufacturer: Defined manufacturer.</w:t>
      </w:r>
    </w:p>
    <w:p>
      <w:pPr>
        <w:pStyle w:val="ListBullet"/>
      </w:pPr>
      <w:r>
        <w:t>Model: Defined model or series.</w:t>
      </w:r>
    </w:p>
    <w:p>
      <w:pPr>
        <w:pStyle w:val="ListBullet"/>
      </w:pPr>
      <w:r>
        <w:t>Order number: Exact ordering code.</w:t>
      </w:r>
    </w:p>
    <w:p>
      <w:pPr>
        <w:pStyle w:val="ListBullet"/>
      </w:pPr>
      <w:r>
        <w:t>Required firmware or hardware compatibility: Defined where necessary.</w:t>
      </w:r>
    </w:p>
    <w:p>
      <w:r>
        <w:t>This approach is useful when an existing system requires a compatible replacement, an approved standard must be maintained, or the technical design has already selected a specific product.</w:t>
      </w:r>
    </w:p>
    <w:p>
      <w:r>
        <w:t>Advantages:</w:t>
      </w:r>
    </w:p>
    <w:p>
      <w:pPr>
        <w:pStyle w:val="ListBullet"/>
      </w:pPr>
      <w:r>
        <w:t>Reduces uncertainty about compatibility.</w:t>
      </w:r>
    </w:p>
    <w:p>
      <w:pPr>
        <w:pStyle w:val="ListBullet"/>
      </w:pPr>
      <w:r>
        <w:t>Simplifies spare-parts standardization.</w:t>
      </w:r>
    </w:p>
    <w:p>
      <w:pPr>
        <w:pStyle w:val="ListBullet"/>
      </w:pPr>
      <w:r>
        <w:t>Can reduce engineering and commissioning effort.</w:t>
      </w:r>
    </w:p>
    <w:p>
      <w:pPr>
        <w:pStyle w:val="ListBullet"/>
      </w:pPr>
      <w:r>
        <w:t>Makes technical verification more straightforward.</w:t>
      </w:r>
    </w:p>
    <w:p>
      <w:r>
        <w:t>Risks:</w:t>
      </w:r>
    </w:p>
    <w:p>
      <w:pPr>
        <w:pStyle w:val="ListBullet"/>
      </w:pPr>
      <w:r>
        <w:t>May restrict competition.</w:t>
      </w:r>
    </w:p>
    <w:p>
      <w:pPr>
        <w:pStyle w:val="ListBullet"/>
      </w:pPr>
      <w:r>
        <w:t>Can create dependence on a single manufacturer.</w:t>
      </w:r>
    </w:p>
    <w:p>
      <w:pPr>
        <w:pStyle w:val="ListBullet"/>
      </w:pPr>
      <w:r>
        <w:t>May result in higher costs or long lead times.</w:t>
      </w:r>
    </w:p>
    <w:p>
      <w:pPr>
        <w:pStyle w:val="ListBullet"/>
      </w:pPr>
      <w:r>
        <w:t>Can lock the plant into an obsolete or unsupported product.</w:t>
      </w:r>
    </w:p>
    <w:p>
      <w:r>
        <w:t>Use this approach when there is a valid technical or business justification, not simply because the engineer remembers the brand name.</w:t>
      </w:r>
    </w:p>
    <w:p>
      <w:pPr>
        <w:pStyle w:val="Heading3"/>
      </w:pPr>
      <w:r>
        <w:t>5.2 Make/model preferred, with approved equivalents</w:t>
      </w:r>
    </w:p>
    <w:p>
      <w:r>
        <w:t>The RFQ identifies a preferred product but permits alternatives that meet defined requirements.</w:t>
      </w:r>
    </w:p>
    <w:p>
      <w:r>
        <w:t>The supplier must provide the exact proposed make, model, technical data, and compliance evidence.</w:t>
      </w:r>
    </w:p>
    <w:p>
      <w:r>
        <w:t>The buyer evaluates whether the alternative is genuinely equivalent in:</w:t>
      </w:r>
    </w:p>
    <w:p>
      <w:pPr>
        <w:pStyle w:val="ListBullet"/>
      </w:pPr>
      <w:r>
        <w:t>Functional performance.</w:t>
      </w:r>
    </w:p>
    <w:p>
      <w:pPr>
        <w:pStyle w:val="ListBullet"/>
      </w:pPr>
      <w:r>
        <w:t>Electrical and mechanical characteristics.</w:t>
      </w:r>
    </w:p>
    <w:p>
      <w:pPr>
        <w:pStyle w:val="ListBullet"/>
      </w:pPr>
      <w:r>
        <w:t>Communication compatibility.</w:t>
      </w:r>
    </w:p>
    <w:p>
      <w:pPr>
        <w:pStyle w:val="ListBullet"/>
      </w:pPr>
      <w:r>
        <w:t>Safety requirements.</w:t>
      </w:r>
    </w:p>
    <w:p>
      <w:pPr>
        <w:pStyle w:val="ListBullet"/>
      </w:pPr>
      <w:r>
        <w:t>Environmental suitability.</w:t>
      </w:r>
    </w:p>
    <w:p>
      <w:pPr>
        <w:pStyle w:val="ListBullet"/>
      </w:pPr>
      <w:r>
        <w:t>Software and configuration compatibility.</w:t>
      </w:r>
    </w:p>
    <w:p>
      <w:pPr>
        <w:pStyle w:val="ListBullet"/>
      </w:pPr>
      <w:r>
        <w:t>Lifecycle support.</w:t>
      </w:r>
    </w:p>
    <w:p>
      <w:pPr>
        <w:pStyle w:val="ListBullet"/>
      </w:pPr>
      <w:r>
        <w:t>Spare availability.</w:t>
      </w:r>
    </w:p>
    <w:p>
      <w:pPr>
        <w:pStyle w:val="ListBullet"/>
      </w:pPr>
      <w:r>
        <w:t>Installation and commissioning effort.</w:t>
      </w:r>
    </w:p>
    <w:p>
      <w:r>
        <w:t>A product with similar dimensions or the same advertised power rating is not necessarily equivalent.</w:t>
      </w:r>
    </w:p>
    <w:p>
      <w:pPr>
        <w:pStyle w:val="Heading3"/>
      </w:pPr>
      <w:r>
        <w:t>5.3 Performance-based specification</w:t>
      </w:r>
    </w:p>
    <w:p>
      <w:r>
        <w:t>The RFQ defines the required technical characteristics without mandating a particular make or model.</w:t>
      </w:r>
    </w:p>
    <w:p>
      <w:r>
        <w:t>For example, a specification for an industrial Ethernet switch may define the required port count, network speed, industrial temperature range, mounting method, power input, redundancy features, and managed-network capabilities.</w:t>
      </w:r>
    </w:p>
    <w:p>
      <w:r>
        <w:t>Suppliers may propose different products if they demonstrate compliance with the complete specification.</w:t>
      </w:r>
    </w:p>
    <w:p>
      <w:r>
        <w:t>This approach generally promotes competition, provided the requirements are precise and technically justified.</w:t>
      </w:r>
    </w:p>
    <w:p>
      <w:pPr>
        <w:pStyle w:val="Heading2"/>
      </w:pPr>
      <w:r>
        <w:t>6. How to choose the appropriate approach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Preferred approach</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Replacement of an existing component</w:t>
            </w:r>
          </w:p>
        </w:tc>
        <w:tc>
          <w:tcPr>
            <w:tcW w:type="dxa" w:w="3600"/>
          </w:tcPr>
          <w:p>
            <w:pPr>
              <w:spacing w:after="0" w:before="0" w:line="240" w:lineRule="auto"/>
              <w:jc w:val="left"/>
            </w:pPr>
            <w:r>
              <w:t>Exact model or approved compatible successor</w:t>
            </w:r>
          </w:p>
        </w:tc>
        <w:tc>
          <w:tcPr>
            <w:tcW w:type="dxa" w:w="3600"/>
          </w:tcPr>
          <w:p>
            <w:pPr>
              <w:spacing w:after="0" w:before="0" w:line="240" w:lineRule="auto"/>
              <w:jc w:val="left"/>
            </w:pPr>
            <w:r>
              <w:t>Electrical, mechanical, and functional compatibility</w:t>
            </w:r>
          </w:p>
        </w:tc>
      </w:tr>
      <w:tr>
        <w:tc>
          <w:tcPr>
            <w:tcW w:type="dxa" w:w="3600"/>
          </w:tcPr>
          <w:p>
            <w:pPr>
              <w:spacing w:after="0" w:before="0" w:line="240" w:lineRule="auto"/>
              <w:jc w:val="left"/>
            </w:pPr>
            <w:r>
              <w:t>New independent machine</w:t>
            </w:r>
          </w:p>
        </w:tc>
        <w:tc>
          <w:tcPr>
            <w:tcW w:type="dxa" w:w="3600"/>
          </w:tcPr>
          <w:p>
            <w:pPr>
              <w:spacing w:after="0" w:before="0" w:line="240" w:lineRule="auto"/>
              <w:jc w:val="left"/>
            </w:pPr>
            <w:r>
              <w:t>Performance-based or approved-equivalent approach</w:t>
            </w:r>
          </w:p>
        </w:tc>
        <w:tc>
          <w:tcPr>
            <w:tcW w:type="dxa" w:w="3600"/>
          </w:tcPr>
          <w:p>
            <w:pPr>
              <w:spacing w:after="0" w:before="0" w:line="240" w:lineRule="auto"/>
              <w:jc w:val="left"/>
            </w:pPr>
            <w:r>
              <w:t>Performance and application suitability</w:t>
            </w:r>
          </w:p>
        </w:tc>
      </w:tr>
      <w:tr>
        <w:tc>
          <w:tcPr>
            <w:tcW w:type="dxa" w:w="3600"/>
          </w:tcPr>
          <w:p>
            <w:pPr>
              <w:spacing w:after="0" w:before="0" w:line="240" w:lineRule="auto"/>
              <w:jc w:val="left"/>
            </w:pPr>
            <w:r>
              <w:t>Safety-critical equipment</w:t>
            </w:r>
          </w:p>
        </w:tc>
        <w:tc>
          <w:tcPr>
            <w:tcW w:type="dxa" w:w="3600"/>
          </w:tcPr>
          <w:p>
            <w:pPr>
              <w:spacing w:after="0" w:before="0" w:line="240" w:lineRule="auto"/>
              <w:jc w:val="left"/>
            </w:pPr>
            <w:r>
              <w:t>Precisely defined safety requirements and approved products</w:t>
            </w:r>
          </w:p>
        </w:tc>
        <w:tc>
          <w:tcPr>
            <w:tcW w:type="dxa" w:w="3600"/>
          </w:tcPr>
          <w:p>
            <w:pPr>
              <w:spacing w:after="0" w:before="0" w:line="240" w:lineRule="auto"/>
              <w:jc w:val="left"/>
            </w:pPr>
            <w:r>
              <w:t>Validated safety suitability and applicable standards</w:t>
            </w:r>
          </w:p>
        </w:tc>
      </w:tr>
      <w:tr>
        <w:tc>
          <w:tcPr>
            <w:tcW w:type="dxa" w:w="3600"/>
          </w:tcPr>
          <w:p>
            <w:pPr>
              <w:spacing w:after="0" w:before="0" w:line="240" w:lineRule="auto"/>
              <w:jc w:val="left"/>
            </w:pPr>
            <w:r>
              <w:t>Plant-wide standardization</w:t>
            </w:r>
          </w:p>
        </w:tc>
        <w:tc>
          <w:tcPr>
            <w:tcW w:type="dxa" w:w="3600"/>
          </w:tcPr>
          <w:p>
            <w:pPr>
              <w:spacing w:after="0" w:before="0" w:line="240" w:lineRule="auto"/>
              <w:jc w:val="left"/>
            </w:pPr>
            <w:r>
              <w:t>Approved make/model list</w:t>
            </w:r>
          </w:p>
        </w:tc>
        <w:tc>
          <w:tcPr>
            <w:tcW w:type="dxa" w:w="3600"/>
          </w:tcPr>
          <w:p>
            <w:pPr>
              <w:spacing w:after="0" w:before="0" w:line="240" w:lineRule="auto"/>
              <w:jc w:val="left"/>
            </w:pPr>
            <w:r>
              <w:t>Maintenance and lifecycle consistency</w:t>
            </w:r>
          </w:p>
        </w:tc>
      </w:tr>
      <w:tr>
        <w:tc>
          <w:tcPr>
            <w:tcW w:type="dxa" w:w="3600"/>
          </w:tcPr>
          <w:p>
            <w:pPr>
              <w:spacing w:after="0" w:before="0" w:line="240" w:lineRule="auto"/>
              <w:jc w:val="left"/>
            </w:pPr>
            <w:r>
              <w:t>Obsolete component replacement</w:t>
            </w:r>
          </w:p>
        </w:tc>
        <w:tc>
          <w:tcPr>
            <w:tcW w:type="dxa" w:w="3600"/>
          </w:tcPr>
          <w:p>
            <w:pPr>
              <w:spacing w:after="0" w:before="0" w:line="240" w:lineRule="auto"/>
              <w:jc w:val="left"/>
            </w:pPr>
            <w:r>
              <w:t>Approved successor or engineered alternative</w:t>
            </w:r>
          </w:p>
        </w:tc>
        <w:tc>
          <w:tcPr>
            <w:tcW w:type="dxa" w:w="3600"/>
          </w:tcPr>
          <w:p>
            <w:pPr>
              <w:spacing w:after="0" w:before="0" w:line="240" w:lineRule="auto"/>
              <w:jc w:val="left"/>
            </w:pPr>
            <w:r>
              <w:t>Migration risks and redesign requirements</w:t>
            </w:r>
          </w:p>
        </w:tc>
      </w:tr>
      <w:tr>
        <w:tc>
          <w:tcPr>
            <w:tcW w:type="dxa" w:w="3600"/>
          </w:tcPr>
          <w:p>
            <w:pPr>
              <w:spacing w:after="0" w:before="0" w:line="240" w:lineRule="auto"/>
              <w:jc w:val="left"/>
            </w:pPr>
            <w:r>
              <w:t>Competitive purchase of common equipment</w:t>
            </w:r>
          </w:p>
        </w:tc>
        <w:tc>
          <w:tcPr>
            <w:tcW w:type="dxa" w:w="3600"/>
          </w:tcPr>
          <w:p>
            <w:pPr>
              <w:spacing w:after="0" w:before="0" w:line="240" w:lineRule="auto"/>
              <w:jc w:val="left"/>
            </w:pPr>
            <w:r>
              <w:t>Performance-based specification</w:t>
            </w:r>
          </w:p>
        </w:tc>
        <w:tc>
          <w:tcPr>
            <w:tcW w:type="dxa" w:w="3600"/>
          </w:tcPr>
          <w:p>
            <w:pPr>
              <w:spacing w:after="0" w:before="0" w:line="240" w:lineRule="auto"/>
              <w:jc w:val="left"/>
            </w:pPr>
            <w:r>
              <w:t>Fair comparison between compliant products</w:t>
            </w:r>
          </w:p>
        </w:tc>
      </w:tr>
      <w:tr>
        <w:tc>
          <w:tcPr>
            <w:tcW w:type="dxa" w:w="3600"/>
          </w:tcPr>
          <w:p>
            <w:pPr>
              <w:spacing w:after="0" w:before="0" w:line="240" w:lineRule="auto"/>
              <w:jc w:val="left"/>
            </w:pPr>
            <w:r>
              <w:t>Proprietary software-dependent system</w:t>
            </w:r>
          </w:p>
        </w:tc>
        <w:tc>
          <w:tcPr>
            <w:tcW w:type="dxa" w:w="3600"/>
          </w:tcPr>
          <w:p>
            <w:pPr>
              <w:spacing w:after="0" w:before="0" w:line="240" w:lineRule="auto"/>
              <w:jc w:val="left"/>
            </w:pPr>
            <w:r>
              <w:t>Defined compatible platform or approved alternative</w:t>
            </w:r>
          </w:p>
        </w:tc>
        <w:tc>
          <w:tcPr>
            <w:tcW w:type="dxa" w:w="3600"/>
          </w:tcPr>
          <w:p>
            <w:pPr>
              <w:spacing w:after="0" w:before="0" w:line="240" w:lineRule="auto"/>
              <w:jc w:val="left"/>
            </w:pPr>
            <w:r>
              <w:t>Licenses, source files, data migration, and support</w:t>
            </w:r>
          </w:p>
        </w:tc>
      </w:tr>
    </w:tbl>
    <w:p/>
    <w:p>
      <w:r>
        <w:t>The procurement approach should be established before issuing the RFQ. Changing from an exact model requirement to an open equivalent approach after bids arrive can materially change the competition and evaluation basis.</w:t>
      </w:r>
    </w:p>
    <w:p>
      <w:pPr>
        <w:pStyle w:val="Heading2"/>
      </w:pPr>
      <w:r>
        <w:t>7. Make/model selection for PLCs</w:t>
      </w:r>
    </w:p>
    <w:p>
      <w:r>
        <w:t>A PLC selection must consider much more than the manufacturer.</w:t>
      </w:r>
    </w:p>
    <w:p>
      <w:r>
        <w:t>Important characteristics include:</w:t>
      </w:r>
    </w:p>
    <w:p>
      <w:pPr>
        <w:pStyle w:val="ListBullet"/>
      </w:pPr>
      <w:r>
        <w:t>CPU performance and memory.</w:t>
      </w:r>
    </w:p>
    <w:p>
      <w:pPr>
        <w:pStyle w:val="ListBullet"/>
      </w:pPr>
      <w:r>
        <w:t>Number and type of I/O points.</w:t>
      </w:r>
    </w:p>
    <w:p>
      <w:pPr>
        <w:pStyle w:val="ListBullet"/>
      </w:pPr>
      <w:r>
        <w:t>Local and remote I/O compatibility.</w:t>
      </w:r>
    </w:p>
    <w:p>
      <w:pPr>
        <w:pStyle w:val="ListBullet"/>
      </w:pPr>
      <w:r>
        <w:t>Communication protocols and interfaces.</w:t>
      </w:r>
    </w:p>
    <w:p>
      <w:pPr>
        <w:pStyle w:val="ListBullet"/>
      </w:pPr>
      <w:r>
        <w:t>Supported programming software.</w:t>
      </w:r>
    </w:p>
    <w:p>
      <w:pPr>
        <w:pStyle w:val="ListBullet"/>
      </w:pPr>
      <w:r>
        <w:t>Firmware compatibility.</w:t>
      </w:r>
    </w:p>
    <w:p>
      <w:pPr>
        <w:pStyle w:val="ListBullet"/>
      </w:pPr>
      <w:r>
        <w:t>Network capacity.</w:t>
      </w:r>
    </w:p>
    <w:p>
      <w:pPr>
        <w:pStyle w:val="ListBullet"/>
      </w:pPr>
      <w:r>
        <w:t>Motion and specialized functions.</w:t>
      </w:r>
    </w:p>
    <w:p>
      <w:pPr>
        <w:pStyle w:val="ListBullet"/>
      </w:pPr>
      <w:r>
        <w:t>Safety capabilities, where required.</w:t>
      </w:r>
    </w:p>
    <w:p>
      <w:pPr>
        <w:pStyle w:val="ListBullet"/>
      </w:pPr>
      <w:r>
        <w:t>Environmental conditions.</w:t>
      </w:r>
    </w:p>
    <w:p>
      <w:pPr>
        <w:pStyle w:val="ListBullet"/>
      </w:pPr>
      <w:r>
        <w:t>Product lifecycle and support.</w:t>
      </w:r>
    </w:p>
    <w:p>
      <w:pPr>
        <w:pStyle w:val="ListBullet"/>
      </w:pPr>
      <w:r>
        <w:t>Backup and restoration requirements.</w:t>
      </w:r>
    </w:p>
    <w:p>
      <w:pPr>
        <w:pStyle w:val="ListBullet"/>
      </w:pPr>
      <w:r>
        <w:t>Spare availability and migration options.</w:t>
      </w:r>
    </w:p>
    <w:p>
      <w:r>
        <w:t>Common industrial PLC families include:</w:t>
      </w:r>
    </w:p>
    <w:p>
      <w:pPr>
        <w:pStyle w:val="ListBullet"/>
      </w:pPr>
      <w:r>
        <w:t>Siemens SIMATIC S7-1200 and S7-1500.</w:t>
      </w:r>
    </w:p>
    <w:p>
      <w:pPr>
        <w:pStyle w:val="ListBullet"/>
      </w:pPr>
      <w:r>
        <w:t>Rockwell Automation CompactLogix and ControlLogix.</w:t>
      </w:r>
    </w:p>
    <w:p>
      <w:pPr>
        <w:pStyle w:val="ListBullet"/>
      </w:pPr>
      <w:r>
        <w:t>Mitsubishi MELSEC iQ-F and iQ-R.</w:t>
      </w:r>
    </w:p>
    <w:p>
      <w:pPr>
        <w:pStyle w:val="ListBullet"/>
      </w:pPr>
      <w:r>
        <w:t>Schneider Electric Modicon families.</w:t>
      </w:r>
    </w:p>
    <w:p>
      <w:pPr>
        <w:pStyle w:val="ListBullet"/>
      </w:pPr>
      <w:r>
        <w:t>Omron NJ/NX and related automation platforms.</w:t>
      </w:r>
    </w:p>
    <w:p>
      <w:r>
        <w:t>These product families are not universally interchangeable. Selection must follow the application requirements and the manufacturer's compatibility documentation.</w:t>
      </w:r>
    </w:p>
    <w:p>
      <w:r>
        <w:t>For a replacement PLC, investigate the existing CPU, I/O modules, fieldbus interfaces, communication cards, programming software, installed firmware, and any proprietary libraries before defining the proposed model.</w:t>
      </w:r>
    </w:p>
    <w:p>
      <w:pPr>
        <w:pStyle w:val="Heading2"/>
      </w:pPr>
      <w:r>
        <w:t>8. Make/model selection for HMI and SCADA</w:t>
      </w:r>
    </w:p>
    <w:p>
      <w:r>
        <w:t>For an HMI, consider:</w:t>
      </w:r>
    </w:p>
    <w:p>
      <w:pPr>
        <w:pStyle w:val="ListBullet"/>
      </w:pPr>
      <w:r>
        <w:t>Display size and resolution.</w:t>
      </w:r>
    </w:p>
    <w:p>
      <w:pPr>
        <w:pStyle w:val="ListBullet"/>
      </w:pPr>
      <w:r>
        <w:t>Touchscreen or other input method.</w:t>
      </w:r>
    </w:p>
    <w:p>
      <w:pPr>
        <w:pStyle w:val="ListBullet"/>
      </w:pPr>
      <w:r>
        <w:t>Panel mounting dimensions.</w:t>
      </w:r>
    </w:p>
    <w:p>
      <w:pPr>
        <w:pStyle w:val="ListBullet"/>
      </w:pPr>
      <w:r>
        <w:t>Supply voltage.</w:t>
      </w:r>
    </w:p>
    <w:p>
      <w:pPr>
        <w:pStyle w:val="ListBullet"/>
      </w:pPr>
      <w:r>
        <w:t>Communication interfaces.</w:t>
      </w:r>
    </w:p>
    <w:p>
      <w:pPr>
        <w:pStyle w:val="ListBullet"/>
      </w:pPr>
      <w:r>
        <w:t>Supported PLC drivers.</w:t>
      </w:r>
    </w:p>
    <w:p>
      <w:pPr>
        <w:pStyle w:val="ListBullet"/>
      </w:pPr>
      <w:r>
        <w:t>Runtime software compatibility.</w:t>
      </w:r>
    </w:p>
    <w:p>
      <w:pPr>
        <w:pStyle w:val="ListBullet"/>
      </w:pPr>
      <w:r>
        <w:t>User management.</w:t>
      </w:r>
    </w:p>
    <w:p>
      <w:pPr>
        <w:pStyle w:val="ListBullet"/>
      </w:pPr>
      <w:r>
        <w:t>Alarm and event functions.</w:t>
      </w:r>
    </w:p>
    <w:p>
      <w:pPr>
        <w:pStyle w:val="ListBullet"/>
      </w:pPr>
      <w:r>
        <w:t>Data logging and recipe handling.</w:t>
      </w:r>
    </w:p>
    <w:p>
      <w:pPr>
        <w:pStyle w:val="ListBullet"/>
      </w:pPr>
      <w:r>
        <w:t>Environmental ratings.</w:t>
      </w:r>
    </w:p>
    <w:p>
      <w:pPr>
        <w:pStyle w:val="ListBullet"/>
      </w:pPr>
      <w:r>
        <w:t>License requirements.</w:t>
      </w:r>
    </w:p>
    <w:p>
      <w:pPr>
        <w:pStyle w:val="ListBullet"/>
      </w:pPr>
      <w:r>
        <w:t>Backup and project-transfer capability.</w:t>
      </w:r>
    </w:p>
    <w:p>
      <w:r>
        <w:t>For SCADA, additional considerations include server architecture, tag capacity, client licensing, historian functions, redundancy, operating-system compatibility, cybersecurity, and integration with existing databases or reporting systems.</w:t>
      </w:r>
    </w:p>
    <w:p>
      <w:r>
        <w:t>A new HMI may communicate with an old PLC through a supported protocol, but that compatibility must be verified rather than assumed. Driver availability, address mapping, communication performance, and firmware support can all affect the outcome.</w:t>
      </w:r>
    </w:p>
    <w:p>
      <w:pPr>
        <w:pStyle w:val="Heading2"/>
      </w:pPr>
      <w:r>
        <w:t>9. Make/model selection for VFDs and servo drives</w:t>
      </w:r>
    </w:p>
    <w:p>
      <w:r>
        <w:t>For drives, verify:</w:t>
      </w:r>
    </w:p>
    <w:p>
      <w:pPr>
        <w:pStyle w:val="ListBullet"/>
      </w:pPr>
      <w:r>
        <w:t>Rated voltage and current.</w:t>
      </w:r>
    </w:p>
    <w:p>
      <w:pPr>
        <w:pStyle w:val="ListBullet"/>
      </w:pPr>
      <w:r>
        <w:t>Motor type and rated data.</w:t>
      </w:r>
    </w:p>
    <w:p>
      <w:pPr>
        <w:pStyle w:val="ListBullet"/>
      </w:pPr>
      <w:r>
        <w:t>Duty and overload requirements.</w:t>
      </w:r>
    </w:p>
    <w:p>
      <w:pPr>
        <w:pStyle w:val="ListBullet"/>
      </w:pPr>
      <w:r>
        <w:t>Speed and torque range.</w:t>
      </w:r>
    </w:p>
    <w:p>
      <w:pPr>
        <w:pStyle w:val="ListBullet"/>
      </w:pPr>
      <w:r>
        <w:t>Control mode.</w:t>
      </w:r>
    </w:p>
    <w:p>
      <w:pPr>
        <w:pStyle w:val="ListBullet"/>
      </w:pPr>
      <w:r>
        <w:t>Encoder or feedback compatibility.</w:t>
      </w:r>
    </w:p>
    <w:p>
      <w:pPr>
        <w:pStyle w:val="ListBullet"/>
      </w:pPr>
      <w:r>
        <w:t>Braking requirements.</w:t>
      </w:r>
    </w:p>
    <w:p>
      <w:pPr>
        <w:pStyle w:val="ListBullet"/>
      </w:pPr>
      <w:r>
        <w:t>Communication interface.</w:t>
      </w:r>
    </w:p>
    <w:p>
      <w:pPr>
        <w:pStyle w:val="ListBullet"/>
      </w:pPr>
      <w:r>
        <w:t>Safety functions.</w:t>
      </w:r>
    </w:p>
    <w:p>
      <w:pPr>
        <w:pStyle w:val="ListBullet"/>
      </w:pPr>
      <w:r>
        <w:t>Environmental and cooling requirements.</w:t>
      </w:r>
    </w:p>
    <w:p>
      <w:pPr>
        <w:pStyle w:val="ListBullet"/>
      </w:pPr>
      <w:r>
        <w:t>Parameter backup and restoration.</w:t>
      </w:r>
    </w:p>
    <w:p>
      <w:pPr>
        <w:pStyle w:val="ListBullet"/>
      </w:pPr>
      <w:r>
        <w:t>Motor and cable compatibility.</w:t>
      </w:r>
    </w:p>
    <w:p>
      <w:pPr>
        <w:pStyle w:val="ListBullet"/>
      </w:pPr>
      <w:r>
        <w:t>Available commissioning software.</w:t>
      </w:r>
    </w:p>
    <w:p>
      <w:pPr>
        <w:pStyle w:val="ListBullet"/>
      </w:pPr>
      <w:r>
        <w:t>Product support and replacement options.</w:t>
      </w:r>
    </w:p>
    <w:p>
      <w:r>
        <w:t>For servo systems, motor and drive compatibility is especially important. A drive from the same manufacturer is not automatically compatible with every motor in that manufacturer's portfolio.</w:t>
      </w:r>
    </w:p>
    <w:p>
      <w:r>
        <w:t>Check supported motor combinations, feedback devices, connectors, power ratings, firmware, tuning tools, and motion-controller interfaces.</w:t>
      </w:r>
    </w:p>
    <w:p>
      <w:r>
        <w:t>For VFD replacements, compare actual application requirements rather than matching only the motor kilowatt rating.</w:t>
      </w:r>
    </w:p>
    <w:p>
      <w:pPr>
        <w:pStyle w:val="Heading2"/>
      </w:pPr>
      <w:r>
        <w:t>10. Make/model selection for sensors and instruments</w:t>
      </w:r>
    </w:p>
    <w:p>
      <w:r>
        <w:t>A sensor or instrument should be selected based on its measurement or detection requirement.</w:t>
      </w:r>
    </w:p>
    <w:p>
      <w:r>
        <w:t>Relevant characteristics include:</w:t>
      </w:r>
    </w:p>
    <w:p>
      <w:pPr>
        <w:pStyle w:val="ListBullet"/>
      </w:pPr>
      <w:r>
        <w:t>Sensing principle.</w:t>
      </w:r>
    </w:p>
    <w:p>
      <w:pPr>
        <w:pStyle w:val="ListBullet"/>
      </w:pPr>
      <w:r>
        <w:t>Detection range or measurement span.</w:t>
      </w:r>
    </w:p>
    <w:p>
      <w:pPr>
        <w:pStyle w:val="ListBullet"/>
      </w:pPr>
      <w:r>
        <w:t>Accuracy and repeatability.</w:t>
      </w:r>
    </w:p>
    <w:p>
      <w:pPr>
        <w:pStyle w:val="ListBullet"/>
      </w:pPr>
      <w:r>
        <w:t>Response time.</w:t>
      </w:r>
    </w:p>
    <w:p>
      <w:pPr>
        <w:pStyle w:val="ListBullet"/>
      </w:pPr>
      <w:r>
        <w:t>Output type.</w:t>
      </w:r>
    </w:p>
    <w:p>
      <w:pPr>
        <w:pStyle w:val="ListBullet"/>
      </w:pPr>
      <w:r>
        <w:t>Supply voltage.</w:t>
      </w:r>
    </w:p>
    <w:p>
      <w:pPr>
        <w:pStyle w:val="ListBullet"/>
      </w:pPr>
      <w:r>
        <w:t>Switching frequency.</w:t>
      </w:r>
    </w:p>
    <w:p>
      <w:pPr>
        <w:pStyle w:val="ListBullet"/>
      </w:pPr>
      <w:r>
        <w:t>Electrical connection.</w:t>
      </w:r>
    </w:p>
    <w:p>
      <w:pPr>
        <w:pStyle w:val="ListBullet"/>
      </w:pPr>
      <w:r>
        <w:t>Mounting and dimensions.</w:t>
      </w:r>
    </w:p>
    <w:p>
      <w:pPr>
        <w:pStyle w:val="ListBullet"/>
      </w:pPr>
      <w:r>
        <w:t>Environmental protection.</w:t>
      </w:r>
    </w:p>
    <w:p>
      <w:pPr>
        <w:pStyle w:val="ListBullet"/>
      </w:pPr>
      <w:r>
        <w:t>Temperature range.</w:t>
      </w:r>
    </w:p>
    <w:p>
      <w:pPr>
        <w:pStyle w:val="ListBullet"/>
      </w:pPr>
      <w:r>
        <w:t>Process connection where applicable.</w:t>
      </w:r>
    </w:p>
    <w:p>
      <w:pPr>
        <w:pStyle w:val="ListBullet"/>
      </w:pPr>
      <w:r>
        <w:t>Calibration requirements.</w:t>
      </w:r>
    </w:p>
    <w:p>
      <w:pPr>
        <w:pStyle w:val="ListBullet"/>
      </w:pPr>
      <w:r>
        <w:t>Compatibility with the connected PLC or instrument system.</w:t>
      </w:r>
    </w:p>
    <w:p>
      <w:r>
        <w:t>For example, replacing a PNP proximity sensor with an NPN sensor may create an interface problem even if both sensors have similar dimensions and sensing distances.</w:t>
      </w:r>
    </w:p>
    <w:p>
      <w:r>
        <w:t>Similarly, an analog pressure transmitter with a 4–20 mA output cannot automatically replace a device whose required output is 0–10 V.</w:t>
      </w:r>
    </w:p>
    <w:p>
      <w:r>
        <w:t>Make/model evaluation must include the complete electrical and functional interface.</w:t>
      </w:r>
    </w:p>
    <w:p>
      <w:pPr>
        <w:pStyle w:val="Heading2"/>
      </w:pPr>
      <w:r>
        <w:t>11. Compatibility and interchangeability assessment</w:t>
      </w:r>
    </w:p>
    <w:p>
      <w:r>
        <w:t>Compatibility means that equipment can operate correctly within the intended system.</w:t>
      </w:r>
    </w:p>
    <w:p>
      <w:r>
        <w:t>Interchangeability means that one item can replace another under defined conditions without unacceptable changes to fit, function, performance, safety, or maintenance.</w:t>
      </w:r>
    </w:p>
    <w:p>
      <w:r>
        <w:t>An item may be compatible but not directly interchangeable. For example, a replacement PLC might communicate with the existing HMI but require a redesigned program, changed I/O wiring, and new commissioning activities.</w:t>
      </w:r>
    </w:p>
    <w:p>
      <w:r>
        <w:t>Evaluate the following compatibility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Dimension</w:t>
            </w:r>
          </w:p>
        </w:tc>
        <w:tc>
          <w:tcPr>
            <w:tcW w:type="dxa" w:w="5400"/>
            <w:shd w:val="clear" w:color="auto" w:fill="EEF2F7"/>
          </w:tcPr>
          <w:p>
            <w:pPr>
              <w:spacing w:after="0" w:before="0" w:line="240" w:lineRule="auto"/>
              <w:jc w:val="left"/>
            </w:pPr>
            <w:r>
              <w:rPr>
                <w:b/>
                <w:color w:val="1A2E4A"/>
              </w:rPr>
              <w:t>Checks</w:t>
            </w:r>
          </w:p>
        </w:tc>
      </w:tr>
      <w:tr>
        <w:tc>
          <w:tcPr>
            <w:tcW w:type="dxa" w:w="5400"/>
          </w:tcPr>
          <w:p>
            <w:pPr>
              <w:spacing w:after="0" w:before="0" w:line="240" w:lineRule="auto"/>
              <w:jc w:val="left"/>
            </w:pPr>
            <w:r>
              <w:t>Electrical</w:t>
            </w:r>
          </w:p>
        </w:tc>
        <w:tc>
          <w:tcPr>
            <w:tcW w:type="dxa" w:w="5400"/>
          </w:tcPr>
          <w:p>
            <w:pPr>
              <w:spacing w:after="0" w:before="0" w:line="240" w:lineRule="auto"/>
              <w:jc w:val="left"/>
            </w:pPr>
            <w:r>
              <w:t>Voltage, current, signal type, protection, grounding</w:t>
            </w:r>
          </w:p>
        </w:tc>
      </w:tr>
      <w:tr>
        <w:tc>
          <w:tcPr>
            <w:tcW w:type="dxa" w:w="5400"/>
          </w:tcPr>
          <w:p>
            <w:pPr>
              <w:spacing w:after="0" w:before="0" w:line="240" w:lineRule="auto"/>
              <w:jc w:val="left"/>
            </w:pPr>
            <w:r>
              <w:t>Mechanical</w:t>
            </w:r>
          </w:p>
        </w:tc>
        <w:tc>
          <w:tcPr>
            <w:tcW w:type="dxa" w:w="5400"/>
          </w:tcPr>
          <w:p>
            <w:pPr>
              <w:spacing w:after="0" w:before="0" w:line="240" w:lineRule="auto"/>
              <w:jc w:val="left"/>
            </w:pPr>
            <w:r>
              <w:t>Dimensions, mounting, connectors, clearances</w:t>
            </w:r>
          </w:p>
        </w:tc>
      </w:tr>
      <w:tr>
        <w:tc>
          <w:tcPr>
            <w:tcW w:type="dxa" w:w="5400"/>
          </w:tcPr>
          <w:p>
            <w:pPr>
              <w:spacing w:after="0" w:before="0" w:line="240" w:lineRule="auto"/>
              <w:jc w:val="left"/>
            </w:pPr>
            <w:r>
              <w:t>Functional</w:t>
            </w:r>
          </w:p>
        </w:tc>
        <w:tc>
          <w:tcPr>
            <w:tcW w:type="dxa" w:w="5400"/>
          </w:tcPr>
          <w:p>
            <w:pPr>
              <w:spacing w:after="0" w:before="0" w:line="240" w:lineRule="auto"/>
              <w:jc w:val="left"/>
            </w:pPr>
            <w:r>
              <w:t>Required operating behavior and performance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addressing, data format, update rates</w:t>
            </w:r>
          </w:p>
        </w:tc>
      </w:tr>
      <w:tr>
        <w:tc>
          <w:tcPr>
            <w:tcW w:type="dxa" w:w="5400"/>
          </w:tcPr>
          <w:p>
            <w:pPr>
              <w:spacing w:after="0" w:before="0" w:line="240" w:lineRule="auto"/>
              <w:jc w:val="left"/>
            </w:pPr>
            <w:r>
              <w:t>Software</w:t>
            </w:r>
          </w:p>
        </w:tc>
        <w:tc>
          <w:tcPr>
            <w:tcW w:type="dxa" w:w="5400"/>
          </w:tcPr>
          <w:p>
            <w:pPr>
              <w:spacing w:after="0" w:before="0" w:line="240" w:lineRule="auto"/>
              <w:jc w:val="left"/>
            </w:pPr>
            <w:r>
              <w:t>Engineering tools, project formats, libraries</w:t>
            </w:r>
          </w:p>
        </w:tc>
      </w:tr>
      <w:tr>
        <w:tc>
          <w:tcPr>
            <w:tcW w:type="dxa" w:w="5400"/>
          </w:tcPr>
          <w:p>
            <w:pPr>
              <w:spacing w:after="0" w:before="0" w:line="240" w:lineRule="auto"/>
              <w:jc w:val="left"/>
            </w:pPr>
            <w:r>
              <w:t>Firmware</w:t>
            </w:r>
          </w:p>
        </w:tc>
        <w:tc>
          <w:tcPr>
            <w:tcW w:type="dxa" w:w="5400"/>
          </w:tcPr>
          <w:p>
            <w:pPr>
              <w:spacing w:after="0" w:before="0" w:line="240" w:lineRule="auto"/>
              <w:jc w:val="left"/>
            </w:pPr>
            <w:r>
              <w:t>Supported versions and compatibility restrictions</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safety functions and validated architecture</w:t>
            </w:r>
          </w:p>
        </w:tc>
      </w:tr>
      <w:tr>
        <w:tc>
          <w:tcPr>
            <w:tcW w:type="dxa" w:w="5400"/>
          </w:tcPr>
          <w:p>
            <w:pPr>
              <w:spacing w:after="0" w:before="0" w:line="240" w:lineRule="auto"/>
              <w:jc w:val="left"/>
            </w:pPr>
            <w:r>
              <w:t>Environmental</w:t>
            </w:r>
          </w:p>
        </w:tc>
        <w:tc>
          <w:tcPr>
            <w:tcW w:type="dxa" w:w="5400"/>
          </w:tcPr>
          <w:p>
            <w:pPr>
              <w:spacing w:after="0" w:before="0" w:line="240" w:lineRule="auto"/>
              <w:jc w:val="left"/>
            </w:pPr>
            <w:r>
              <w:t>Temperature, vibration, ingress protection</w:t>
            </w:r>
          </w:p>
        </w:tc>
      </w:tr>
      <w:tr>
        <w:tc>
          <w:tcPr>
            <w:tcW w:type="dxa" w:w="5400"/>
          </w:tcPr>
          <w:p>
            <w:pPr>
              <w:spacing w:after="0" w:before="0" w:line="240" w:lineRule="auto"/>
              <w:jc w:val="left"/>
            </w:pPr>
            <w:r>
              <w:t>Lifecycle</w:t>
            </w:r>
          </w:p>
        </w:tc>
        <w:tc>
          <w:tcPr>
            <w:tcW w:type="dxa" w:w="5400"/>
          </w:tcPr>
          <w:p>
            <w:pPr>
              <w:spacing w:after="0" w:before="0" w:line="240" w:lineRule="auto"/>
              <w:jc w:val="left"/>
            </w:pPr>
            <w:r>
              <w:t>Product status, support period, spare availability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Diagnostic tools, training, replacement procedure</w:t>
            </w:r>
          </w:p>
        </w:tc>
      </w:tr>
    </w:tbl>
    <w:p/>
    <w:p>
      <w:r>
        <w:t>An approved equivalent should be supported by evidence for all relevant dimensions, not just a supplier's statement that the product is "equivalent."</w:t>
      </w:r>
    </w:p>
    <w:p>
      <w:pPr>
        <w:pStyle w:val="Heading2"/>
      </w:pPr>
      <w:r>
        <w:t>12. Obsolescence and successor models</w:t>
      </w:r>
    </w:p>
    <w:p>
      <w:r>
        <w:t>Manufacturers periodically discontinue products or replace them with successor models.</w:t>
      </w:r>
    </w:p>
    <w:p>
      <w:r>
        <w:t>Before selecting a successor, establish:</w:t>
      </w:r>
    </w:p>
    <w:p>
      <w:pPr>
        <w:pStyle w:val="ListBullet"/>
      </w:pPr>
      <w:r>
        <w:t>Whether the original model is active, discontinued, or nearing end of support.</w:t>
      </w:r>
    </w:p>
    <w:p>
      <w:pPr>
        <w:pStyle w:val="ListBullet"/>
      </w:pPr>
      <w:r>
        <w:t>Whether a formal successor has been identified by the manufacturer.</w:t>
      </w:r>
    </w:p>
    <w:p>
      <w:pPr>
        <w:pStyle w:val="ListBullet"/>
      </w:pPr>
      <w:r>
        <w:t>Whether the successor is a direct replacement or a migration product.</w:t>
      </w:r>
    </w:p>
    <w:p>
      <w:pPr>
        <w:pStyle w:val="ListBullet"/>
      </w:pPr>
      <w:r>
        <w:t>Which existing accessories remain compatible.</w:t>
      </w:r>
    </w:p>
    <w:p>
      <w:pPr>
        <w:pStyle w:val="ListBullet"/>
      </w:pPr>
      <w:r>
        <w:t>Whether firmware or engineering software must change.</w:t>
      </w:r>
    </w:p>
    <w:p>
      <w:pPr>
        <w:pStyle w:val="ListBullet"/>
      </w:pPr>
      <w:r>
        <w:t>Whether the application program can be migrated.</w:t>
      </w:r>
    </w:p>
    <w:p>
      <w:pPr>
        <w:pStyle w:val="ListBullet"/>
      </w:pPr>
      <w:r>
        <w:t>Whether wiring, connectors, or communication interfaces differ.</w:t>
      </w:r>
    </w:p>
    <w:p>
      <w:pPr>
        <w:pStyle w:val="ListBullet"/>
      </w:pPr>
      <w:r>
        <w:t>Whether safety certification or validation must be repeated.</w:t>
      </w:r>
    </w:p>
    <w:p>
      <w:pPr>
        <w:pStyle w:val="ListBullet"/>
      </w:pPr>
      <w:r>
        <w:t>Whether training, commissioning, and downtime costs change.</w:t>
      </w:r>
    </w:p>
    <w:p>
      <w:r>
        <w:t>A successor model should not be treated as a drop-in replacement unless the manufacturer and the engineering assessment support that conclusion.</w:t>
      </w:r>
    </w:p>
    <w:p>
      <w:r>
        <w:t>For an obsolete PLC, the migration plan may require program conversion, I/O redesign, panel modification, network changes, and a controlled commissioning plan.</w:t>
      </w:r>
    </w:p>
    <w:p>
      <w:pPr>
        <w:pStyle w:val="Heading2"/>
      </w:pPr>
      <w:r>
        <w:t>13. Supplier quotation requirements</w:t>
      </w:r>
    </w:p>
    <w:p>
      <w:r>
        <w:t>The RFQ should require suppliers to identify the exact make and model they are offering.</w:t>
      </w:r>
    </w:p>
    <w:p>
      <w:r>
        <w:t>A useful quotation format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RFQ item number</w:t>
            </w:r>
          </w:p>
        </w:tc>
        <w:tc>
          <w:tcPr>
            <w:tcW w:type="dxa" w:w="5400"/>
          </w:tcPr>
          <w:p>
            <w:pPr>
              <w:spacing w:after="0" w:before="0" w:line="240" w:lineRule="auto"/>
              <w:jc w:val="left"/>
            </w:pPr>
            <w:r>
              <w:t>Reference to the buyer's item</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Full manufacturer or brand name</w:t>
            </w:r>
          </w:p>
        </w:tc>
      </w:tr>
      <w:tr>
        <w:tc>
          <w:tcPr>
            <w:tcW w:type="dxa" w:w="5400"/>
          </w:tcPr>
          <w:p>
            <w:pPr>
              <w:spacing w:after="0" w:before="0" w:line="240" w:lineRule="auto"/>
              <w:jc w:val="left"/>
            </w:pPr>
            <w:r>
              <w:t>Product family</w:t>
            </w:r>
          </w:p>
        </w:tc>
        <w:tc>
          <w:tcPr>
            <w:tcW w:type="dxa" w:w="5400"/>
          </w:tcPr>
          <w:p>
            <w:pPr>
              <w:spacing w:after="0" w:before="0" w:line="240" w:lineRule="auto"/>
              <w:jc w:val="left"/>
            </w:pPr>
            <w:r>
              <w:t>Applicable product series</w:t>
            </w:r>
          </w:p>
        </w:tc>
      </w:tr>
      <w:tr>
        <w:tc>
          <w:tcPr>
            <w:tcW w:type="dxa" w:w="5400"/>
          </w:tcPr>
          <w:p>
            <w:pPr>
              <w:spacing w:after="0" w:before="0" w:line="240" w:lineRule="auto"/>
              <w:jc w:val="left"/>
            </w:pPr>
            <w:r>
              <w:t>Model</w:t>
            </w:r>
          </w:p>
        </w:tc>
        <w:tc>
          <w:tcPr>
            <w:tcW w:type="dxa" w:w="5400"/>
          </w:tcPr>
          <w:p>
            <w:pPr>
              <w:spacing w:after="0" w:before="0" w:line="240" w:lineRule="auto"/>
              <w:jc w:val="left"/>
            </w:pPr>
            <w:r>
              <w:t>Exact model designation</w:t>
            </w:r>
          </w:p>
        </w:tc>
      </w:tr>
      <w:tr>
        <w:tc>
          <w:tcPr>
            <w:tcW w:type="dxa" w:w="5400"/>
          </w:tcPr>
          <w:p>
            <w:pPr>
              <w:spacing w:after="0" w:before="0" w:line="240" w:lineRule="auto"/>
              <w:jc w:val="left"/>
            </w:pPr>
            <w:r>
              <w:t>Order number</w:t>
            </w:r>
          </w:p>
        </w:tc>
        <w:tc>
          <w:tcPr>
            <w:tcW w:type="dxa" w:w="5400"/>
          </w:tcPr>
          <w:p>
            <w:pPr>
              <w:spacing w:after="0" w:before="0" w:line="240" w:lineRule="auto"/>
              <w:jc w:val="left"/>
            </w:pPr>
            <w:r>
              <w:t>Full manufacturer ordering code</w:t>
            </w:r>
          </w:p>
        </w:tc>
      </w:tr>
      <w:tr>
        <w:tc>
          <w:tcPr>
            <w:tcW w:type="dxa" w:w="5400"/>
          </w:tcPr>
          <w:p>
            <w:pPr>
              <w:spacing w:after="0" w:before="0" w:line="240" w:lineRule="auto"/>
              <w:jc w:val="left"/>
            </w:pPr>
            <w:r>
              <w:t>Quantity</w:t>
            </w:r>
          </w:p>
        </w:tc>
        <w:tc>
          <w:tcPr>
            <w:tcW w:type="dxa" w:w="5400"/>
          </w:tcPr>
          <w:p>
            <w:pPr>
              <w:spacing w:after="0" w:before="0" w:line="240" w:lineRule="auto"/>
              <w:jc w:val="left"/>
            </w:pPr>
            <w:r>
              <w:t>Quoted amount and unit</w:t>
            </w:r>
          </w:p>
        </w:tc>
      </w:tr>
      <w:tr>
        <w:tc>
          <w:tcPr>
            <w:tcW w:type="dxa" w:w="5400"/>
          </w:tcPr>
          <w:p>
            <w:pPr>
              <w:spacing w:after="0" w:before="0" w:line="240" w:lineRule="auto"/>
              <w:jc w:val="left"/>
            </w:pPr>
            <w:r>
              <w:t>Technical datasheet</w:t>
            </w:r>
          </w:p>
        </w:tc>
        <w:tc>
          <w:tcPr>
            <w:tcW w:type="dxa" w:w="5400"/>
          </w:tcPr>
          <w:p>
            <w:pPr>
              <w:spacing w:after="0" w:before="0" w:line="240" w:lineRule="auto"/>
              <w:jc w:val="left"/>
            </w:pPr>
            <w:r>
              <w:t>Evidence of product characteristics</w:t>
            </w:r>
          </w:p>
        </w:tc>
      </w:tr>
      <w:tr>
        <w:tc>
          <w:tcPr>
            <w:tcW w:type="dxa" w:w="5400"/>
          </w:tcPr>
          <w:p>
            <w:pPr>
              <w:spacing w:after="0" w:before="0" w:line="240" w:lineRule="auto"/>
              <w:jc w:val="left"/>
            </w:pPr>
            <w:r>
              <w:t>Firmware or revision</w:t>
            </w:r>
          </w:p>
        </w:tc>
        <w:tc>
          <w:tcPr>
            <w:tcW w:type="dxa" w:w="5400"/>
          </w:tcPr>
          <w:p>
            <w:pPr>
              <w:spacing w:after="0" w:before="0" w:line="240" w:lineRule="auto"/>
              <w:jc w:val="left"/>
            </w:pPr>
            <w:r>
              <w:t>Applicable version where relevant</w:t>
            </w:r>
          </w:p>
        </w:tc>
      </w:tr>
      <w:tr>
        <w:tc>
          <w:tcPr>
            <w:tcW w:type="dxa" w:w="5400"/>
          </w:tcPr>
          <w:p>
            <w:pPr>
              <w:spacing w:after="0" w:before="0" w:line="240" w:lineRule="auto"/>
              <w:jc w:val="left"/>
            </w:pPr>
            <w:r>
              <w:t>Accessories</w:t>
            </w:r>
          </w:p>
        </w:tc>
        <w:tc>
          <w:tcPr>
            <w:tcW w:type="dxa" w:w="5400"/>
          </w:tcPr>
          <w:p>
            <w:pPr>
              <w:spacing w:after="0" w:before="0" w:line="240" w:lineRule="auto"/>
              <w:jc w:val="left"/>
            </w:pPr>
            <w:r>
              <w:t>Included and separately priced items</w:t>
            </w:r>
          </w:p>
        </w:tc>
      </w:tr>
      <w:tr>
        <w:tc>
          <w:tcPr>
            <w:tcW w:type="dxa" w:w="5400"/>
          </w:tcPr>
          <w:p>
            <w:pPr>
              <w:spacing w:after="0" w:before="0" w:line="240" w:lineRule="auto"/>
              <w:jc w:val="left"/>
            </w:pPr>
            <w:r>
              <w:t>License details</w:t>
            </w:r>
          </w:p>
        </w:tc>
        <w:tc>
          <w:tcPr>
            <w:tcW w:type="dxa" w:w="5400"/>
          </w:tcPr>
          <w:p>
            <w:pPr>
              <w:spacing w:after="0" w:before="0" w:line="240" w:lineRule="auto"/>
              <w:jc w:val="left"/>
            </w:pPr>
            <w:r>
              <w:t>Software or runtime licenses where applicable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Available, discontinued, or successor status where known</w:t>
            </w:r>
          </w:p>
        </w:tc>
      </w:tr>
      <w:tr>
        <w:tc>
          <w:tcPr>
            <w:tcW w:type="dxa" w:w="5400"/>
          </w:tcPr>
          <w:p>
            <w:pPr>
              <w:spacing w:after="0" w:before="0" w:line="240" w:lineRule="auto"/>
              <w:jc w:val="left"/>
            </w:pPr>
            <w:r>
              <w:t>Compliance</w:t>
            </w:r>
          </w:p>
        </w:tc>
        <w:tc>
          <w:tcPr>
            <w:tcW w:type="dxa" w:w="5400"/>
          </w:tcPr>
          <w:p>
            <w:pPr>
              <w:spacing w:after="0" w:before="0" w:line="240" w:lineRule="auto"/>
              <w:jc w:val="left"/>
            </w:pPr>
            <w:r>
              <w:t>Compliant, deviation, or clarification required</w:t>
            </w:r>
          </w:p>
        </w:tc>
      </w:tr>
      <w:tr>
        <w:tc>
          <w:tcPr>
            <w:tcW w:type="dxa" w:w="5400"/>
          </w:tcPr>
          <w:p>
            <w:pPr>
              <w:spacing w:after="0" w:before="0" w:line="240" w:lineRule="auto"/>
              <w:jc w:val="left"/>
            </w:pPr>
            <w:r>
              <w:t>Delivery lead time</w:t>
            </w:r>
          </w:p>
        </w:tc>
        <w:tc>
          <w:tcPr>
            <w:tcW w:type="dxa" w:w="5400"/>
          </w:tcPr>
          <w:p>
            <w:pPr>
              <w:spacing w:after="0" w:before="0" w:line="240" w:lineRule="auto"/>
              <w:jc w:val="left"/>
            </w:pPr>
            <w:r>
              <w:t>Quoted delivery period</w:t>
            </w:r>
          </w:p>
        </w:tc>
      </w:tr>
      <w:tr>
        <w:tc>
          <w:tcPr>
            <w:tcW w:type="dxa" w:w="5400"/>
          </w:tcPr>
          <w:p>
            <w:pPr>
              <w:spacing w:after="0" w:before="0" w:line="240" w:lineRule="auto"/>
              <w:jc w:val="left"/>
            </w:pPr>
            <w:r>
              <w:t>Warranty</w:t>
            </w:r>
          </w:p>
        </w:tc>
        <w:tc>
          <w:tcPr>
            <w:tcW w:type="dxa" w:w="5400"/>
          </w:tcPr>
          <w:p>
            <w:pPr>
              <w:spacing w:after="0" w:before="0" w:line="240" w:lineRule="auto"/>
              <w:jc w:val="left"/>
            </w:pPr>
            <w:r>
              <w:t>Applicable warranty conditions</w:t>
            </w:r>
          </w:p>
        </w:tc>
      </w:tr>
    </w:tbl>
    <w:p/>
    <w:p>
      <w:r>
        <w:t>If the supplier proposes an alternative, the deviation should be explicit. It should not be hidden in a datasheet attachment or discovered after the purchase order is released.</w:t>
      </w:r>
    </w:p>
    <w:p>
      <w:pPr>
        <w:pStyle w:val="Heading2"/>
      </w:pPr>
      <w:r>
        <w:t>14. Approved make/model lists</w:t>
      </w:r>
    </w:p>
    <w:p>
      <w:r>
        <w:t>Many manufacturing plants maintain an approved list of makes, models, or product families for standardization.</w:t>
      </w:r>
    </w:p>
    <w:p>
      <w:r>
        <w:t>Such a list may cover:</w:t>
      </w:r>
    </w:p>
    <w:p>
      <w:pPr>
        <w:pStyle w:val="ListBullet"/>
      </w:pPr>
      <w:r>
        <w:t>PLCs and I/O.</w:t>
      </w:r>
    </w:p>
    <w:p>
      <w:pPr>
        <w:pStyle w:val="ListBullet"/>
      </w:pPr>
      <w:r>
        <w:t>HMI panels.</w:t>
      </w:r>
    </w:p>
    <w:p>
      <w:pPr>
        <w:pStyle w:val="ListBullet"/>
      </w:pPr>
      <w:r>
        <w:t>VFDs and servo drives.</w:t>
      </w:r>
    </w:p>
    <w:p>
      <w:pPr>
        <w:pStyle w:val="ListBullet"/>
      </w:pPr>
      <w:r>
        <w:t>Sensors.</w:t>
      </w:r>
    </w:p>
    <w:p>
      <w:pPr>
        <w:pStyle w:val="ListBullet"/>
      </w:pPr>
      <w:r>
        <w:t>Circuit breakers and contactors.</w:t>
      </w:r>
    </w:p>
    <w:p>
      <w:pPr>
        <w:pStyle w:val="ListBullet"/>
      </w:pPr>
      <w:r>
        <w:t>Industrial switches.</w:t>
      </w:r>
    </w:p>
    <w:p>
      <w:pPr>
        <w:pStyle w:val="ListBullet"/>
      </w:pPr>
      <w:r>
        <w:t>Power supplies.</w:t>
      </w:r>
    </w:p>
    <w:p>
      <w:pPr>
        <w:pStyle w:val="ListBullet"/>
      </w:pPr>
      <w:r>
        <w:t>Safety relays and safety controllers.</w:t>
      </w:r>
    </w:p>
    <w:p>
      <w:pPr>
        <w:pStyle w:val="ListBullet"/>
      </w:pPr>
      <w:r>
        <w:t>Cables and connectors.</w:t>
      </w:r>
    </w:p>
    <w:p>
      <w:pPr>
        <w:pStyle w:val="ListBullet"/>
      </w:pPr>
      <w:r>
        <w:t>Panel accessories.</w:t>
      </w:r>
    </w:p>
    <w:p>
      <w:r>
        <w:t>The purpose is to improve maintainability, reduce unnecessary variety, simplify training, and improve spare availability.</w:t>
      </w:r>
    </w:p>
    <w:p>
      <w:r>
        <w:t>However, an approved list should be controlled and reviewed. It should identify applicable product variants, approved applications, lifecycle status, restrictions, and authorized exceptions.</w:t>
      </w:r>
    </w:p>
    <w:p>
      <w:r>
        <w:t>An approved brand is not blanket approval for every model sold by that brand. The exact product must still satisfy the application requirements.</w:t>
      </w:r>
    </w:p>
    <w:p>
      <w:pPr>
        <w:pStyle w:val="Heading2"/>
      </w:pPr>
      <w:r>
        <w:t>15. Lifecycle cost and maintenance considerations</w:t>
      </w:r>
    </w:p>
    <w:p>
      <w:r>
        <w:t>The lowest purchase price does not always produce the lowest ownership cost.</w:t>
      </w:r>
    </w:p>
    <w:p>
      <w:r>
        <w:t>Consider:</w:t>
      </w:r>
    </w:p>
    <w:p>
      <w:pPr>
        <w:pStyle w:val="ListBullet"/>
      </w:pPr>
      <w:r>
        <w:t>Initial equipment price.</w:t>
      </w:r>
    </w:p>
    <w:p>
      <w:pPr>
        <w:pStyle w:val="ListBullet"/>
      </w:pPr>
      <w:r>
        <w:t>Engineering and programming effort.</w:t>
      </w:r>
    </w:p>
    <w:p>
      <w:pPr>
        <w:pStyle w:val="ListBullet"/>
      </w:pPr>
      <w:r>
        <w:t>Installation and commissioning costs.</w:t>
      </w:r>
    </w:p>
    <w:p>
      <w:pPr>
        <w:pStyle w:val="ListBullet"/>
      </w:pPr>
      <w:r>
        <w:t>Required licenses and software tools.</w:t>
      </w:r>
    </w:p>
    <w:p>
      <w:pPr>
        <w:pStyle w:val="ListBullet"/>
      </w:pPr>
      <w:r>
        <w:t>Spare inventory costs.</w:t>
      </w:r>
    </w:p>
    <w:p>
      <w:pPr>
        <w:pStyle w:val="ListBullet"/>
      </w:pPr>
      <w:r>
        <w:t>Maintenance training.</w:t>
      </w:r>
    </w:p>
    <w:p>
      <w:pPr>
        <w:pStyle w:val="ListBullet"/>
      </w:pPr>
      <w:r>
        <w:t>Repair and replacement lead times.</w:t>
      </w:r>
    </w:p>
    <w:p>
      <w:pPr>
        <w:pStyle w:val="ListBullet"/>
      </w:pPr>
      <w:r>
        <w:t>Downtime exposure.</w:t>
      </w:r>
    </w:p>
    <w:p>
      <w:pPr>
        <w:pStyle w:val="ListBullet"/>
      </w:pPr>
      <w:r>
        <w:t>Product lifecycle and obsolescence risk.</w:t>
      </w:r>
    </w:p>
    <w:p>
      <w:pPr>
        <w:pStyle w:val="ListBullet"/>
      </w:pPr>
      <w:r>
        <w:t>Cybersecurity support.</w:t>
      </w:r>
    </w:p>
    <w:p>
      <w:pPr>
        <w:pStyle w:val="ListBullet"/>
      </w:pPr>
      <w:r>
        <w:t>Migration and future expansion costs.</w:t>
      </w:r>
    </w:p>
    <w:p>
      <w:r>
        <w:t>A simplified lifecycle cost model is:</w:t>
      </w:r>
    </w:p>
    <w:p>
      <w:pPr>
        <w:spacing w:before="120" w:after="160"/>
        <w:jc w:val="center"/>
      </w:pPr>
      <m:oMathPara>
        <m:oMath>
          <m:sSub>
            <m:e>
              <m:r>
                <m:t>C</m:t>
              </m:r>
            </m:e>
            <m:sub>
              <m:r>
                <m:rPr>
                  <m:nor/>
                </m:rPr>
                <m:t>lifecycle</m:t>
              </m:r>
            </m:sub>
          </m:sSub>
          <m:r>
            <m:t>=</m:t>
          </m:r>
          <m:sSub>
            <m:e>
              <m:r>
                <m:t>C</m:t>
              </m:r>
            </m:e>
            <m:sub>
              <m:r>
                <m:rPr>
                  <m:nor/>
                </m:rPr>
                <m:t>purchase</m:t>
              </m:r>
            </m:sub>
          </m:sSub>
          <m:r>
            <m:t>+</m:t>
          </m:r>
          <m:sSub>
            <m:e>
              <m:r>
                <m:t>C</m:t>
              </m:r>
            </m:e>
            <m:sub>
              <m:r>
                <m:rPr>
                  <m:nor/>
                </m:rPr>
                <m:t>engineering</m:t>
              </m:r>
            </m:sub>
          </m:sSub>
          <m:r>
            <m:t>+</m:t>
          </m:r>
          <m:sSub>
            <m:e>
              <m:r>
                <m:t>C</m:t>
              </m:r>
            </m:e>
            <m:sub>
              <m:r>
                <m:rPr>
                  <m:nor/>
                </m:rPr>
                <m:t>installation</m:t>
              </m:r>
            </m:sub>
          </m:sSub>
          <m:r>
            <m:t>+</m:t>
          </m:r>
          <m:sSub>
            <m:e>
              <m:r>
                <m:t>C</m:t>
              </m:r>
            </m:e>
            <m:sub>
              <m:r>
                <m:rPr>
                  <m:nor/>
                </m:rPr>
                <m:t>maintenance</m:t>
              </m:r>
            </m:sub>
          </m:sSub>
          <m:r>
            <m:t>+</m:t>
          </m:r>
          <m:sSub>
            <m:e>
              <m:r>
                <m:t>C</m:t>
              </m:r>
            </m:e>
            <m:sub>
              <m:r>
                <m:rPr>
                  <m:nor/>
                </m:rPr>
                <m:t>downtime</m:t>
              </m:r>
            </m:sub>
          </m:sSub>
          <m:r>
            <m:t>+</m:t>
          </m:r>
          <m:sSub>
            <m:e>
              <m:r>
                <m:t>C</m:t>
              </m:r>
            </m:e>
            <m:sub>
              <m:r>
                <m:rPr>
                  <m:nor/>
                </m:rPr>
                <m:t>migration</m:t>
              </m:r>
            </m:sub>
          </m:sSub>
        </m:oMath>
      </m:oMathPara>
    </w:p>
    <w:p>
      <w:r>
        <w:t>This is a conceptual model. The evaluation period, discount rate, cost boundaries, and estimation methods should be defined when a formal financial comparison is required.</w:t>
      </w:r>
    </w:p>
    <w:p>
      <w:r>
        <w:t>Standardizing on an existing platform can reduce engineering and maintenance effort, but it should not justify selecting an unsuitable product or retaining a platform with unacceptable lifecycle risk.</w:t>
      </w:r>
    </w:p>
    <w:p>
      <w:pPr>
        <w:pStyle w:val="Heading2"/>
      </w:pPr>
      <w:r>
        <w:t>16. Make/model approval and deviation control</w:t>
      </w:r>
    </w:p>
    <w:p>
      <w:r>
        <w:t>A controlled approval process prevents unauthorized substitutions.</w:t>
      </w:r>
    </w:p>
    <w:p>
      <w:pPr>
        <w:shd w:val="clear" w:color="auto" w:fill="F4F4F4"/>
        <w:spacing w:before="0" w:after="0" w:line="240" w:lineRule="auto"/>
        <w:ind w:left="216" w:right="216"/>
        <w:jc w:val="left"/>
      </w:pPr>
      <w:r>
        <w:rPr>
          <w:rFonts w:ascii="Consolas" w:hAnsi="Consolas"/>
          <w:color w:val="202020"/>
          <w:sz w:val="18"/>
        </w:rPr>
        <w:t>RFQ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declares proposed make/model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exact model and order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technical compliance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compatibility and lifecycle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deviations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approval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product recorded in the purchase baseline</w:t>
      </w:r>
    </w:p>
    <w:p/>
    <w:p>
      <w:r>
        <w:t>Approval responsibilities should follow the organization's delegation and quality procedures.</w:t>
      </w:r>
    </w:p>
    <w:p>
      <w:r>
        <w:t>Where a deviation affects safety, technical performance, network architecture, software compatibility, or validated processes, the relevant technical authority must approve it before implementation.</w:t>
      </w:r>
    </w:p>
    <w:p>
      <w:r>
        <w:t>A supplier substitution after purchase order placement should be handled as a controlled change, not as an informal equivalent-product decision.</w:t>
      </w:r>
    </w:p>
    <w:p>
      <w:pPr>
        <w:pStyle w:val="Heading2"/>
      </w:pPr>
      <w:r>
        <w:t>17. Practical example: replacing an obsolete PLC</w:t>
      </w:r>
    </w:p>
    <w:p>
      <w:r>
        <w:t>Assume an existing machine uses an obsolete PLC and a replacement is required.</w:t>
      </w:r>
    </w:p>
    <w:p>
      <w:r>
        <w:t>The initial assessment identifies:</w:t>
      </w:r>
    </w:p>
    <w:p>
      <w:pPr>
        <w:pStyle w:val="ListBullet"/>
      </w:pPr>
      <w:r>
        <w:t>Existing PLC CPU and order number.</w:t>
      </w:r>
    </w:p>
    <w:p>
      <w:pPr>
        <w:pStyle w:val="ListBullet"/>
      </w:pPr>
      <w:r>
        <w:t>Existing digital and analog I/O modules.</w:t>
      </w:r>
    </w:p>
    <w:p>
      <w:pPr>
        <w:pStyle w:val="ListBullet"/>
      </w:pPr>
      <w:r>
        <w:t>Communication interfaces to the HMI, drives, and other controllers.</w:t>
      </w:r>
    </w:p>
    <w:p>
      <w:pPr>
        <w:pStyle w:val="ListBullet"/>
      </w:pPr>
      <w:r>
        <w:t>Programming software and project backup.</w:t>
      </w:r>
    </w:p>
    <w:p>
      <w:pPr>
        <w:pStyle w:val="ListBullet"/>
      </w:pPr>
      <w:r>
        <w:t>Installed firmware and network configuration.</w:t>
      </w:r>
    </w:p>
    <w:p>
      <w:pPr>
        <w:pStyle w:val="ListBullet"/>
      </w:pPr>
      <w:r>
        <w:t>Machine downtime constraints.</w:t>
      </w:r>
    </w:p>
    <w:p>
      <w:pPr>
        <w:pStyle w:val="ListBullet"/>
      </w:pPr>
      <w:r>
        <w:t>Existing spare inventory.</w:t>
      </w:r>
    </w:p>
    <w:p>
      <w:pPr>
        <w:pStyle w:val="ListBullet"/>
      </w:pPr>
      <w:r>
        <w:t>Required safety interfaces.</w:t>
      </w:r>
    </w:p>
    <w:p>
      <w:r>
        <w:t>Three procurement approaches are considered.</w:t>
      </w:r>
    </w:p>
    <w:p>
      <w:r>
        <w:t>Option A: Exact replacement</w:t>
      </w:r>
    </w:p>
    <w:p>
      <w:r>
        <w:t>Use the original model if genuine stock is available and its condition, authenticity, lifecycle, and support status are acceptable.</w:t>
      </w:r>
    </w:p>
    <w:p>
      <w:r>
        <w:t>Option B: Manufacturer-approved successor</w:t>
      </w:r>
    </w:p>
    <w:p>
      <w:r>
        <w:t>Use a successor model after verifying compatibility and any required hardware, software, or firmware changes.</w:t>
      </w:r>
    </w:p>
    <w:p>
      <w:r>
        <w:t>Option C: Alternative platform</w:t>
      </w:r>
    </w:p>
    <w:p>
      <w:r>
        <w:t>Select another platform if it meets the functional requirements and the business case supports the migration effort.</w:t>
      </w:r>
    </w:p>
    <w:p>
      <w:r>
        <w:t>The technical assessment should compare: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 area</w:t>
            </w:r>
          </w:p>
        </w:tc>
        <w:tc>
          <w:tcPr>
            <w:tcW w:type="dxa" w:w="5400"/>
            <w:shd w:val="clear" w:color="auto" w:fill="EEF2F7"/>
          </w:tcPr>
          <w:p>
            <w:pPr>
              <w:spacing w:after="0" w:before="0" w:line="240" w:lineRule="auto"/>
              <w:jc w:val="left"/>
            </w:pPr>
            <w:r>
              <w:rPr>
                <w:b/>
                <w:color w:val="1A2E4A"/>
              </w:rPr>
              <w:t>Key question</w:t>
            </w:r>
          </w:p>
        </w:tc>
      </w:tr>
      <w:tr>
        <w:tc>
          <w:tcPr>
            <w:tcW w:type="dxa" w:w="5400"/>
          </w:tcPr>
          <w:p>
            <w:pPr>
              <w:spacing w:after="0" w:before="0" w:line="240" w:lineRule="auto"/>
              <w:jc w:val="left"/>
            </w:pPr>
            <w:r>
              <w:t>Functionality</w:t>
            </w:r>
          </w:p>
        </w:tc>
        <w:tc>
          <w:tcPr>
            <w:tcW w:type="dxa" w:w="5400"/>
          </w:tcPr>
          <w:p>
            <w:pPr>
              <w:spacing w:after="0" w:before="0" w:line="240" w:lineRule="auto"/>
              <w:jc w:val="left"/>
            </w:pPr>
            <w:r>
              <w:t>Can the replacement execute the required machine sequence?</w:t>
            </w:r>
          </w:p>
        </w:tc>
      </w:tr>
      <w:tr>
        <w:tc>
          <w:tcPr>
            <w:tcW w:type="dxa" w:w="5400"/>
          </w:tcPr>
          <w:p>
            <w:pPr>
              <w:spacing w:after="0" w:before="0" w:line="240" w:lineRule="auto"/>
              <w:jc w:val="left"/>
            </w:pPr>
            <w:r>
              <w:t>I/O</w:t>
            </w:r>
          </w:p>
        </w:tc>
        <w:tc>
          <w:tcPr>
            <w:tcW w:type="dxa" w:w="5400"/>
          </w:tcPr>
          <w:p>
            <w:pPr>
              <w:spacing w:after="0" w:before="0" w:line="240" w:lineRule="auto"/>
              <w:jc w:val="left"/>
            </w:pPr>
            <w:r>
              <w:t>Can all required signals be retained or migrated correctly?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Can existing devices continue to exchange the required data?</w:t>
            </w:r>
          </w:p>
        </w:tc>
      </w:tr>
      <w:tr>
        <w:tc>
          <w:tcPr>
            <w:tcW w:type="dxa" w:w="5400"/>
          </w:tcPr>
          <w:p>
            <w:pPr>
              <w:spacing w:after="0" w:before="0" w:line="240" w:lineRule="auto"/>
              <w:jc w:val="left"/>
            </w:pPr>
            <w:r>
              <w:t>Software</w:t>
            </w:r>
          </w:p>
        </w:tc>
        <w:tc>
          <w:tcPr>
            <w:tcW w:type="dxa" w:w="5400"/>
          </w:tcPr>
          <w:p>
            <w:pPr>
              <w:spacing w:after="0" w:before="0" w:line="240" w:lineRule="auto"/>
              <w:jc w:val="left"/>
            </w:pPr>
            <w:r>
              <w:t>Can the program be reused, converted, or rewritten?</w:t>
            </w:r>
          </w:p>
        </w:tc>
      </w:tr>
      <w:tr>
        <w:tc>
          <w:tcPr>
            <w:tcW w:type="dxa" w:w="5400"/>
          </w:tcPr>
          <w:p>
            <w:pPr>
              <w:spacing w:after="0" w:before="0" w:line="240" w:lineRule="auto"/>
              <w:jc w:val="left"/>
            </w:pPr>
            <w:r>
              <w:t>Safety</w:t>
            </w:r>
          </w:p>
        </w:tc>
        <w:tc>
          <w:tcPr>
            <w:tcW w:type="dxa" w:w="5400"/>
          </w:tcPr>
          <w:p>
            <w:pPr>
              <w:spacing w:after="0" w:before="0" w:line="240" w:lineRule="auto"/>
              <w:jc w:val="left"/>
            </w:pPr>
            <w:r>
              <w:t>Can all required safety functions remain compliant and validated?</w:t>
            </w:r>
          </w:p>
        </w:tc>
      </w:tr>
      <w:tr>
        <w:tc>
          <w:tcPr>
            <w:tcW w:type="dxa" w:w="5400"/>
          </w:tcPr>
          <w:p>
            <w:pPr>
              <w:spacing w:after="0" w:before="0" w:line="240" w:lineRule="auto"/>
              <w:jc w:val="left"/>
            </w:pPr>
            <w:r>
              <w:t>Downtime</w:t>
            </w:r>
          </w:p>
        </w:tc>
        <w:tc>
          <w:tcPr>
            <w:tcW w:type="dxa" w:w="5400"/>
          </w:tcPr>
          <w:p>
            <w:pPr>
              <w:spacing w:after="0" w:before="0" w:line="240" w:lineRule="auto"/>
              <w:jc w:val="left"/>
            </w:pPr>
            <w:r>
              <w:t>How long will installation and commissioning require?</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Can the plant support the new platform?</w:t>
            </w:r>
          </w:p>
        </w:tc>
      </w:tr>
      <w:tr>
        <w:tc>
          <w:tcPr>
            <w:tcW w:type="dxa" w:w="5400"/>
          </w:tcPr>
          <w:p>
            <w:pPr>
              <w:spacing w:after="0" w:before="0" w:line="240" w:lineRule="auto"/>
              <w:jc w:val="left"/>
            </w:pPr>
            <w:r>
              <w:t>Lifecycle</w:t>
            </w:r>
          </w:p>
        </w:tc>
        <w:tc>
          <w:tcPr>
            <w:tcW w:type="dxa" w:w="5400"/>
          </w:tcPr>
          <w:p>
            <w:pPr>
              <w:spacing w:after="0" w:before="0" w:line="240" w:lineRule="auto"/>
              <w:jc w:val="left"/>
            </w:pPr>
            <w:r>
              <w:t>Is the proposed product supported for the intended service period?</w:t>
            </w:r>
          </w:p>
        </w:tc>
      </w:tr>
      <w:tr>
        <w:tc>
          <w:tcPr>
            <w:tcW w:type="dxa" w:w="5400"/>
          </w:tcPr>
          <w:p>
            <w:pPr>
              <w:spacing w:after="0" w:before="0" w:line="240" w:lineRule="auto"/>
              <w:jc w:val="left"/>
            </w:pPr>
            <w:r>
              <w:t>Cost</w:t>
            </w:r>
          </w:p>
        </w:tc>
        <w:tc>
          <w:tcPr>
            <w:tcW w:type="dxa" w:w="5400"/>
          </w:tcPr>
          <w:p>
            <w:pPr>
              <w:spacing w:after="0" w:before="0" w:line="240" w:lineRule="auto"/>
              <w:jc w:val="left"/>
            </w:pPr>
            <w:r>
              <w:t>What are the total purchase and migration costs?</w:t>
            </w:r>
          </w:p>
        </w:tc>
      </w:tr>
    </w:tbl>
    <w:p/>
    <w:p>
      <w:r>
        <w:t>The final choice should be based on the approved technical and commercial evaluation, not solely on the lowest hardware quotation.</w:t>
      </w:r>
    </w:p>
    <w:p>
      <w:pPr>
        <w:pStyle w:val="Heading2"/>
      </w:pPr>
      <w:r>
        <w:t>18. Common make/model mistakes</w:t>
      </w:r>
    </w:p>
    <w:p>
      <w:pPr>
        <w:pStyle w:val="ListBullet"/>
      </w:pPr>
      <w:r>
        <w:t>Specifying only a manufacturer without identifying the required product variant.</w:t>
      </w:r>
    </w:p>
    <w:p>
      <w:pPr>
        <w:pStyle w:val="ListBullet"/>
      </w:pPr>
      <w:r>
        <w:t>Recording a product family instead of the exact order number.</w:t>
      </w:r>
    </w:p>
    <w:p>
      <w:pPr>
        <w:pStyle w:val="ListBullet"/>
      </w:pPr>
      <w:r>
        <w:t>Assuming a successor model is a direct replacement.</w:t>
      </w:r>
    </w:p>
    <w:p>
      <w:pPr>
        <w:pStyle w:val="ListBullet"/>
      </w:pPr>
      <w:r>
        <w:t>Approving an equivalent based only on power rating or physical dimensions.</w:t>
      </w:r>
    </w:p>
    <w:p>
      <w:pPr>
        <w:pStyle w:val="ListBullet"/>
      </w:pPr>
      <w:r>
        <w:t>Ignoring firmware and engineering-software compatibility.</w:t>
      </w:r>
    </w:p>
    <w:p>
      <w:pPr>
        <w:pStyle w:val="ListBullet"/>
      </w:pPr>
      <w:r>
        <w:t>Overlooking communication protocols and driver support.</w:t>
      </w:r>
    </w:p>
    <w:p>
      <w:pPr>
        <w:pStyle w:val="ListBullet"/>
      </w:pPr>
      <w:r>
        <w:t>Failing to include required accessories and licenses.</w:t>
      </w:r>
    </w:p>
    <w:p>
      <w:pPr>
        <w:pStyle w:val="ListBullet"/>
      </w:pPr>
      <w:r>
        <w:t>Accepting substitutions without documented approval.</w:t>
      </w:r>
    </w:p>
    <w:p>
      <w:pPr>
        <w:pStyle w:val="ListBullet"/>
      </w:pPr>
      <w:r>
        <w:t>Specifying a single manufacturer without a valid justification.</w:t>
      </w:r>
    </w:p>
    <w:p>
      <w:pPr>
        <w:pStyle w:val="ListBullet"/>
      </w:pPr>
      <w:r>
        <w:t>Ignoring product discontinuation and spare availability.</w:t>
      </w:r>
    </w:p>
    <w:p>
      <w:pPr>
        <w:pStyle w:val="ListBullet"/>
      </w:pPr>
      <w:r>
        <w:t>Treating an approved brand as approval for all its products.</w:t>
      </w:r>
    </w:p>
    <w:p>
      <w:pPr>
        <w:pStyle w:val="ListBullet"/>
      </w:pPr>
      <w:r>
        <w:t>Failing to update the BOM and installed-equipment records after a change.</w:t>
      </w:r>
    </w:p>
    <w:p>
      <w:pPr>
        <w:pStyle w:val="ListBullet"/>
      </w:pPr>
      <w:r>
        <w:t>Purchasing equipment without confirming authenticity and authorized supply channels where relevant.</w:t>
      </w:r>
    </w:p>
    <w:p>
      <w:pPr>
        <w:pStyle w:val="Heading2"/>
      </w:pPr>
      <w:r>
        <w:t>19. Practical make/model verification checklist</w:t>
      </w:r>
    </w:p>
    <w:p>
      <w:r>
        <w:t>Before releasing the RFQ:</w:t>
      </w:r>
    </w:p>
    <w:p>
      <w:pPr>
        <w:pStyle w:val="ListBullet"/>
      </w:pPr>
      <w:r>
        <w:t>The make/model approach is justified.</w:t>
      </w:r>
    </w:p>
    <w:p>
      <w:pPr>
        <w:pStyle w:val="ListBullet"/>
      </w:pPr>
      <w:r>
        <w:t>Required product characteristics are defined.</w:t>
      </w:r>
    </w:p>
    <w:p>
      <w:pPr>
        <w:pStyle w:val="ListBullet"/>
      </w:pPr>
      <w:r>
        <w:t>Existing-system compatibility has been assessed.</w:t>
      </w:r>
    </w:p>
    <w:p>
      <w:pPr>
        <w:pStyle w:val="ListBullet"/>
      </w:pPr>
      <w:r>
        <w:t>Exact model or ordering-code requirements are clear.</w:t>
      </w:r>
    </w:p>
    <w:p>
      <w:pPr>
        <w:pStyle w:val="ListBullet"/>
      </w:pPr>
      <w:r>
        <w:t>Applicable firmware and software constraints are identified.</w:t>
      </w:r>
    </w:p>
    <w:p>
      <w:pPr>
        <w:pStyle w:val="ListBullet"/>
      </w:pPr>
      <w:r>
        <w:t>Accessories and licenses are included.</w:t>
      </w:r>
    </w:p>
    <w:p>
      <w:pPr>
        <w:pStyle w:val="ListBullet"/>
      </w:pPr>
      <w:r>
        <w:t>Safety and environmental requirements are addressed.</w:t>
      </w:r>
    </w:p>
    <w:p>
      <w:pPr>
        <w:pStyle w:val="ListBullet"/>
      </w:pPr>
      <w:r>
        <w:t>Lifecycle and support risks have been considered.</w:t>
      </w:r>
    </w:p>
    <w:p>
      <w:pPr>
        <w:pStyle w:val="ListBullet"/>
      </w:pPr>
      <w:r>
        <w:t>Equivalent-product rules are clearly stated.</w:t>
      </w:r>
    </w:p>
    <w:p>
      <w:pPr>
        <w:pStyle w:val="ListBullet"/>
      </w:pPr>
      <w:r>
        <w:t>Required technical evidence is identified.</w:t>
      </w:r>
    </w:p>
    <w:p>
      <w:r>
        <w:t>Before issuing the purchase order:</w:t>
      </w:r>
    </w:p>
    <w:p>
      <w:pPr>
        <w:pStyle w:val="ListBullet"/>
      </w:pPr>
      <w:r>
        <w:t>The supplier has declared the exact proposed product.</w:t>
      </w:r>
    </w:p>
    <w:p>
      <w:pPr>
        <w:pStyle w:val="ListBullet"/>
      </w:pPr>
      <w:r>
        <w:t>The quoted model matches the evaluated product.</w:t>
      </w:r>
    </w:p>
    <w:p>
      <w:pPr>
        <w:pStyle w:val="ListBullet"/>
      </w:pPr>
      <w:r>
        <w:t>Technical deviations are documented and approved.</w:t>
      </w:r>
    </w:p>
    <w:p>
      <w:pPr>
        <w:pStyle w:val="ListBullet"/>
      </w:pPr>
      <w:r>
        <w:t>Quantity and unit of measurement are correct.</w:t>
      </w:r>
    </w:p>
    <w:p>
      <w:pPr>
        <w:pStyle w:val="ListBullet"/>
      </w:pPr>
      <w:r>
        <w:t>Delivery and warranty terms have been reviewed.</w:t>
      </w:r>
    </w:p>
    <w:p>
      <w:pPr>
        <w:pStyle w:val="ListBullet"/>
      </w:pPr>
      <w:r>
        <w:t>Required accessories and software are included.</w:t>
      </w:r>
    </w:p>
    <w:p>
      <w:pPr>
        <w:pStyle w:val="ListBullet"/>
      </w:pPr>
      <w:r>
        <w:t>The approved model is recorded in the purchasing documentation.</w:t>
      </w:r>
    </w:p>
    <w:p>
      <w:r>
        <w:t>At material receipt:</w:t>
      </w:r>
    </w:p>
    <w:p>
      <w:pPr>
        <w:pStyle w:val="ListBullet"/>
      </w:pPr>
      <w:r>
        <w:t>The delivered manufacturer and model match the purchase order.</w:t>
      </w:r>
    </w:p>
    <w:p>
      <w:pPr>
        <w:pStyle w:val="ListBullet"/>
      </w:pPr>
      <w:r>
        <w:t>The ordering code and relevant revision are verified.</w:t>
      </w:r>
    </w:p>
    <w:p>
      <w:pPr>
        <w:pStyle w:val="ListBullet"/>
      </w:pPr>
      <w:r>
        <w:t>The received quantity is correct.</w:t>
      </w:r>
    </w:p>
    <w:p>
      <w:pPr>
        <w:pStyle w:val="ListBullet"/>
      </w:pPr>
      <w:r>
        <w:t>Product condition and authenticity indicators are checked.</w:t>
      </w:r>
    </w:p>
    <w:p>
      <w:pPr>
        <w:pStyle w:val="ListBullet"/>
      </w:pPr>
      <w:r>
        <w:t>Serial or batch information is recorded where applicable.</w:t>
      </w:r>
    </w:p>
    <w:p>
      <w:pPr>
        <w:pStyle w:val="ListBullet"/>
      </w:pPr>
      <w:r>
        <w:t>Any discrepancy is formally reported.</w:t>
      </w:r>
    </w:p>
    <w:p>
      <w:pPr>
        <w:pStyle w:val="Heading2"/>
      </w:pPr>
      <w:r>
        <w:t>20. Interview questions and answers</w:t>
      </w:r>
    </w:p>
    <w:p>
      <w:r>
        <w:t>1\. What is the difference between make and model?</w:t>
      </w:r>
    </w:p>
    <w:p>
      <w:r>
        <w:t>Make identifies the manufacturer or brand, while model identifies a particular product or variant within its range.</w:t>
      </w:r>
    </w:p>
    <w:p>
      <w:r>
        <w:t>2\. Why is the exact order number important?</w:t>
      </w:r>
    </w:p>
    <w:p>
      <w:r>
        <w:t>It distinguishes specific hardware variants and helps ensure the correct interfaces, ratings, accessories, and compatibility are purchased.</w:t>
      </w:r>
    </w:p>
    <w:p>
      <w:r>
        <w:t>3\. What is an approved equivalent?</w:t>
      </w:r>
    </w:p>
    <w:p>
      <w:r>
        <w:t>It is an alternative product that has been assessed against the relevant technical, functional, safety, compatibility, and lifecycle requirements and formally approved.</w:t>
      </w:r>
    </w:p>
    <w:p>
      <w:r>
        <w:t>4\. Is a successor model always interchangeable with the original?</w:t>
      </w:r>
    </w:p>
    <w:p>
      <w:r>
        <w:t>No. It may require changes to hardware, wiring, software, firmware, communication, or validation.</w:t>
      </w:r>
    </w:p>
    <w:p>
      <w:r>
        <w:t>5\. Why use a standardized make/model list?</w:t>
      </w:r>
    </w:p>
    <w:p>
      <w:r>
        <w:t>It can simplify maintenance, training, spare inventory, and engineering support while reducing unnecessary equipment variation.</w:t>
      </w:r>
    </w:p>
    <w:p>
      <w:r>
        <w:t>6\. Why should make/model selection consider lifecycle status?</w:t>
      </w:r>
    </w:p>
    <w:p>
      <w:r>
        <w:t>A product approaching discontinuation may create spare shortages, repair difficulties, and future migration costs.</w:t>
      </w:r>
    </w:p>
    <w:p>
      <w:r>
        <w:t>7\. What is the risk of specifying only a PLC brand?</w:t>
      </w:r>
    </w:p>
    <w:p>
      <w:r>
        <w:t>The supplier may quote an unsuitable CPU or hardware configuration with insufficient capacity, incompatible I/O, or unsupported interfaces.</w:t>
      </w:r>
    </w:p>
    <w:p>
      <w:r>
        <w:t>8\. Can two drives with the same power rating be considered equivalent?</w:t>
      </w:r>
    </w:p>
    <w:p>
      <w:r>
        <w:t>Not automatically. Voltage, current, overload duty, control mode, braking, communication, feedback, safety functions, and environmental suitability must also be checked.</w:t>
      </w:r>
    </w:p>
    <w:p>
      <w:r>
        <w:t>9\. Who should approve a technical substitution?</w:t>
      </w:r>
    </w:p>
    <w:p>
      <w:r>
        <w:t>The authorized engineering or technical authority, with procurement and other approvals required by the organization's procedures.</w:t>
      </w:r>
    </w:p>
    <w:p>
      <w:r>
        <w:t>10\. What is the relationship between make/model and the BOM?</w:t>
      </w:r>
    </w:p>
    <w:p>
      <w:r>
        <w:t>The BOM identifies the required items and quantities. Make/model information identifies the specified or approved products and should match the released engineering baseline.</w:t>
      </w:r>
    </w:p>
    <w:p>
      <w:r>
        <w:t>11\. When is performance-based procurement preferable?</w:t>
      </w:r>
    </w:p>
    <w:p>
      <w:r>
        <w:t>When several products can satisfy clearly defined technical requirements and competition is beneficial without compromising compatibility, safety, or maintainability.</w:t>
      </w:r>
    </w:p>
    <w:p>
      <w:r>
        <w:t>12\. What is the most important principle in make/model selection?</w:t>
      </w:r>
    </w:p>
    <w:p>
      <w:r>
        <w:t>Select and approve the exact product based on demonstrated suitability, compatibility, supportability, and total ownership considerations.</w:t>
      </w:r>
    </w:p>
    <w:p>
      <w:pPr>
        <w:pStyle w:val="Heading2"/>
      </w:pPr>
      <w:r>
        <w:t>21. Final engineering principle</w:t>
      </w:r>
    </w:p>
    <w:p>
      <w:r>
        <w:t>Make/model control establishes exactly which products are acceptable for procurement and installation. It connects the technical specification to the supplier's quotation, purchase order, delivered equipment, installed configuration, and maintenance records.</w:t>
      </w:r>
    </w:p>
    <w:p>
      <w:r>
        <w:t>The strongest approach combines precise product identification with justified standardization, objective equivalence assessment, lifecycle awareness, and formal change control. This prevents a seemingly minor product substitution from becoming a major commissioning or maintenance problem.</w:t>
      </w:r>
    </w:p>
    <w:p>
      <w:pPr>
        <w:pStyle w:val="Heading2"/>
      </w:pPr>
      <w:r>
        <w:t>NEXT TOPIC</w:t>
      </w:r>
    </w:p>
    <w:p>
      <w:r>
        <w:rPr>
          <w:rFonts w:ascii="Consolas" w:hAnsi="Consolas"/>
          <w:color w:val="333333"/>
          <w:sz w:val="19"/>
          <w:shd w:val="clear" w:color="auto" w:fill="EFEFEF"/>
        </w:rPr>
        <w:t>02_PLAN_WISE_2026\02_INDUSTRY3_0\09_Procurement\01_RFQ\06_Performance - Performance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02_PLAN_WISE_2026\02_INDUSTRY3_0\09_Procurement\01_RFQ\05_Make_Model - Make/model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