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02_PLAN_WISE_2026\02_INDUSTRY3_0\09_Procurement\01_RFQ\11_Warranty - Warranty</w:t>
      </w:r>
    </w:p>
    <w:p>
      <w:pPr>
        <w:pStyle w:val="Heading2"/>
      </w:pPr>
      <w:r>
        <w:t>1. What is a warranty?</w:t>
      </w:r>
    </w:p>
    <w:p>
      <w:r>
        <w:t>A warranty is a contractual commitment under which a supplier or manufacturer undertakes to repair, replace, correct, or otherwise remedy specified defects or failures under defined conditions and within a defined period.</w:t>
      </w:r>
    </w:p>
    <w:p>
      <w:r>
        <w:t>In industrial automation procurement, warranty provisions may cover PLCs, HMIs, SCADA systems, VFDs, servo drives, CNC equipment, robots, sensors, electrical panels, industrial PCs, software, and complete automated machines.</w:t>
      </w:r>
    </w:p>
    <w:p>
      <w:r>
        <w:t>A warranty clause defines the supplier's obligations when supplied equipment fails to meet agreed requirements because of a covered defect.</w:t>
      </w:r>
    </w:p>
    <w:p>
      <w:r>
        <w:t>Warranty is not automatically the same as free lifetime maintenance, unrestricted replacement, or guaranteed production uptime. Its scope depends on the contract.</w:t>
      </w:r>
    </w:p>
    <w:p>
      <w:pPr>
        <w:pStyle w:val="Heading2"/>
      </w:pPr>
      <w:r>
        <w:t>2. Why warranty requirements matter in an RFQ</w:t>
      </w:r>
    </w:p>
    <w:p>
      <w:r>
        <w:t>A technically suitable machine can still create substantial maintenance costs if warranty terms are vague or restrictive.</w:t>
      </w:r>
    </w:p>
    <w:p>
      <w:r>
        <w:t>The RFQ should establish:</w:t>
      </w:r>
    </w:p>
    <w:p>
      <w:pPr>
        <w:pStyle w:val="ListBullet"/>
      </w:pPr>
      <w:r>
        <w:t>Warranty duration and commencement date.</w:t>
      </w:r>
    </w:p>
    <w:p>
      <w:pPr>
        <w:pStyle w:val="ListBullet"/>
      </w:pPr>
      <w:r>
        <w:t>Equipment, components, software, and services covered.</w:t>
      </w:r>
    </w:p>
    <w:p>
      <w:pPr>
        <w:pStyle w:val="ListBullet"/>
      </w:pPr>
      <w:r>
        <w:t>Defects and failures included or excluded.</w:t>
      </w:r>
    </w:p>
    <w:p>
      <w:pPr>
        <w:pStyle w:val="ListBullet"/>
      </w:pPr>
      <w:r>
        <w:t>Supplier response and repair obligations.</w:t>
      </w:r>
    </w:p>
    <w:p>
      <w:pPr>
        <w:pStyle w:val="ListBullet"/>
      </w:pPr>
      <w:r>
        <w:t>Replacement and repair timelines.</w:t>
      </w:r>
    </w:p>
    <w:p>
      <w:pPr>
        <w:pStyle w:val="ListBullet"/>
      </w:pPr>
      <w:r>
        <w:t>Responsibility for labor, travel, freight, and installation.</w:t>
      </w:r>
    </w:p>
    <w:p>
      <w:pPr>
        <w:pStyle w:val="ListBullet"/>
      </w:pPr>
      <w:r>
        <w:t>Warranty treatment for repaired or replaced components.</w:t>
      </w:r>
    </w:p>
    <w:p>
      <w:pPr>
        <w:pStyle w:val="ListBullet"/>
      </w:pPr>
      <w:r>
        <w:t>Software and firmware defect correction.</w:t>
      </w:r>
    </w:p>
    <w:p>
      <w:pPr>
        <w:pStyle w:val="ListBullet"/>
      </w:pPr>
      <w:r>
        <w:t>Repeat failures and root-cause analysis.</w:t>
      </w:r>
    </w:p>
    <w:p>
      <w:pPr>
        <w:pStyle w:val="ListBullet"/>
      </w:pPr>
      <w:r>
        <w:t>Obsolescence and discontinued components.</w:t>
      </w:r>
    </w:p>
    <w:p>
      <w:pPr>
        <w:pStyle w:val="ListBullet"/>
      </w:pPr>
      <w:r>
        <w:t>Customer misuse, wear, consumables, and external damage exclusions.</w:t>
      </w:r>
    </w:p>
    <w:p>
      <w:pPr>
        <w:pStyle w:val="ListBullet"/>
      </w:pPr>
      <w:r>
        <w:t>Required warranty documentation.</w:t>
      </w:r>
    </w:p>
    <w:p>
      <w:pPr>
        <w:pStyle w:val="ListBullet"/>
      </w:pPr>
      <w:r>
        <w:t>Claims procedure and evidence requirements.</w:t>
      </w:r>
    </w:p>
    <w:p>
      <w:pPr>
        <w:pStyle w:val="ListBullet"/>
      </w:pPr>
      <w:r>
        <w:t>Relationship between warranty, commissioning, acceptance, and performance guarantees.</w:t>
      </w:r>
    </w:p>
    <w:p>
      <w:r>
        <w:t>The purpose is to establish enforceable obligations before a failure occurs, when both parties are still cooperating enthusiastically instead of debating whose fault a failed drive is.</w:t>
      </w:r>
    </w:p>
    <w:p>
      <w:pPr>
        <w:pStyle w:val="Heading2"/>
      </w:pPr>
      <w:r>
        <w:t>3. Warranty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Warranty period</w:t>
            </w:r>
          </w:p>
        </w:tc>
        <w:tc>
          <w:tcPr>
            <w:tcW w:type="dxa" w:w="5400"/>
          </w:tcPr>
          <w:p>
            <w:pPr>
              <w:spacing w:after="0" w:before="0" w:line="240" w:lineRule="auto"/>
              <w:jc w:val="left"/>
            </w:pPr>
            <w:r>
              <w:t>Defined period during which covered warranty obligations apply</w:t>
            </w:r>
          </w:p>
        </w:tc>
      </w:tr>
      <w:tr>
        <w:tc>
          <w:tcPr>
            <w:tcW w:type="dxa" w:w="5400"/>
          </w:tcPr>
          <w:p>
            <w:pPr>
              <w:spacing w:after="0" w:before="0" w:line="240" w:lineRule="auto"/>
              <w:jc w:val="left"/>
            </w:pPr>
            <w:r>
              <w:t>Warranty commencement</w:t>
            </w:r>
          </w:p>
        </w:tc>
        <w:tc>
          <w:tcPr>
            <w:tcW w:type="dxa" w:w="5400"/>
          </w:tcPr>
          <w:p>
            <w:pPr>
              <w:spacing w:after="0" w:before="0" w:line="240" w:lineRule="auto"/>
              <w:jc w:val="left"/>
            </w:pPr>
            <w:r>
              <w:t>Contractually defined event or date from which the period starts</w:t>
            </w:r>
          </w:p>
        </w:tc>
      </w:tr>
      <w:tr>
        <w:tc>
          <w:tcPr>
            <w:tcW w:type="dxa" w:w="5400"/>
          </w:tcPr>
          <w:p>
            <w:pPr>
              <w:spacing w:after="0" w:before="0" w:line="240" w:lineRule="auto"/>
              <w:jc w:val="left"/>
            </w:pPr>
            <w:r>
              <w:t>Defect</w:t>
            </w:r>
          </w:p>
        </w:tc>
        <w:tc>
          <w:tcPr>
            <w:tcW w:type="dxa" w:w="5400"/>
          </w:tcPr>
          <w:p>
            <w:pPr>
              <w:spacing w:after="0" w:before="0" w:line="240" w:lineRule="auto"/>
              <w:jc w:val="left"/>
            </w:pPr>
            <w:r>
              <w:t>Nonconformity or failure meeting the contract's warranty definition</w:t>
            </w:r>
          </w:p>
        </w:tc>
      </w:tr>
      <w:tr>
        <w:tc>
          <w:tcPr>
            <w:tcW w:type="dxa" w:w="5400"/>
          </w:tcPr>
          <w:p>
            <w:pPr>
              <w:spacing w:after="0" w:before="0" w:line="240" w:lineRule="auto"/>
              <w:jc w:val="left"/>
            </w:pPr>
            <w:r>
              <w:t>Repair</w:t>
            </w:r>
          </w:p>
        </w:tc>
        <w:tc>
          <w:tcPr>
            <w:tcW w:type="dxa" w:w="5400"/>
          </w:tcPr>
          <w:p>
            <w:pPr>
              <w:spacing w:after="0" w:before="0" w:line="240" w:lineRule="auto"/>
              <w:jc w:val="left"/>
            </w:pPr>
            <w:r>
              <w:t>Corrective work intended to restore the affected item</w:t>
            </w:r>
          </w:p>
        </w:tc>
      </w:tr>
      <w:tr>
        <w:tc>
          <w:tcPr>
            <w:tcW w:type="dxa" w:w="5400"/>
          </w:tcPr>
          <w:p>
            <w:pPr>
              <w:spacing w:after="0" w:before="0" w:line="240" w:lineRule="auto"/>
              <w:jc w:val="left"/>
            </w:pPr>
            <w:r>
              <w:t>Replacement</w:t>
            </w:r>
          </w:p>
        </w:tc>
        <w:tc>
          <w:tcPr>
            <w:tcW w:type="dxa" w:w="5400"/>
          </w:tcPr>
          <w:p>
            <w:pPr>
              <w:spacing w:after="0" w:before="0" w:line="240" w:lineRule="auto"/>
              <w:jc w:val="left"/>
            </w:pPr>
            <w:r>
              <w:t>Supply of a substitute item for a covered defective item</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Time allowed for the supplier to acknowledge or respond to a claim</w:t>
            </w:r>
          </w:p>
        </w:tc>
      </w:tr>
      <w:tr>
        <w:tc>
          <w:tcPr>
            <w:tcW w:type="dxa" w:w="5400"/>
          </w:tcPr>
          <w:p>
            <w:pPr>
              <w:spacing w:after="0" w:before="0" w:line="240" w:lineRule="auto"/>
              <w:jc w:val="left"/>
            </w:pPr>
            <w:r>
              <w:t>Resolution time</w:t>
            </w:r>
          </w:p>
        </w:tc>
        <w:tc>
          <w:tcPr>
            <w:tcW w:type="dxa" w:w="5400"/>
          </w:tcPr>
          <w:p>
            <w:pPr>
              <w:spacing w:after="0" w:before="0" w:line="240" w:lineRule="auto"/>
              <w:jc w:val="left"/>
            </w:pPr>
            <w:r>
              <w:t>Time allowed or targeted for resolving a covered failure</w:t>
            </w:r>
          </w:p>
        </w:tc>
      </w:tr>
      <w:tr>
        <w:tc>
          <w:tcPr>
            <w:tcW w:type="dxa" w:w="5400"/>
          </w:tcPr>
          <w:p>
            <w:pPr>
              <w:spacing w:after="0" w:before="0" w:line="240" w:lineRule="auto"/>
              <w:jc w:val="left"/>
            </w:pPr>
            <w:r>
              <w:t>On-site support</w:t>
            </w:r>
          </w:p>
        </w:tc>
        <w:tc>
          <w:tcPr>
            <w:tcW w:type="dxa" w:w="5400"/>
          </w:tcPr>
          <w:p>
            <w:pPr>
              <w:spacing w:after="0" w:before="0" w:line="240" w:lineRule="auto"/>
              <w:jc w:val="left"/>
            </w:pPr>
            <w:r>
              <w:t>Supplier support performed at the customer's site</w:t>
            </w:r>
          </w:p>
        </w:tc>
      </w:tr>
      <w:tr>
        <w:tc>
          <w:tcPr>
            <w:tcW w:type="dxa" w:w="5400"/>
          </w:tcPr>
          <w:p>
            <w:pPr>
              <w:spacing w:after="0" w:before="0" w:line="240" w:lineRule="auto"/>
              <w:jc w:val="left"/>
            </w:pPr>
            <w:r>
              <w:t>Return-to-base repair</w:t>
            </w:r>
          </w:p>
        </w:tc>
        <w:tc>
          <w:tcPr>
            <w:tcW w:type="dxa" w:w="5400"/>
          </w:tcPr>
          <w:p>
            <w:pPr>
              <w:spacing w:after="0" w:before="0" w:line="240" w:lineRule="auto"/>
              <w:jc w:val="left"/>
            </w:pPr>
            <w:r>
              <w:t>Equipment sent to a designated service facility for repair</w:t>
            </w:r>
          </w:p>
        </w:tc>
      </w:tr>
      <w:tr>
        <w:tc>
          <w:tcPr>
            <w:tcW w:type="dxa" w:w="5400"/>
          </w:tcPr>
          <w:p>
            <w:pPr>
              <w:spacing w:after="0" w:before="0" w:line="240" w:lineRule="auto"/>
              <w:jc w:val="left"/>
            </w:pPr>
            <w:r>
              <w:t>RMA</w:t>
            </w:r>
          </w:p>
        </w:tc>
        <w:tc>
          <w:tcPr>
            <w:tcW w:type="dxa" w:w="5400"/>
          </w:tcPr>
          <w:p>
            <w:pPr>
              <w:spacing w:after="0" w:before="0" w:line="240" w:lineRule="auto"/>
              <w:jc w:val="left"/>
            </w:pPr>
            <w:r>
              <w:t>Return Merchandise Authorization or equivalent approved return reference</w:t>
            </w:r>
          </w:p>
        </w:tc>
      </w:tr>
      <w:tr>
        <w:tc>
          <w:tcPr>
            <w:tcW w:type="dxa" w:w="5400"/>
          </w:tcPr>
          <w:p>
            <w:pPr>
              <w:spacing w:after="0" w:before="0" w:line="240" w:lineRule="auto"/>
              <w:jc w:val="left"/>
            </w:pPr>
            <w:r>
              <w:t>DOA</w:t>
            </w:r>
          </w:p>
        </w:tc>
        <w:tc>
          <w:tcPr>
            <w:tcW w:type="dxa" w:w="5400"/>
          </w:tcPr>
          <w:p>
            <w:pPr>
              <w:spacing w:after="0" w:before="0" w:line="240" w:lineRule="auto"/>
              <w:jc w:val="left"/>
            </w:pPr>
            <w:r>
              <w:t>Dead on Arrival, referring to equipment found nonfunctional on receipt or initial inspection</w:t>
            </w:r>
          </w:p>
        </w:tc>
      </w:tr>
      <w:tr>
        <w:tc>
          <w:tcPr>
            <w:tcW w:type="dxa" w:w="5400"/>
          </w:tcPr>
          <w:p>
            <w:pPr>
              <w:spacing w:after="0" w:before="0" w:line="240" w:lineRule="auto"/>
              <w:jc w:val="left"/>
            </w:pPr>
            <w:r>
              <w:t>Repeat failure</w:t>
            </w:r>
          </w:p>
        </w:tc>
        <w:tc>
          <w:tcPr>
            <w:tcW w:type="dxa" w:w="5400"/>
          </w:tcPr>
          <w:p>
            <w:pPr>
              <w:spacing w:after="0" w:before="0" w:line="240" w:lineRule="auto"/>
              <w:jc w:val="left"/>
            </w:pPr>
            <w:r>
              <w:t>Recurrence of the same or a related defect after corrective action</w:t>
            </w:r>
          </w:p>
        </w:tc>
      </w:tr>
      <w:tr>
        <w:tc>
          <w:tcPr>
            <w:tcW w:type="dxa" w:w="5400"/>
          </w:tcPr>
          <w:p>
            <w:pPr>
              <w:spacing w:after="0" w:before="0" w:line="240" w:lineRule="auto"/>
              <w:jc w:val="left"/>
            </w:pPr>
            <w:r>
              <w:t>Warranty extension</w:t>
            </w:r>
          </w:p>
        </w:tc>
        <w:tc>
          <w:tcPr>
            <w:tcW w:type="dxa" w:w="5400"/>
          </w:tcPr>
          <w:p>
            <w:pPr>
              <w:spacing w:after="0" w:before="0" w:line="240" w:lineRule="auto"/>
              <w:jc w:val="left"/>
            </w:pPr>
            <w:r>
              <w:t>Additional warranty coverage beyond the original contractual period</w:t>
            </w:r>
          </w:p>
        </w:tc>
      </w:tr>
      <w:tr>
        <w:tc>
          <w:tcPr>
            <w:tcW w:type="dxa" w:w="5400"/>
          </w:tcPr>
          <w:p>
            <w:pPr>
              <w:spacing w:after="0" w:before="0" w:line="240" w:lineRule="auto"/>
              <w:jc w:val="left"/>
            </w:pPr>
            <w:r>
              <w:t>Warranty exclusion</w:t>
            </w:r>
          </w:p>
        </w:tc>
        <w:tc>
          <w:tcPr>
            <w:tcW w:type="dxa" w:w="5400"/>
          </w:tcPr>
          <w:p>
            <w:pPr>
              <w:spacing w:after="0" w:before="0" w:line="240" w:lineRule="auto"/>
              <w:jc w:val="left"/>
            </w:pPr>
            <w:r>
              <w:t>Condition or cause explicitly excluded from coverage</w:t>
            </w:r>
          </w:p>
        </w:tc>
      </w:tr>
      <w:tr>
        <w:tc>
          <w:tcPr>
            <w:tcW w:type="dxa" w:w="5400"/>
          </w:tcPr>
          <w:p>
            <w:pPr>
              <w:spacing w:after="0" w:before="0" w:line="240" w:lineRule="auto"/>
              <w:jc w:val="left"/>
            </w:pPr>
            <w:r>
              <w:t>Performance guarantee</w:t>
            </w:r>
          </w:p>
        </w:tc>
        <w:tc>
          <w:tcPr>
            <w:tcW w:type="dxa" w:w="5400"/>
          </w:tcPr>
          <w:p>
            <w:pPr>
              <w:spacing w:after="0" w:before="0" w:line="240" w:lineRule="auto"/>
              <w:jc w:val="left"/>
            </w:pPr>
            <w:r>
              <w:t>Separate commitment to defined measurable operating results</w:t>
            </w:r>
          </w:p>
        </w:tc>
      </w:tr>
      <w:tr>
        <w:tc>
          <w:tcPr>
            <w:tcW w:type="dxa" w:w="5400"/>
          </w:tcPr>
          <w:p>
            <w:pPr>
              <w:spacing w:after="0" w:before="0" w:line="240" w:lineRule="auto"/>
              <w:jc w:val="left"/>
            </w:pPr>
            <w:r>
              <w:t>AMC</w:t>
            </w:r>
          </w:p>
        </w:tc>
        <w:tc>
          <w:tcPr>
            <w:tcW w:type="dxa" w:w="5400"/>
          </w:tcPr>
          <w:p>
            <w:pPr>
              <w:spacing w:after="0" w:before="0" w:line="240" w:lineRule="auto"/>
              <w:jc w:val="left"/>
            </w:pPr>
            <w:r>
              <w:t>Annual Maintenance Contract, generally covering defined maintenance services for a specified period</w:t>
            </w:r>
          </w:p>
        </w:tc>
      </w:tr>
    </w:tbl>
    <w:p/>
    <w:p>
      <w:r>
        <w:t>Warranty, AMC, preventive maintenance, and performance guarantees are different commercial arrangements. They should be defined separately.</w:t>
      </w:r>
    </w:p>
    <w:p>
      <w:pPr>
        <w:pStyle w:val="Heading2"/>
      </w:pPr>
      <w:r>
        <w:t>4. Warranty commencement and duration</w:t>
      </w:r>
    </w:p>
    <w:p>
      <w:r>
        <w:t>The commencement date is one of the most important RFQ requirements.</w:t>
      </w:r>
    </w:p>
    <w:p>
      <w:r>
        <w:t>Possible commencement events include:</w:t>
      </w:r>
    </w:p>
    <w:p>
      <w:pPr>
        <w:pStyle w:val="ListBullet"/>
      </w:pPr>
      <w:r>
        <w:t>Date of delivery.</w:t>
      </w:r>
    </w:p>
    <w:p>
      <w:pPr>
        <w:pStyle w:val="ListBullet"/>
      </w:pPr>
      <w:r>
        <w:t>Date of installation completion.</w:t>
      </w:r>
    </w:p>
    <w:p>
      <w:pPr>
        <w:pStyle w:val="ListBullet"/>
      </w:pPr>
      <w:r>
        <w:t>Date of successful commissioning.</w:t>
      </w:r>
    </w:p>
    <w:p>
      <w:pPr>
        <w:pStyle w:val="ListBullet"/>
      </w:pPr>
      <w:r>
        <w:t>Date of SAT completion.</w:t>
      </w:r>
    </w:p>
    <w:p>
      <w:pPr>
        <w:pStyle w:val="ListBullet"/>
      </w:pPr>
      <w:r>
        <w:t>Date of formal customer acceptance.</w:t>
      </w:r>
    </w:p>
    <w:p>
      <w:pPr>
        <w:pStyle w:val="ListBullet"/>
      </w:pPr>
      <w:r>
        <w:t>A contractually defined combination of time and acceptance milestones.</w:t>
      </w:r>
    </w:p>
    <w:p>
      <w:r>
        <w:t>For a complex automation system, starting the entire warranty period at delivery may consume a significant portion of the available coverage while the equipment is still being installed or awaiting production access.</w:t>
      </w:r>
    </w:p>
    <w:p>
      <w:r>
        <w:t>A contract may therefore define commencement as formal acceptance, subject to agreed conditions and any applicable long-stop date.</w:t>
      </w:r>
    </w:p>
    <w:p>
      <w:pPr>
        <w:pStyle w:val="Heading3"/>
      </w:pPr>
      <w:r>
        <w:t>Example</w:t>
      </w:r>
    </w:p>
    <w:p>
      <w:r>
        <w:t>Suppose equipment is delivered on 1 January, installed on 1 February, commissioned on 15 February, and formally accepted on 1 March.</w:t>
      </w:r>
    </w:p>
    <w:p>
      <w:r>
        <w:t>If the contract provides a 12-month warranty beginning at formal acceptance, the warranty period begins on 1 March, subject to the contract's exact date and time calculation.</w:t>
      </w:r>
    </w:p>
    <w:p>
      <w:r>
        <w:t>The same equipment would have a different effective coverage period if the warranty began at delivery.</w:t>
      </w:r>
    </w:p>
    <w:p>
      <w:pPr>
        <w:pStyle w:val="Heading3"/>
      </w:pPr>
      <w:r>
        <w:t>RFQ requirements</w:t>
      </w:r>
    </w:p>
    <w:p>
      <w:r>
        <w:t>Specify:</w:t>
      </w:r>
    </w:p>
    <w:p>
      <w:pPr>
        <w:pStyle w:val="ListBullet"/>
      </w:pPr>
      <w:r>
        <w:t>The exact commencement event.</w:t>
      </w:r>
    </w:p>
    <w:p>
      <w:pPr>
        <w:pStyle w:val="ListBullet"/>
      </w:pPr>
      <w:r>
        <w:t>The duration in months or years.</w:t>
      </w:r>
    </w:p>
    <w:p>
      <w:pPr>
        <w:pStyle w:val="ListBullet"/>
      </w:pPr>
      <w:r>
        <w:t>How the expiry date is calculated.</w:t>
      </w:r>
    </w:p>
    <w:p>
      <w:pPr>
        <w:pStyle w:val="ListBullet"/>
      </w:pPr>
      <w:r>
        <w:t>Treatment of delayed commissioning or acceptance.</w:t>
      </w:r>
    </w:p>
    <w:p>
      <w:pPr>
        <w:pStyle w:val="ListBullet"/>
      </w:pPr>
      <w:r>
        <w:t>Whether supplier-caused delays affect commencement.</w:t>
      </w:r>
    </w:p>
    <w:p>
      <w:pPr>
        <w:pStyle w:val="ListBullet"/>
      </w:pPr>
      <w:r>
        <w:t>Whether separate components have different warranty periods.</w:t>
      </w:r>
    </w:p>
    <w:p>
      <w:pPr>
        <w:pStyle w:val="ListBullet"/>
      </w:pPr>
      <w:r>
        <w:t>Whether repair or replacement restarts or extends coverage.</w:t>
      </w:r>
    </w:p>
    <w:p>
      <w:r>
        <w:t>Avoid vague language such as "one year warranty" without defining when the year begins.</w:t>
      </w:r>
    </w:p>
    <w:p>
      <w:pPr>
        <w:pStyle w:val="Heading2"/>
      </w:pPr>
      <w:r>
        <w:t>5. Warranty coverage by equipment category</w:t>
      </w:r>
    </w:p>
    <w:p>
      <w:r>
        <w:t>Different components have different failure modes, replacement costs, and repair arrangements.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 category</w:t>
            </w:r>
          </w:p>
        </w:tc>
        <w:tc>
          <w:tcPr>
            <w:tcW w:type="dxa" w:w="5400"/>
            <w:shd w:val="clear" w:color="auto" w:fill="EEF2F7"/>
          </w:tcPr>
          <w:p>
            <w:pPr>
              <w:spacing w:after="0" w:before="0" w:line="240" w:lineRule="auto"/>
              <w:jc w:val="left"/>
            </w:pPr>
            <w:r>
              <w:rPr>
                <w:b/>
                <w:color w:val="1A2E4A"/>
              </w:rPr>
              <w:t>Typical coverage considerations</w:t>
            </w:r>
          </w:p>
        </w:tc>
      </w:tr>
      <w:tr>
        <w:tc>
          <w:tcPr>
            <w:tcW w:type="dxa" w:w="5400"/>
          </w:tcPr>
          <w:p>
            <w:pPr>
              <w:spacing w:after="0" w:before="0" w:line="240" w:lineRule="auto"/>
              <w:jc w:val="left"/>
            </w:pPr>
            <w:r>
              <w:t>PLC and I/O</w:t>
            </w:r>
          </w:p>
        </w:tc>
        <w:tc>
          <w:tcPr>
            <w:tcW w:type="dxa" w:w="5400"/>
          </w:tcPr>
          <w:p>
            <w:pPr>
              <w:spacing w:after="0" w:before="0" w:line="240" w:lineRule="auto"/>
              <w:jc w:val="left"/>
            </w:pPr>
            <w:r>
              <w:t>Hardware defects, module failures, communication faults attributable to supplied equipment</w:t>
            </w:r>
          </w:p>
        </w:tc>
      </w:tr>
      <w:tr>
        <w:tc>
          <w:tcPr>
            <w:tcW w:type="dxa" w:w="5400"/>
          </w:tcPr>
          <w:p>
            <w:pPr>
              <w:spacing w:after="0" w:before="0" w:line="240" w:lineRule="auto"/>
              <w:jc w:val="left"/>
            </w:pPr>
            <w:r>
              <w:t>HMI and industrial PC</w:t>
            </w:r>
          </w:p>
        </w:tc>
        <w:tc>
          <w:tcPr>
            <w:tcW w:type="dxa" w:w="5400"/>
          </w:tcPr>
          <w:p>
            <w:pPr>
              <w:spacing w:after="0" w:before="0" w:line="240" w:lineRule="auto"/>
              <w:jc w:val="left"/>
            </w:pPr>
            <w:r>
              <w:t>Display, storage, power-supply, and hardware defects</w:t>
            </w:r>
          </w:p>
        </w:tc>
      </w:tr>
      <w:tr>
        <w:tc>
          <w:tcPr>
            <w:tcW w:type="dxa" w:w="5400"/>
          </w:tcPr>
          <w:p>
            <w:pPr>
              <w:spacing w:after="0" w:before="0" w:line="240" w:lineRule="auto"/>
              <w:jc w:val="left"/>
            </w:pPr>
            <w:r>
              <w:t>VFD and servo drive</w:t>
            </w:r>
          </w:p>
        </w:tc>
        <w:tc>
          <w:tcPr>
            <w:tcW w:type="dxa" w:w="5400"/>
          </w:tcPr>
          <w:p>
            <w:pPr>
              <w:spacing w:after="0" w:before="0" w:line="240" w:lineRule="auto"/>
              <w:jc w:val="left"/>
            </w:pPr>
            <w:r>
              <w:t>Covered electronic failures and internal component defects</w:t>
            </w:r>
          </w:p>
        </w:tc>
      </w:tr>
      <w:tr>
        <w:tc>
          <w:tcPr>
            <w:tcW w:type="dxa" w:w="5400"/>
          </w:tcPr>
          <w:p>
            <w:pPr>
              <w:spacing w:after="0" w:before="0" w:line="240" w:lineRule="auto"/>
              <w:jc w:val="left"/>
            </w:pPr>
            <w:r>
              <w:t>Servo motor and feedback device</w:t>
            </w:r>
          </w:p>
        </w:tc>
        <w:tc>
          <w:tcPr>
            <w:tcW w:type="dxa" w:w="5400"/>
          </w:tcPr>
          <w:p>
            <w:pPr>
              <w:spacing w:after="0" w:before="0" w:line="240" w:lineRule="auto"/>
              <w:jc w:val="left"/>
            </w:pPr>
            <w:r>
              <w:t>Motor defects, encoder faults, and specified assembly defects</w:t>
            </w:r>
          </w:p>
        </w:tc>
      </w:tr>
      <w:tr>
        <w:tc>
          <w:tcPr>
            <w:tcW w:type="dxa" w:w="5400"/>
          </w:tcPr>
          <w:p>
            <w:pPr>
              <w:spacing w:after="0" w:before="0" w:line="240" w:lineRule="auto"/>
              <w:jc w:val="left"/>
            </w:pPr>
            <w:r>
              <w:t>Robot and controller</w:t>
            </w:r>
          </w:p>
        </w:tc>
        <w:tc>
          <w:tcPr>
            <w:tcW w:type="dxa" w:w="5400"/>
          </w:tcPr>
          <w:p>
            <w:pPr>
              <w:spacing w:after="0" w:before="0" w:line="240" w:lineRule="auto"/>
              <w:jc w:val="left"/>
            </w:pPr>
            <w:r>
              <w:t>Controller, supplied hardware, and covered mechanical or electrical defects</w:t>
            </w:r>
          </w:p>
        </w:tc>
      </w:tr>
      <w:tr>
        <w:tc>
          <w:tcPr>
            <w:tcW w:type="dxa" w:w="5400"/>
          </w:tcPr>
          <w:p>
            <w:pPr>
              <w:spacing w:after="0" w:before="0" w:line="240" w:lineRule="auto"/>
              <w:jc w:val="left"/>
            </w:pPr>
            <w:r>
              <w:t>CNC system</w:t>
            </w:r>
          </w:p>
        </w:tc>
        <w:tc>
          <w:tcPr>
            <w:tcW w:type="dxa" w:w="5400"/>
          </w:tcPr>
          <w:p>
            <w:pPr>
              <w:spacing w:after="0" w:before="0" w:line="240" w:lineRule="auto"/>
              <w:jc w:val="left"/>
            </w:pPr>
            <w:r>
              <w:t>Supplied control hardware, interfaces, and defined software defects</w:t>
            </w:r>
          </w:p>
        </w:tc>
      </w:tr>
      <w:tr>
        <w:tc>
          <w:tcPr>
            <w:tcW w:type="dxa" w:w="5400"/>
          </w:tcPr>
          <w:p>
            <w:pPr>
              <w:spacing w:after="0" w:before="0" w:line="240" w:lineRule="auto"/>
              <w:jc w:val="left"/>
            </w:pPr>
            <w:r>
              <w:t>Sensors and actuators</w:t>
            </w:r>
          </w:p>
        </w:tc>
        <w:tc>
          <w:tcPr>
            <w:tcW w:type="dxa" w:w="5400"/>
          </w:tcPr>
          <w:p>
            <w:pPr>
              <w:spacing w:after="0" w:before="0" w:line="240" w:lineRule="auto"/>
              <w:jc w:val="left"/>
            </w:pPr>
            <w:r>
              <w:t>Manufacturing defects, incorrect operation, and specified connection defects</w:t>
            </w:r>
          </w:p>
        </w:tc>
      </w:tr>
      <w:tr>
        <w:tc>
          <w:tcPr>
            <w:tcW w:type="dxa" w:w="5400"/>
          </w:tcPr>
          <w:p>
            <w:pPr>
              <w:spacing w:after="0" w:before="0" w:line="240" w:lineRule="auto"/>
              <w:jc w:val="left"/>
            </w:pPr>
            <w:r>
              <w:t>Electrical panel</w:t>
            </w:r>
          </w:p>
        </w:tc>
        <w:tc>
          <w:tcPr>
            <w:tcW w:type="dxa" w:w="5400"/>
          </w:tcPr>
          <w:p>
            <w:pPr>
              <w:spacing w:after="0" w:before="0" w:line="240" w:lineRule="auto"/>
              <w:jc w:val="left"/>
            </w:pPr>
            <w:r>
              <w:t>Wiring errors, component defects, assembly defects, and nonconformity to approved drawings</w:t>
            </w:r>
          </w:p>
        </w:tc>
      </w:tr>
      <w:tr>
        <w:tc>
          <w:tcPr>
            <w:tcW w:type="dxa" w:w="5400"/>
          </w:tcPr>
          <w:p>
            <w:pPr>
              <w:spacing w:after="0" w:before="0" w:line="240" w:lineRule="auto"/>
              <w:jc w:val="left"/>
            </w:pPr>
            <w:r>
              <w:t>Industrial network</w:t>
            </w:r>
          </w:p>
        </w:tc>
        <w:tc>
          <w:tcPr>
            <w:tcW w:type="dxa" w:w="5400"/>
          </w:tcPr>
          <w:p>
            <w:pPr>
              <w:spacing w:after="0" w:before="0" w:line="240" w:lineRule="auto"/>
              <w:jc w:val="left"/>
            </w:pPr>
            <w:r>
              <w:t>Supplied switch, communication module, cabling, and configuration defects within the agreed scope</w:t>
            </w:r>
          </w:p>
        </w:tc>
      </w:tr>
      <w:tr>
        <w:tc>
          <w:tcPr>
            <w:tcW w:type="dxa" w:w="5400"/>
          </w:tcPr>
          <w:p>
            <w:pPr>
              <w:spacing w:after="0" w:before="0" w:line="240" w:lineRule="auto"/>
              <w:jc w:val="left"/>
            </w:pPr>
            <w:r>
              <w:t>Automation software</w:t>
            </w:r>
          </w:p>
        </w:tc>
        <w:tc>
          <w:tcPr>
            <w:tcW w:type="dxa" w:w="5400"/>
          </w:tcPr>
          <w:p>
            <w:pPr>
              <w:spacing w:after="0" w:before="0" w:line="240" w:lineRule="auto"/>
              <w:jc w:val="left"/>
            </w:pPr>
            <w:r>
              <w:t>Covered programming errors, incorrect implementation of requirements, and agreed corrections</w:t>
            </w:r>
          </w:p>
        </w:tc>
      </w:tr>
      <w:tr>
        <w:tc>
          <w:tcPr>
            <w:tcW w:type="dxa" w:w="5400"/>
          </w:tcPr>
          <w:p>
            <w:pPr>
              <w:spacing w:after="0" w:before="0" w:line="240" w:lineRule="auto"/>
              <w:jc w:val="left"/>
            </w:pPr>
            <w:r>
              <w:t>Complete machine</w:t>
            </w:r>
          </w:p>
        </w:tc>
        <w:tc>
          <w:tcPr>
            <w:tcW w:type="dxa" w:w="5400"/>
          </w:tcPr>
          <w:p>
            <w:pPr>
              <w:spacing w:after="0" w:before="0" w:line="240" w:lineRule="auto"/>
              <w:jc w:val="left"/>
            </w:pPr>
            <w:r>
              <w:t>Integrated-system defects, specified functionality, and contractual performance obligations</w:t>
            </w:r>
          </w:p>
        </w:tc>
      </w:tr>
    </w:tbl>
    <w:p/>
    <w:p>
      <w:r>
        <w:t>These are potential coverage areas, not automatic entitlements. The RFQ must explicitly establish the supplier's obligations.</w:t>
      </w:r>
    </w:p>
    <w:p>
      <w:pPr>
        <w:pStyle w:val="Heading2"/>
      </w:pPr>
      <w:r>
        <w:t>6. Warranty coverage versus exclusions</w:t>
      </w:r>
    </w:p>
    <w:p>
      <w:r>
        <w:t>A good warranty clause distinguishes covered defects from failures caused by conditions outside the supplier's responsibility.</w:t>
      </w:r>
    </w:p>
    <w:p>
      <w:pPr>
        <w:pStyle w:val="Heading3"/>
      </w:pPr>
      <w:r>
        <w:t>6.1 Typical covered conditions</w:t>
      </w:r>
    </w:p>
    <w:p>
      <w:r>
        <w:t>Depending on the contract, coverage may include:</w:t>
      </w:r>
    </w:p>
    <w:p>
      <w:pPr>
        <w:pStyle w:val="ListBullet"/>
      </w:pPr>
      <w:r>
        <w:t>Manufacturing defects.</w:t>
      </w:r>
    </w:p>
    <w:p>
      <w:pPr>
        <w:pStyle w:val="ListBullet"/>
      </w:pPr>
      <w:r>
        <w:t>Defective supplied components.</w:t>
      </w:r>
    </w:p>
    <w:p>
      <w:pPr>
        <w:pStyle w:val="ListBullet"/>
      </w:pPr>
      <w:r>
        <w:t>Incorrect assembly or wiring by the supplier.</w:t>
      </w:r>
    </w:p>
    <w:p>
      <w:pPr>
        <w:pStyle w:val="ListBullet"/>
      </w:pPr>
      <w:r>
        <w:t>Failure to meet approved specifications.</w:t>
      </w:r>
    </w:p>
    <w:p>
      <w:pPr>
        <w:pStyle w:val="ListBullet"/>
      </w:pPr>
      <w:r>
        <w:t>Supplier-caused configuration errors.</w:t>
      </w:r>
    </w:p>
    <w:p>
      <w:pPr>
        <w:pStyle w:val="ListBullet"/>
      </w:pPr>
      <w:r>
        <w:t>Software defects that prevent agreed functionality.</w:t>
      </w:r>
    </w:p>
    <w:p>
      <w:pPr>
        <w:pStyle w:val="ListBullet"/>
      </w:pPr>
      <w:r>
        <w:t>Premature failure attributable to defective materials or workmanship.</w:t>
      </w:r>
    </w:p>
    <w:p>
      <w:pPr>
        <w:pStyle w:val="ListBullet"/>
      </w:pPr>
      <w:r>
        <w:t>Incorrect installation performed by the supplier.</w:t>
      </w:r>
    </w:p>
    <w:p>
      <w:pPr>
        <w:pStyle w:val="ListBullet"/>
      </w:pPr>
      <w:r>
        <w:t>Repeat failure caused by an ineffective repair.</w:t>
      </w:r>
    </w:p>
    <w:p>
      <w:pPr>
        <w:pStyle w:val="Heading3"/>
      </w:pPr>
      <w:r>
        <w:t>6.2 Typical exclusions requiring clear definition</w:t>
      </w:r>
    </w:p>
    <w:p>
      <w:r>
        <w:t>Possible exclusions include:</w:t>
      </w:r>
    </w:p>
    <w:p>
      <w:pPr>
        <w:pStyle w:val="ListBullet"/>
      </w:pPr>
      <w:r>
        <w:t>Normal wear of defined consumables.</w:t>
      </w:r>
    </w:p>
    <w:p>
      <w:pPr>
        <w:pStyle w:val="ListBullet"/>
      </w:pPr>
      <w:r>
        <w:t>Damage caused by misuse or unauthorized modification.</w:t>
      </w:r>
    </w:p>
    <w:p>
      <w:pPr>
        <w:pStyle w:val="ListBullet"/>
      </w:pPr>
      <w:r>
        <w:t>Operation outside specified voltage, temperature, pressure, or environmental limits.</w:t>
      </w:r>
    </w:p>
    <w:p>
      <w:pPr>
        <w:pStyle w:val="ListBullet"/>
      </w:pPr>
      <w:r>
        <w:t>Damage caused by external accidents or abnormal events.</w:t>
      </w:r>
    </w:p>
    <w:p>
      <w:pPr>
        <w:pStyle w:val="ListBullet"/>
      </w:pPr>
      <w:r>
        <w:t>Incorrect maintenance by the customer.</w:t>
      </w:r>
    </w:p>
    <w:p>
      <w:pPr>
        <w:pStyle w:val="ListBullet"/>
      </w:pPr>
      <w:r>
        <w:t>Consumables and routine replacement items.</w:t>
      </w:r>
    </w:p>
    <w:p>
      <w:pPr>
        <w:pStyle w:val="ListBullet"/>
      </w:pPr>
      <w:r>
        <w:t>Failures caused by third-party equipment outside the supplier's scope.</w:t>
      </w:r>
    </w:p>
    <w:p>
      <w:r>
        <w:t>Exclusions should be specific and reasonable. A blanket exclusion for "all electrical failures" would make little sense when the supplier is delivering an electrical automation system.</w:t>
      </w:r>
    </w:p>
    <w:p>
      <w:r>
        <w:t>The supplier should substantiate an exclusion where the contract requires evidence that the claimed cause is outside warranty coverage.</w:t>
      </w:r>
    </w:p>
    <w:p>
      <w:pPr>
        <w:pStyle w:val="Heading2"/>
      </w:pPr>
      <w:r>
        <w:t>7. Warranty for PLC, HMI, and industrial automation software</w:t>
      </w:r>
    </w:p>
    <w:p>
      <w:r>
        <w:t>Software warranty requires special attention because software does not fail in exactly the same way as physical hardware.</w:t>
      </w:r>
    </w:p>
    <w:p>
      <w:r>
        <w:t>Possible software-related warranty obligations include:</w:t>
      </w:r>
    </w:p>
    <w:p>
      <w:pPr>
        <w:pStyle w:val="ListBullet"/>
      </w:pPr>
      <w:r>
        <w:t>Correction of defects in supplied PLC logic.</w:t>
      </w:r>
    </w:p>
    <w:p>
      <w:pPr>
        <w:pStyle w:val="ListBullet"/>
      </w:pPr>
      <w:r>
        <w:t>Correction of HMI and SCADA application defects.</w:t>
      </w:r>
    </w:p>
    <w:p>
      <w:pPr>
        <w:pStyle w:val="ListBullet"/>
      </w:pPr>
      <w:r>
        <w:t>Correction of incorrect tag mapping.</w:t>
      </w:r>
    </w:p>
    <w:p>
      <w:pPr>
        <w:pStyle w:val="ListBullet"/>
      </w:pPr>
      <w:r>
        <w:t>Correction of documented sequence deviations.</w:t>
      </w:r>
    </w:p>
    <w:p>
      <w:pPr>
        <w:pStyle w:val="ListBullet"/>
      </w:pPr>
      <w:r>
        <w:t>Correction of agreed alarm and interlock implementation errors.</w:t>
      </w:r>
    </w:p>
    <w:p>
      <w:pPr>
        <w:pStyle w:val="ListBullet"/>
      </w:pPr>
      <w:r>
        <w:t>Correction of communication configuration errors attributable to the supplier.</w:t>
      </w:r>
    </w:p>
    <w:p>
      <w:pPr>
        <w:pStyle w:val="ListBullet"/>
      </w:pPr>
      <w:r>
        <w:t>Restoration of the approved software baseline.</w:t>
      </w:r>
    </w:p>
    <w:p>
      <w:pPr>
        <w:pStyle w:val="ListBullet"/>
      </w:pPr>
      <w:r>
        <w:t>Delivery of corrected source files and version records.</w:t>
      </w:r>
    </w:p>
    <w:p>
      <w:pPr>
        <w:pStyle w:val="ListBullet"/>
      </w:pPr>
      <w:r>
        <w:t>Regression testing of affected functionality.</w:t>
      </w:r>
    </w:p>
    <w:p>
      <w:pPr>
        <w:pStyle w:val="ListBullet"/>
      </w:pPr>
      <w:r>
        <w:t>Documentation of the corrective changes.</w:t>
      </w:r>
    </w:p>
    <w:p>
      <w:pPr>
        <w:pStyle w:val="Heading3"/>
      </w:pPr>
      <w:r>
        <w:t>Software warranty example</w:t>
      </w:r>
    </w:p>
    <w:p>
      <w:r>
        <w:t>Suppose the approved sequence requires a clamp-closed feedback before a test cycle begins. During operation, the supplied PLC program starts the test even when that feedback is absent.</w:t>
      </w:r>
    </w:p>
    <w:p>
      <w:r>
        <w:t>If the behavior violates the approved functional specification and is attributable to the supplier's implementation, it may constitute a covered software defect.</w:t>
      </w:r>
    </w:p>
    <w:p>
      <w:r>
        <w:t>The contract should define the correction process, testing obligations, and treatment of related functionality.</w:t>
      </w:r>
    </w:p>
    <w:p>
      <w:pPr>
        <w:pStyle w:val="Heading3"/>
      </w:pPr>
      <w:r>
        <w:t>Important software boundaries</w:t>
      </w:r>
    </w:p>
    <w:p>
      <w:r>
        <w:t>The warranty should distinguish between:</w:t>
      </w:r>
    </w:p>
    <w:p>
      <w:pPr>
        <w:pStyle w:val="ListBullet"/>
      </w:pPr>
      <w:r>
        <w:t>Defects in supplier-delivered software.</w:t>
      </w:r>
    </w:p>
    <w:p>
      <w:pPr>
        <w:pStyle w:val="ListBullet"/>
      </w:pPr>
      <w:r>
        <w:t>New functionality requested after acceptance.</w:t>
      </w:r>
    </w:p>
    <w:p>
      <w:pPr>
        <w:pStyle w:val="ListBullet"/>
      </w:pPr>
      <w:r>
        <w:t>Customer modifications.</w:t>
      </w:r>
    </w:p>
    <w:p>
      <w:pPr>
        <w:pStyle w:val="ListBullet"/>
      </w:pPr>
      <w:r>
        <w:t>Third-party software or licensing restrictions.</w:t>
      </w:r>
    </w:p>
    <w:p>
      <w:pPr>
        <w:pStyle w:val="ListBullet"/>
      </w:pPr>
      <w:r>
        <w:t>Cybersecurity updates and product lifecycle changes.</w:t>
      </w:r>
    </w:p>
    <w:p>
      <w:pPr>
        <w:pStyle w:val="ListBullet"/>
      </w:pPr>
      <w:r>
        <w:t>Defects caused by unsupported operating environments.</w:t>
      </w:r>
    </w:p>
    <w:p>
      <w:r>
        <w:t>A request for a new feature is not automatically a warranty claim. Conversely, calling an existing requirement a "new feature" does not make an implementation defect disappear.</w:t>
      </w:r>
    </w:p>
    <w:p>
      <w:pPr>
        <w:pStyle w:val="Heading2"/>
      </w:pPr>
      <w:r>
        <w:t>8. Warranty for industrial drives, motors, and electronic components</w:t>
      </w:r>
    </w:p>
    <w:p>
      <w:r>
        <w:t>Industrial electronics can fail because of component defects, installation errors, power-quality problems, environmental exposure, incorrect configuration, or unsuitable application conditions.</w:t>
      </w:r>
    </w:p>
    <w:p>
      <w:r>
        <w:t>The warranty clause should identify how these causes will be evaluated.</w:t>
      </w:r>
    </w:p>
    <w:p>
      <w:r>
        <w:t>For VFDs and servo drives, define the treatment of:</w:t>
      </w:r>
    </w:p>
    <w:p>
      <w:pPr>
        <w:pStyle w:val="ListBullet"/>
      </w:pPr>
      <w:r>
        <w:t>Internal electronic component failure.</w:t>
      </w:r>
    </w:p>
    <w:p>
      <w:pPr>
        <w:pStyle w:val="ListBullet"/>
      </w:pPr>
      <w:r>
        <w:t>Cooling fan failure.</w:t>
      </w:r>
    </w:p>
    <w:p>
      <w:pPr>
        <w:pStyle w:val="ListBullet"/>
      </w:pPr>
      <w:r>
        <w:t>Control-board or power-board failure.</w:t>
      </w:r>
    </w:p>
    <w:p>
      <w:pPr>
        <w:pStyle w:val="ListBullet"/>
      </w:pPr>
      <w:r>
        <w:t>Communication interface failure.</w:t>
      </w:r>
    </w:p>
    <w:p>
      <w:pPr>
        <w:pStyle w:val="ListBullet"/>
      </w:pPr>
      <w:r>
        <w:t>Covered firmware or configuration defects.</w:t>
      </w:r>
    </w:p>
    <w:p>
      <w:pPr>
        <w:pStyle w:val="ListBullet"/>
      </w:pPr>
      <w:r>
        <w:t>Damage caused by incorrect supply conditions.</w:t>
      </w:r>
    </w:p>
    <w:p>
      <w:pPr>
        <w:pStyle w:val="ListBullet"/>
      </w:pPr>
      <w:r>
        <w:t>Damage caused by unsuitable motor or cable arrangements.</w:t>
      </w:r>
    </w:p>
    <w:p>
      <w:pPr>
        <w:pStyle w:val="ListBullet"/>
      </w:pPr>
      <w:r>
        <w:t>External overvoltage, contamination, or excessive temperature.</w:t>
      </w:r>
    </w:p>
    <w:p>
      <w:r>
        <w:t>For PLCs and electronic modules, consider:</w:t>
      </w:r>
    </w:p>
    <w:p>
      <w:pPr>
        <w:pStyle w:val="ListBullet"/>
      </w:pPr>
      <w:r>
        <w:t>Module and power-supply failure.</w:t>
      </w:r>
    </w:p>
    <w:p>
      <w:pPr>
        <w:pStyle w:val="ListBullet"/>
      </w:pPr>
      <w:r>
        <w:t>Communication module failure.</w:t>
      </w:r>
    </w:p>
    <w:p>
      <w:pPr>
        <w:pStyle w:val="ListBullet"/>
      </w:pPr>
      <w:r>
        <w:t>Incorrect supplied hardware configuration.</w:t>
      </w:r>
    </w:p>
    <w:p>
      <w:pPr>
        <w:pStyle w:val="ListBullet"/>
      </w:pPr>
      <w:r>
        <w:t>Premature component failure.</w:t>
      </w:r>
    </w:p>
    <w:p>
      <w:pPr>
        <w:pStyle w:val="ListBullet"/>
      </w:pPr>
      <w:r>
        <w:t>Defects in supplier-installed wiring or terminations.</w:t>
      </w:r>
    </w:p>
    <w:p>
      <w:r>
        <w:t>A failed component should not automatically be declared a warranty exclusion merely because it operates in an industrial environment. The contract should establish a fair failure-assessment process.</w:t>
      </w:r>
    </w:p>
    <w:p>
      <w:pPr>
        <w:pStyle w:val="Heading2"/>
      </w:pPr>
      <w:r>
        <w:t>9. Warranty response time and resolution time</w:t>
      </w:r>
    </w:p>
    <w:p>
      <w:r>
        <w:t>Warranty duration alone does not define how quickly a supplier must act when a production-critical component fails.</w:t>
      </w:r>
    </w:p>
    <w:p>
      <w:r>
        <w:t>The RFQ should distinguish the following:</w:t>
      </w:r>
    </w:p>
    <w:p>
      <w:pPr>
        <w:pStyle w:val="ListBullet"/>
      </w:pPr>
      <w:r>
        <w:t>Acknowledgement time: Time to confirm receipt of the claim.</w:t>
      </w:r>
    </w:p>
    <w:p>
      <w:pPr>
        <w:pStyle w:val="ListBullet"/>
      </w:pPr>
      <w:r>
        <w:t>Response time: Time to provide a meaningful response or initial technical assessment.</w:t>
      </w:r>
    </w:p>
    <w:p>
      <w:pPr>
        <w:pStyle w:val="ListBullet"/>
      </w:pPr>
      <w:r>
        <w:t>On-site attendance time: Time to arrive at the site, when required.</w:t>
      </w:r>
    </w:p>
    <w:p>
      <w:pPr>
        <w:pStyle w:val="ListBullet"/>
      </w:pPr>
      <w:r>
        <w:t>Diagnosis time: Time to identify the likely cause or define the investigation plan.</w:t>
      </w:r>
    </w:p>
    <w:p>
      <w:pPr>
        <w:pStyle w:val="ListBullet"/>
      </w:pPr>
      <w:r>
        <w:t>Resolution time: Time to restore the required functionality or implement an agreed remedy.</w:t>
      </w:r>
    </w:p>
    <w:p>
      <w:pPr>
        <w:pStyle w:val="ListBullet"/>
      </w:pPr>
      <w:r>
        <w:t>Replacement delivery time: Time to deliver the replacement component.</w:t>
      </w:r>
    </w:p>
    <w:p>
      <w:r>
        <w:t>These periods should be defined separately. A supplier acknowledging a breakdown ticket within four hours has not necessarily repaired the equipment within four hours. Bureaucracy has achieved acknowledgement; production still has a stopped machine.</w:t>
      </w:r>
    </w:p>
    <w:p>
      <w:pPr>
        <w:pStyle w:val="Heading3"/>
      </w:pPr>
      <w:r>
        <w:t>Example service levels</w:t>
      </w:r>
    </w:p>
    <w:p>
      <w:r>
        <w:t>The following values are illustrative only and must be agreed according to equipment criticality, service availability, and commercial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Example condition</w:t>
            </w:r>
          </w:p>
        </w:tc>
        <w:tc>
          <w:tcPr>
            <w:tcW w:type="dxa" w:w="3600"/>
            <w:shd w:val="clear" w:color="auto" w:fill="EEF2F7"/>
          </w:tcPr>
          <w:p>
            <w:pPr>
              <w:spacing w:after="0" w:before="0" w:line="240" w:lineRule="auto"/>
              <w:jc w:val="left"/>
            </w:pPr>
            <w:r>
              <w:rPr>
                <w:b/>
                <w:color w:val="1A2E4A"/>
              </w:rPr>
              <w:t>Example response target</w:t>
            </w:r>
          </w:p>
        </w:tc>
      </w:tr>
      <w:tr>
        <w:tc>
          <w:tcPr>
            <w:tcW w:type="dxa" w:w="3600"/>
          </w:tcPr>
          <w:p>
            <w:pPr>
              <w:spacing w:after="0" w:before="0" w:line="240" w:lineRule="auto"/>
              <w:jc w:val="left"/>
            </w:pPr>
            <w:r>
              <w:t>Critical</w:t>
            </w:r>
          </w:p>
        </w:tc>
        <w:tc>
          <w:tcPr>
            <w:tcW w:type="dxa" w:w="3600"/>
          </w:tcPr>
          <w:p>
            <w:pPr>
              <w:spacing w:after="0" w:before="0" w:line="240" w:lineRule="auto"/>
              <w:jc w:val="left"/>
            </w:pPr>
            <w:r>
              <w:t>Complete production stoppage with no available bypass</w:t>
            </w:r>
          </w:p>
        </w:tc>
        <w:tc>
          <w:tcPr>
            <w:tcW w:type="dxa" w:w="3600"/>
          </w:tcPr>
          <w:p>
            <w:pPr>
              <w:spacing w:after="0" w:before="0" w:line="240" w:lineRule="auto"/>
              <w:jc w:val="left"/>
            </w:pPr>
            <w:r>
              <w:t>Acknowledge within 1 hour</w:t>
            </w:r>
          </w:p>
        </w:tc>
      </w:tr>
      <w:tr>
        <w:tc>
          <w:tcPr>
            <w:tcW w:type="dxa" w:w="3600"/>
          </w:tcPr>
          <w:p>
            <w:pPr>
              <w:spacing w:after="0" w:before="0" w:line="240" w:lineRule="auto"/>
              <w:jc w:val="left"/>
            </w:pPr>
            <w:r>
              <w:t>High</w:t>
            </w:r>
          </w:p>
        </w:tc>
        <w:tc>
          <w:tcPr>
            <w:tcW w:type="dxa" w:w="3600"/>
          </w:tcPr>
          <w:p>
            <w:pPr>
              <w:spacing w:after="0" w:before="0" w:line="240" w:lineRule="auto"/>
              <w:jc w:val="left"/>
            </w:pPr>
            <w:r>
              <w:t>Major function unavailable with limited production impact</w:t>
            </w:r>
          </w:p>
        </w:tc>
        <w:tc>
          <w:tcPr>
            <w:tcW w:type="dxa" w:w="3600"/>
          </w:tcPr>
          <w:p>
            <w:pPr>
              <w:spacing w:after="0" w:before="0" w:line="240" w:lineRule="auto"/>
              <w:jc w:val="left"/>
            </w:pPr>
            <w:r>
              <w:t>Acknowledge within 4 working hours</w:t>
            </w:r>
          </w:p>
        </w:tc>
      </w:tr>
      <w:tr>
        <w:tc>
          <w:tcPr>
            <w:tcW w:type="dxa" w:w="3600"/>
          </w:tcPr>
          <w:p>
            <w:pPr>
              <w:spacing w:after="0" w:before="0" w:line="240" w:lineRule="auto"/>
              <w:jc w:val="left"/>
            </w:pPr>
            <w:r>
              <w:t>Medium</w:t>
            </w:r>
          </w:p>
        </w:tc>
        <w:tc>
          <w:tcPr>
            <w:tcW w:type="dxa" w:w="3600"/>
          </w:tcPr>
          <w:p>
            <w:pPr>
              <w:spacing w:after="0" w:before="0" w:line="240" w:lineRule="auto"/>
              <w:jc w:val="left"/>
            </w:pPr>
            <w:r>
              <w:t>Degraded operation with a workable temporary arrangement</w:t>
            </w:r>
          </w:p>
        </w:tc>
        <w:tc>
          <w:tcPr>
            <w:tcW w:type="dxa" w:w="3600"/>
          </w:tcPr>
          <w:p>
            <w:pPr>
              <w:spacing w:after="0" w:before="0" w:line="240" w:lineRule="auto"/>
              <w:jc w:val="left"/>
            </w:pPr>
            <w:r>
              <w:t>Respond within 1 business day</w:t>
            </w:r>
          </w:p>
        </w:tc>
      </w:tr>
      <w:tr>
        <w:tc>
          <w:tcPr>
            <w:tcW w:type="dxa" w:w="3600"/>
          </w:tcPr>
          <w:p>
            <w:pPr>
              <w:spacing w:after="0" w:before="0" w:line="240" w:lineRule="auto"/>
              <w:jc w:val="left"/>
            </w:pPr>
            <w:r>
              <w:t>Low</w:t>
            </w:r>
          </w:p>
        </w:tc>
        <w:tc>
          <w:tcPr>
            <w:tcW w:type="dxa" w:w="3600"/>
          </w:tcPr>
          <w:p>
            <w:pPr>
              <w:spacing w:after="0" w:before="0" w:line="240" w:lineRule="auto"/>
              <w:jc w:val="left"/>
            </w:pPr>
            <w:r>
              <w:t>Documentation issue or minor noncritical defect</w:t>
            </w:r>
          </w:p>
        </w:tc>
        <w:tc>
          <w:tcPr>
            <w:tcW w:type="dxa" w:w="3600"/>
          </w:tcPr>
          <w:p>
            <w:pPr>
              <w:spacing w:after="0" w:before="0" w:line="240" w:lineRule="auto"/>
              <w:jc w:val="left"/>
            </w:pPr>
            <w:r>
              <w:t>Respond within 3 business days</w:t>
            </w:r>
          </w:p>
        </w:tc>
      </w:tr>
    </w:tbl>
    <w:p/>
    <w:p>
      <w:r>
        <w:t>A contract should specify whether time targets apply 24/7, during working hours, on business days, or only when site access is available.</w:t>
      </w:r>
    </w:p>
    <w:p>
      <w:pPr>
        <w:pStyle w:val="Heading2"/>
      </w:pPr>
      <w:r>
        <w:t>10. Repair, replacement, and logistics</w:t>
      </w:r>
    </w:p>
    <w:p>
      <w:r>
        <w:t>The RFQ should define the remedy available for covered defects and who bears the associated costs.</w:t>
      </w:r>
    </w:p>
    <w:p>
      <w:r>
        <w:t>Clarify responsibility for:</w:t>
      </w:r>
    </w:p>
    <w:p>
      <w:pPr>
        <w:pStyle w:val="ListBullet"/>
      </w:pPr>
      <w:r>
        <w:t>Diagnosis and technical investigation.</w:t>
      </w:r>
    </w:p>
    <w:p>
      <w:pPr>
        <w:pStyle w:val="ListBullet"/>
      </w:pPr>
      <w:r>
        <w:t>Removal of the defective component.</w:t>
      </w:r>
    </w:p>
    <w:p>
      <w:pPr>
        <w:pStyle w:val="ListBullet"/>
      </w:pPr>
      <w:r>
        <w:t>Packaging and transport.</w:t>
      </w:r>
    </w:p>
    <w:p>
      <w:pPr>
        <w:pStyle w:val="ListBullet"/>
      </w:pPr>
      <w:r>
        <w:t>Freight and insurance.</w:t>
      </w:r>
    </w:p>
    <w:p>
      <w:pPr>
        <w:pStyle w:val="ListBullet"/>
      </w:pPr>
      <w:r>
        <w:t>Repair labor and replacement parts.</w:t>
      </w:r>
    </w:p>
    <w:p>
      <w:pPr>
        <w:pStyle w:val="ListBullet"/>
      </w:pPr>
      <w:r>
        <w:t>Reinstallation and reconnection.</w:t>
      </w:r>
    </w:p>
    <w:p>
      <w:pPr>
        <w:pStyle w:val="ListBullet"/>
      </w:pPr>
      <w:r>
        <w:t>Reconfiguration and parameter restoration.</w:t>
      </w:r>
    </w:p>
    <w:p>
      <w:pPr>
        <w:pStyle w:val="ListBullet"/>
      </w:pPr>
      <w:r>
        <w:t>Functional testing after repair.</w:t>
      </w:r>
    </w:p>
    <w:p>
      <w:pPr>
        <w:pStyle w:val="ListBullet"/>
      </w:pPr>
      <w:r>
        <w:t>Return of defective parts where required.</w:t>
      </w:r>
    </w:p>
    <w:p>
      <w:pPr>
        <w:pStyle w:val="ListBullet"/>
      </w:pPr>
      <w:r>
        <w:t>Disposal or return of replaced components.</w:t>
      </w:r>
    </w:p>
    <w:p>
      <w:pPr>
        <w:pStyle w:val="ListBullet"/>
      </w:pPr>
      <w:r>
        <w:t>Travel and accommodation for supplier personnel.</w:t>
      </w:r>
    </w:p>
    <w:p>
      <w:pPr>
        <w:pStyle w:val="Heading3"/>
      </w:pPr>
      <w:r>
        <w:t>Repair versus replacement</w:t>
      </w:r>
    </w:p>
    <w:p>
      <w:r>
        <w:t>Repair may be appropriate when the component is serviceable and the turnaround time is acceptable.</w:t>
      </w:r>
    </w:p>
    <w:p>
      <w:r>
        <w:t>Replacement may be necessary when:</w:t>
      </w:r>
    </w:p>
    <w:p>
      <w:pPr>
        <w:pStyle w:val="ListBullet"/>
      </w:pPr>
      <w:r>
        <w:t>Repair is technically impossible.</w:t>
      </w:r>
    </w:p>
    <w:p>
      <w:pPr>
        <w:pStyle w:val="ListBullet"/>
      </w:pPr>
      <w:r>
        <w:t>Repair cannot be completed within the agreed period.</w:t>
      </w:r>
    </w:p>
    <w:p>
      <w:pPr>
        <w:pStyle w:val="ListBullet"/>
      </w:pPr>
      <w:r>
        <w:t>The same defect repeatedly occurs.</w:t>
      </w:r>
    </w:p>
    <w:p>
      <w:pPr>
        <w:pStyle w:val="ListBullet"/>
      </w:pPr>
      <w:r>
        <w:t>The component is declared nonrepairable.</w:t>
      </w:r>
    </w:p>
    <w:p>
      <w:pPr>
        <w:pStyle w:val="ListBullet"/>
      </w:pPr>
      <w:r>
        <w:t>A replacement is required under the contract.</w:t>
      </w:r>
    </w:p>
    <w:p>
      <w:r>
        <w:t>The contract should define who makes this determination and what happens if the parties disagree.</w:t>
      </w:r>
    </w:p>
    <w:p>
      <w:pPr>
        <w:pStyle w:val="Heading2"/>
      </w:pPr>
      <w:r>
        <w:t>11. Warranty extensions after repair or replacement</w:t>
      </w:r>
    </w:p>
    <w:p>
      <w:r>
        <w:t>A repaired or replaced component may fail again. The RFQ should define what coverage applies after the corrective work.</w:t>
      </w:r>
    </w:p>
    <w:p>
      <w:r>
        <w:t>Common contractual approaches include:</w:t>
      </w:r>
    </w:p>
    <w:p>
      <w:pPr>
        <w:pStyle w:val="ListBullet"/>
      </w:pPr>
      <w:r>
        <w:t>Original warranty continues unchanged.</w:t>
      </w:r>
    </w:p>
    <w:p>
      <w:pPr>
        <w:pStyle w:val="ListBullet"/>
      </w:pPr>
      <w:r>
        <w:t>Warranty is extended by the period the equipment was unavailable.</w:t>
      </w:r>
    </w:p>
    <w:p>
      <w:pPr>
        <w:pStyle w:val="ListBullet"/>
      </w:pPr>
      <w:r>
        <w:t>Repaired or replaced parts receive a separate defined warranty period.</w:t>
      </w:r>
    </w:p>
    <w:p>
      <w:pPr>
        <w:pStyle w:val="ListBullet"/>
      </w:pPr>
      <w:r>
        <w:t>A new warranty period begins for a replaced item.</w:t>
      </w:r>
    </w:p>
    <w:p>
      <w:pPr>
        <w:pStyle w:val="ListBullet"/>
      </w:pPr>
      <w:r>
        <w:t>A longer extension applies to repeat failures or major repairs.</w:t>
      </w:r>
    </w:p>
    <w:p>
      <w:r>
        <w:t>These are alternative contractual models, not universal rules.</w:t>
      </w:r>
    </w:p>
    <w:p>
      <w:pPr>
        <w:pStyle w:val="Heading3"/>
      </w:pPr>
      <w:r>
        <w:t>Example</w:t>
      </w:r>
    </w:p>
    <w:p>
      <w:r>
        <w:t>A PLC communication module fails eight months into a 12-month warranty and is replaced under warranty.</w:t>
      </w:r>
    </w:p>
    <w:p>
      <w:r>
        <w:t>The contract should establish whether the replacement module receives the remaining four months of the original warranty, a separately defined period, or another agreed treatment.</w:t>
      </w:r>
    </w:p>
    <w:p>
      <w:r>
        <w:t>For critical equipment, a defined replacement-part warranty can prevent disputes over repeated failures near the original expiry date.</w:t>
      </w:r>
    </w:p>
    <w:p>
      <w:pPr>
        <w:pStyle w:val="Heading2"/>
      </w:pPr>
      <w:r>
        <w:t>12. Repeat failures and root-cause analysis</w:t>
      </w:r>
    </w:p>
    <w:p>
      <w:r>
        <w:t>Repeated failure is more serious than a single isolated component defect because it may indicate an unresolved engineering problem.</w:t>
      </w:r>
    </w:p>
    <w:p>
      <w:r>
        <w:t>Possible causes include:</w:t>
      </w:r>
    </w:p>
    <w:p>
      <w:pPr>
        <w:pStyle w:val="ListBullet"/>
      </w:pPr>
      <w:r>
        <w:t>Incorrect component selection.</w:t>
      </w:r>
    </w:p>
    <w:p>
      <w:pPr>
        <w:pStyle w:val="ListBullet"/>
      </w:pPr>
      <w:r>
        <w:t>Inadequate thermal management.</w:t>
      </w:r>
    </w:p>
    <w:p>
      <w:pPr>
        <w:pStyle w:val="ListBullet"/>
      </w:pPr>
      <w:r>
        <w:t>Electrical noise or grounding problems.</w:t>
      </w:r>
    </w:p>
    <w:p>
      <w:pPr>
        <w:pStyle w:val="ListBullet"/>
      </w:pPr>
      <w:r>
        <w:t>Incorrect parameter settings.</w:t>
      </w:r>
    </w:p>
    <w:p>
      <w:pPr>
        <w:pStyle w:val="ListBullet"/>
      </w:pPr>
      <w:r>
        <w:t>Software defects.</w:t>
      </w:r>
    </w:p>
    <w:p>
      <w:pPr>
        <w:pStyle w:val="ListBullet"/>
      </w:pPr>
      <w:r>
        <w:t>Poor cable routing or termination.</w:t>
      </w:r>
    </w:p>
    <w:p>
      <w:pPr>
        <w:pStyle w:val="ListBullet"/>
      </w:pPr>
      <w:r>
        <w:t>Excessive mechanical loading.</w:t>
      </w:r>
    </w:p>
    <w:p>
      <w:pPr>
        <w:pStyle w:val="ListBullet"/>
      </w:pPr>
      <w:r>
        <w:t>Unsuitable environmental protection.</w:t>
      </w:r>
    </w:p>
    <w:p>
      <w:pPr>
        <w:pStyle w:val="ListBullet"/>
      </w:pPr>
      <w:r>
        <w:t>Inadequate maintenance instructions.</w:t>
      </w:r>
    </w:p>
    <w:p>
      <w:r>
        <w:t>The RFQ can require the supplier to provide:</w:t>
      </w:r>
    </w:p>
    <w:p>
      <w:pPr>
        <w:pStyle w:val="ListBullet"/>
      </w:pPr>
      <w:r>
        <w:t>Failure investigation.</w:t>
      </w:r>
    </w:p>
    <w:p>
      <w:pPr>
        <w:pStyle w:val="ListBullet"/>
      </w:pPr>
      <w:r>
        <w:t>Root-cause analysis.</w:t>
      </w:r>
    </w:p>
    <w:p>
      <w:pPr>
        <w:pStyle w:val="ListBullet"/>
      </w:pPr>
      <w:r>
        <w:t>Immediate containment actions.</w:t>
      </w:r>
    </w:p>
    <w:p>
      <w:pPr>
        <w:pStyle w:val="ListBullet"/>
      </w:pPr>
      <w:r>
        <w:t>Corrective and preventive actions.</w:t>
      </w:r>
    </w:p>
    <w:p>
      <w:pPr>
        <w:pStyle w:val="ListBullet"/>
      </w:pPr>
      <w:r>
        <w:t>Evidence of the implemented correction.</w:t>
      </w:r>
    </w:p>
    <w:p>
      <w:pPr>
        <w:pStyle w:val="ListBullet"/>
      </w:pPr>
      <w:r>
        <w:t>Retesting under relevant operating conditions.</w:t>
      </w:r>
    </w:p>
    <w:p>
      <w:pPr>
        <w:pStyle w:val="ListBullet"/>
      </w:pPr>
      <w:r>
        <w:t>Updates to affected drawings, software, or procedures.</w:t>
      </w:r>
    </w:p>
    <w:p>
      <w:pPr>
        <w:pStyle w:val="ListBullet"/>
      </w:pPr>
      <w:r>
        <w:t>Monitoring for recurrence.</w:t>
      </w:r>
    </w:p>
    <w:p>
      <w:r>
        <w:t>A useful approach is to distinguish temporary restoration from permanent corrective action. Replacing a failed module may restore production, but it does not explain why three identical modules have failed in the same cabinet.</w:t>
      </w:r>
    </w:p>
    <w:p>
      <w:pPr>
        <w:pStyle w:val="Heading2"/>
      </w:pPr>
      <w:r>
        <w:t>13. Warranty and system availability</w:t>
      </w:r>
    </w:p>
    <w:p>
      <w:r>
        <w:t>Warranty and availability are related but separate contractual concepts.</w:t>
      </w:r>
    </w:p>
    <w:p>
      <w:r>
        <w:t>A warranty defines remedies for covered defects. An availability guarantee defines an operating-performance commitment under agreed measurement conditions.</w:t>
      </w:r>
    </w:p>
    <w:p>
      <w:r>
        <w:t>A system may remain under warranty even if it experiences downtime, but warranty alone does not necessarily guarantee production availability or compensation for lost production.</w:t>
      </w:r>
    </w:p>
    <w:p>
      <w:r>
        <w:t>If availability is commercially important, define it separately.</w:t>
      </w:r>
    </w:p>
    <w:p>
      <w:r>
        <w:t>A common availability expression is:</w:t>
      </w:r>
    </w:p>
    <w:p>
      <w:pPr>
        <w:spacing w:before="120" w:after="160"/>
        <w:jc w:val="center"/>
      </w:pPr>
      <m:oMathPara>
        <m:oMath>
          <m:r>
            <m:t>A=</m:t>
          </m:r>
          <m:f>
            <m:fPr>
              <m:type m:val="bar"/>
            </m:fPr>
            <m:num>
              <m:sSub>
                <m:e>
                  <m:r>
                    <m:t>T</m:t>
                  </m:r>
                </m:e>
                <m:sub>
                  <m:r>
                    <m:rPr>
                      <m:nor/>
                    </m:rPr>
                    <m:t>scheduled</m:t>
                  </m:r>
                </m:sub>
              </m:sSub>
              <m:r>
                <m:t>−</m:t>
              </m:r>
              <m:sSub>
                <m:e>
                  <m:r>
                    <m:t>T</m:t>
                  </m:r>
                </m:e>
                <m:sub>
                  <m:r>
                    <m:rPr>
                      <m:nor/>
                    </m:rPr>
                    <m:t>downtime</m:t>
                  </m:r>
                </m:sub>
              </m:sSub>
            </m:num>
            <m:den>
              <m:sSub>
                <m:e>
                  <m:r>
                    <m:t>T</m:t>
                  </m:r>
                </m:e>
                <m:sub>
                  <m:r>
                    <m:rPr>
                      <m:nor/>
                    </m:rPr>
                    <m:t>scheduled</m:t>
                  </m:r>
                </m:sub>
              </m:sSub>
            </m:den>
          </m:f>
          <m:r>
            <m:t>×100</m:t>
          </m:r>
        </m:oMath>
      </m:oMathPara>
    </w:p>
    <w:p>
      <w:r>
        <w:t>The contract must define scheduled time, qualifying downtime, excluded interruptions, planned maintenance, and measurement responsibility.</w:t>
      </w:r>
    </w:p>
    <w:p>
      <w:r>
        <w:t>If the requirement is a guaranteed response or restoration time, specify that commitment directly rather than assuming it is implied by the warranty.</w:t>
      </w:r>
    </w:p>
    <w:p>
      <w:pPr>
        <w:pStyle w:val="Heading2"/>
      </w:pPr>
      <w:r>
        <w:t>14. Warranty claims procedure</w:t>
      </w:r>
    </w:p>
    <w:p>
      <w:r>
        <w:t>A controlled claims procedure helps the customer obtain timely support while giving the supplier enough evidence to investigate the failure.</w:t>
      </w:r>
    </w:p>
    <w:p>
      <w:r>
        <w:t>A typical procedure is:</w:t>
      </w:r>
    </w:p>
    <w:p>
      <w:pPr>
        <w:shd w:val="clear" w:color="auto" w:fill="F4F4F4"/>
        <w:spacing w:before="0" w:after="0" w:line="240" w:lineRule="auto"/>
        <w:ind w:left="216" w:right="216"/>
        <w:jc w:val="left"/>
      </w:pPr>
      <w:r>
        <w:rPr>
          <w:rFonts w:ascii="Consolas" w:hAnsi="Consolas"/>
          <w:color w:val="202020"/>
          <w:sz w:val="18"/>
        </w:rPr>
        <w:t>Failure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placed in a safe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recorded and evidence collected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Warranty claim submitted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acknowledges and assesses claim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Coverage and failure cause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or replacement approved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work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verification and retesting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Claim closed with documented evidence</w:t>
      </w:r>
    </w:p>
    <w:p/>
    <w:p>
      <w:r>
        <w:t>The exact process and timelines should be specified in the contract.</w:t>
      </w:r>
    </w:p>
    <w:p>
      <w:pPr>
        <w:pStyle w:val="Heading3"/>
      </w:pPr>
      <w:r>
        <w:t>Recommended claim information</w:t>
      </w:r>
    </w:p>
    <w:p>
      <w:r>
        <w:t>Include:</w:t>
      </w:r>
    </w:p>
    <w:p>
      <w:pPr>
        <w:pStyle w:val="ListBullet"/>
      </w:pPr>
      <w:r>
        <w:t>Equipment identification and serial number.</w:t>
      </w:r>
    </w:p>
    <w:p>
      <w:pPr>
        <w:pStyle w:val="ListBullet"/>
      </w:pPr>
      <w:r>
        <w:t>Purchase order and delivery reference.</w:t>
      </w:r>
    </w:p>
    <w:p>
      <w:pPr>
        <w:pStyle w:val="ListBullet"/>
      </w:pPr>
      <w:r>
        <w:t>Warranty commencement and expiry information.</w:t>
      </w:r>
    </w:p>
    <w:p>
      <w:pPr>
        <w:pStyle w:val="ListBullet"/>
      </w:pPr>
      <w:r>
        <w:t>Date and time of failure.</w:t>
      </w:r>
    </w:p>
    <w:p>
      <w:pPr>
        <w:pStyle w:val="ListBullet"/>
      </w:pPr>
      <w:r>
        <w:t>Operating conditions at the time of failure.</w:t>
      </w:r>
    </w:p>
    <w:p>
      <w:pPr>
        <w:pStyle w:val="ListBullet"/>
      </w:pPr>
      <w:r>
        <w:t>Alarm codes and diagnostic logs.</w:t>
      </w:r>
    </w:p>
    <w:p>
      <w:pPr>
        <w:pStyle w:val="ListBullet"/>
      </w:pPr>
      <w:r>
        <w:t>Photographs or other relevant evidence.</w:t>
      </w:r>
    </w:p>
    <w:p>
      <w:pPr>
        <w:pStyle w:val="ListBullet"/>
      </w:pPr>
      <w:r>
        <w:t>Software and firmware versions.</w:t>
      </w:r>
    </w:p>
    <w:p>
      <w:pPr>
        <w:pStyle w:val="ListBullet"/>
      </w:pPr>
      <w:r>
        <w:t>Recent maintenance or configuration changes.</w:t>
      </w:r>
    </w:p>
    <w:p>
      <w:pPr>
        <w:pStyle w:val="ListBullet"/>
      </w:pPr>
      <w:r>
        <w:t>Production and safety impact.</w:t>
      </w:r>
    </w:p>
    <w:p>
      <w:pPr>
        <w:pStyle w:val="ListBullet"/>
      </w:pPr>
      <w:r>
        <w:t>Requested remedy.</w:t>
      </w:r>
    </w:p>
    <w:p>
      <w:pPr>
        <w:pStyle w:val="ListBullet"/>
      </w:pPr>
      <w:r>
        <w:t>Contact details and site access requirements.</w:t>
      </w:r>
    </w:p>
    <w:p>
      <w:r>
        <w:t>Do not alter or discard failed components before collecting necessary evidence, unless safety, environmental, or operational requirements make immediate action necessary.</w:t>
      </w:r>
    </w:p>
    <w:p>
      <w:pPr>
        <w:pStyle w:val="Heading2"/>
      </w:pPr>
      <w:r>
        <w:t>15. Warranty exclusions and dispute handling</w:t>
      </w:r>
    </w:p>
    <w:p>
      <w:r>
        <w:t>Warranty disputes commonly arise when the supplier attributes a failure to customer misuse and the customer attributes it to poor design or defective equipment.</w:t>
      </w:r>
    </w:p>
    <w:p>
      <w:r>
        <w:t>The RFQ should establish a reasonable technical assessment procedure.</w:t>
      </w:r>
    </w:p>
    <w:p>
      <w:r>
        <w:t>Consider defining:</w:t>
      </w:r>
    </w:p>
    <w:p>
      <w:pPr>
        <w:pStyle w:val="ListBullet"/>
      </w:pPr>
      <w:r>
        <w:t>Required evidence for a claimed exclusion.</w:t>
      </w:r>
    </w:p>
    <w:p>
      <w:pPr>
        <w:pStyle w:val="ListBullet"/>
      </w:pPr>
      <w:r>
        <w:t>Joint inspection of disputed failures.</w:t>
      </w:r>
    </w:p>
    <w:p>
      <w:pPr>
        <w:pStyle w:val="ListBullet"/>
      </w:pPr>
      <w:r>
        <w:t>Access to diagnostic logs and relevant test results.</w:t>
      </w:r>
    </w:p>
    <w:p>
      <w:pPr>
        <w:pStyle w:val="ListBullet"/>
      </w:pPr>
      <w:r>
        <w:t>Independent technical assessment if necessary.</w:t>
      </w:r>
    </w:p>
    <w:p>
      <w:pPr>
        <w:pStyle w:val="ListBullet"/>
      </w:pPr>
      <w:r>
        <w:t>Handling and custody of failed components.</w:t>
      </w:r>
    </w:p>
    <w:p>
      <w:pPr>
        <w:pStyle w:val="ListBullet"/>
      </w:pPr>
      <w:r>
        <w:t>Approval authority for repair before liability is resolved.</w:t>
      </w:r>
    </w:p>
    <w:p>
      <w:pPr>
        <w:pStyle w:val="ListBullet"/>
      </w:pPr>
      <w:r>
        <w:t>Allocation of investigation costs.</w:t>
      </w:r>
    </w:p>
    <w:p>
      <w:pPr>
        <w:pStyle w:val="ListBullet"/>
      </w:pPr>
      <w:r>
        <w:t>Escalation and dispute-resolution process.</w:t>
      </w:r>
    </w:p>
    <w:p>
      <w:r>
        <w:t>The process should avoid unnecessarily delaying restoration of critical production equipment.</w:t>
      </w:r>
    </w:p>
    <w:p>
      <w:r>
        <w:t>Where the contract permits emergency repair before final liability determination, specify how costs will be handled if the claim is later found to be outside warranty coverage.</w:t>
      </w:r>
    </w:p>
    <w:p>
      <w:pPr>
        <w:pStyle w:val="Heading2"/>
      </w:pPr>
      <w:r>
        <w:t>16. Warranty for obsolete and discontinued components</w:t>
      </w:r>
    </w:p>
    <w:p>
      <w:r>
        <w:t>Industrial automation equipment can remain in service for many years, while electronic products may be discontinued earlier.</w:t>
      </w:r>
    </w:p>
    <w:p>
      <w:r>
        <w:t>Warranty clauses should be coordinated with the RFQ's spares and lifecycle requirements.</w:t>
      </w:r>
    </w:p>
    <w:p>
      <w:r>
        <w:t>Consider:</w:t>
      </w:r>
    </w:p>
    <w:p>
      <w:pPr>
        <w:pStyle w:val="ListBullet"/>
      </w:pPr>
      <w:r>
        <w:t>Availability of replacement components.</w:t>
      </w:r>
    </w:p>
    <w:p>
      <w:pPr>
        <w:pStyle w:val="ListBullet"/>
      </w:pPr>
      <w:r>
        <w:t>Manufacturer product lifecycle status.</w:t>
      </w:r>
    </w:p>
    <w:p>
      <w:pPr>
        <w:pStyle w:val="ListBullet"/>
      </w:pPr>
      <w:r>
        <w:t>Notification of discontinuation.</w:t>
      </w:r>
    </w:p>
    <w:p>
      <w:pPr>
        <w:pStyle w:val="ListBullet"/>
      </w:pPr>
      <w:r>
        <w:t>Approved successor models.</w:t>
      </w:r>
    </w:p>
    <w:p>
      <w:pPr>
        <w:pStyle w:val="ListBullet"/>
      </w:pPr>
      <w:r>
        <w:t>Compatibility with existing hardware and software.</w:t>
      </w:r>
    </w:p>
    <w:p>
      <w:pPr>
        <w:pStyle w:val="ListBullet"/>
      </w:pPr>
      <w:r>
        <w:t>Migration and reconfiguration responsibilities.</w:t>
      </w:r>
    </w:p>
    <w:p>
      <w:pPr>
        <w:pStyle w:val="ListBullet"/>
      </w:pPr>
      <w:r>
        <w:t>Availability of repair services.</w:t>
      </w:r>
    </w:p>
    <w:p>
      <w:pPr>
        <w:pStyle w:val="ListBullet"/>
      </w:pPr>
      <w:r>
        <w:t>Availability of firmware and engineering tools.</w:t>
      </w:r>
    </w:p>
    <w:p>
      <w:pPr>
        <w:pStyle w:val="ListBullet"/>
      </w:pPr>
      <w:r>
        <w:t>Technical support duration.</w:t>
      </w:r>
    </w:p>
    <w:p>
      <w:pPr>
        <w:pStyle w:val="ListBullet"/>
      </w:pPr>
      <w:r>
        <w:t>Last-time-buy or replacement planning where applicable.</w:t>
      </w:r>
    </w:p>
    <w:p>
      <w:r>
        <w:t>A supplier should not be assumed to provide unlimited future product availability merely because the initial equipment carries a warranty.</w:t>
      </w:r>
    </w:p>
    <w:p>
      <w:r>
        <w:t>For a PLC or CNC system, an obsolete replacement module may require configuration changes, software modifications, or system revalidation. The RFQ should identify who is responsible for these activities when they fall within the agreed scope.</w:t>
      </w:r>
    </w:p>
    <w:p>
      <w:pPr>
        <w:pStyle w:val="Heading2"/>
      </w:pPr>
      <w:r>
        <w:t>17. Warranty documentation and records</w:t>
      </w:r>
    </w:p>
    <w:p>
      <w:r>
        <w:t>Warranty administration requires reliable equipment identification and traceability.</w:t>
      </w:r>
    </w:p>
    <w:p>
      <w:r>
        <w:t>Typical documentation includes:</w:t>
      </w:r>
    </w:p>
    <w:p>
      <w:pPr>
        <w:pStyle w:val="ListBullet"/>
      </w:pPr>
      <w:r>
        <w:t>Warranty certificate or contractual warranty statement.</w:t>
      </w:r>
    </w:p>
    <w:p>
      <w:pPr>
        <w:pStyle w:val="ListBullet"/>
      </w:pPr>
      <w:r>
        <w:t>Warranty commencement and expiry records.</w:t>
      </w:r>
    </w:p>
    <w:p>
      <w:pPr>
        <w:pStyle w:val="ListBullet"/>
      </w:pPr>
      <w:r>
        <w:t>Equipment serial-number register.</w:t>
      </w:r>
    </w:p>
    <w:p>
      <w:pPr>
        <w:pStyle w:val="ListBullet"/>
      </w:pPr>
      <w:r>
        <w:t>Component and supplier identification.</w:t>
      </w:r>
    </w:p>
    <w:p>
      <w:pPr>
        <w:pStyle w:val="ListBullet"/>
      </w:pPr>
      <w:r>
        <w:t>Approved BOM and configuration records.</w:t>
      </w:r>
    </w:p>
    <w:p>
      <w:pPr>
        <w:pStyle w:val="ListBullet"/>
      </w:pPr>
      <w:r>
        <w:t>Software and firmware version records.</w:t>
      </w:r>
    </w:p>
    <w:p>
      <w:pPr>
        <w:pStyle w:val="ListBullet"/>
      </w:pPr>
      <w:r>
        <w:t>Installation and commissioning reports.</w:t>
      </w:r>
    </w:p>
    <w:p>
      <w:pPr>
        <w:pStyle w:val="ListBullet"/>
      </w:pPr>
      <w:r>
        <w:t>Warranty claim register.</w:t>
      </w:r>
    </w:p>
    <w:p>
      <w:pPr>
        <w:pStyle w:val="ListBullet"/>
      </w:pPr>
      <w:r>
        <w:t>Repair and replacement reports.</w:t>
      </w:r>
    </w:p>
    <w:p>
      <w:pPr>
        <w:pStyle w:val="ListBullet"/>
      </w:pPr>
      <w:r>
        <w:t>Root-cause analysis and corrective-action records.</w:t>
      </w:r>
    </w:p>
    <w:p>
      <w:pPr>
        <w:pStyle w:val="ListBullet"/>
      </w:pPr>
      <w:r>
        <w:t>Revised drawings and software backups.</w:t>
      </w:r>
    </w:p>
    <w:p>
      <w:pPr>
        <w:pStyle w:val="ListBullet"/>
      </w:pPr>
      <w:r>
        <w:t>Service contact and escalation information.</w:t>
      </w:r>
    </w:p>
    <w:p>
      <w:pPr>
        <w:pStyle w:val="ListBullet"/>
      </w:pPr>
      <w:r>
        <w:t>Warranty extension approvals.</w:t>
      </w:r>
    </w:p>
    <w:p>
      <w:r>
        <w:t>For a plant with many machines, warranty data should be linked to the installed equipment and spare-parts register rather than stored only in an individual email inbox.</w:t>
      </w:r>
    </w:p>
    <w:p>
      <w:pPr>
        <w:pStyle w:val="Heading2"/>
      </w:pPr>
      <w:r>
        <w:t>18. Warranty management in SAP and maintenance systems</w:t>
      </w:r>
    </w:p>
    <w:p>
      <w:r>
        <w:t>Warranty information can be integrated into a plant's maintenance and procurement workflows.</w:t>
      </w:r>
    </w:p>
    <w:p>
      <w:r>
        <w:t>Useful data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installed asset</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original equipment manufacturer</w:t>
            </w:r>
          </w:p>
        </w:tc>
      </w:tr>
      <w:tr>
        <w:tc>
          <w:tcPr>
            <w:tcW w:type="dxa" w:w="5400"/>
          </w:tcPr>
          <w:p>
            <w:pPr>
              <w:spacing w:after="0" w:before="0" w:line="240" w:lineRule="auto"/>
              <w:jc w:val="left"/>
            </w:pPr>
            <w:r>
              <w:t>Supplier</w:t>
            </w:r>
          </w:p>
        </w:tc>
        <w:tc>
          <w:tcPr>
            <w:tcW w:type="dxa" w:w="5400"/>
          </w:tcPr>
          <w:p>
            <w:pPr>
              <w:spacing w:after="0" w:before="0" w:line="240" w:lineRule="auto"/>
              <w:jc w:val="left"/>
            </w:pPr>
            <w:r>
              <w:t>Identifies the contractual supplier</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Provides component-level traceability</w:t>
            </w:r>
          </w:p>
        </w:tc>
      </w:tr>
      <w:tr>
        <w:tc>
          <w:tcPr>
            <w:tcW w:type="dxa" w:w="5400"/>
          </w:tcPr>
          <w:p>
            <w:pPr>
              <w:spacing w:after="0" w:before="0" w:line="240" w:lineRule="auto"/>
              <w:jc w:val="left"/>
            </w:pPr>
            <w:r>
              <w:t>Purchase order</w:t>
            </w:r>
          </w:p>
        </w:tc>
        <w:tc>
          <w:tcPr>
            <w:tcW w:type="dxa" w:w="5400"/>
          </w:tcPr>
          <w:p>
            <w:pPr>
              <w:spacing w:after="0" w:before="0" w:line="240" w:lineRule="auto"/>
              <w:jc w:val="left"/>
            </w:pPr>
            <w:r>
              <w:t>Links the asset to procurement</w:t>
            </w:r>
          </w:p>
        </w:tc>
      </w:tr>
      <w:tr>
        <w:tc>
          <w:tcPr>
            <w:tcW w:type="dxa" w:w="5400"/>
          </w:tcPr>
          <w:p>
            <w:pPr>
              <w:spacing w:after="0" w:before="0" w:line="240" w:lineRule="auto"/>
              <w:jc w:val="left"/>
            </w:pPr>
            <w:r>
              <w:t>Delivery date</w:t>
            </w:r>
          </w:p>
        </w:tc>
        <w:tc>
          <w:tcPr>
            <w:tcW w:type="dxa" w:w="5400"/>
          </w:tcPr>
          <w:p>
            <w:pPr>
              <w:spacing w:after="0" w:before="0" w:line="240" w:lineRule="auto"/>
              <w:jc w:val="left"/>
            </w:pPr>
            <w:r>
              <w:t>Records equipment receipt</w:t>
            </w:r>
          </w:p>
        </w:tc>
      </w:tr>
      <w:tr>
        <w:tc>
          <w:tcPr>
            <w:tcW w:type="dxa" w:w="5400"/>
          </w:tcPr>
          <w:p>
            <w:pPr>
              <w:spacing w:after="0" w:before="0" w:line="240" w:lineRule="auto"/>
              <w:jc w:val="left"/>
            </w:pPr>
            <w:r>
              <w:t>Acceptance date</w:t>
            </w:r>
          </w:p>
        </w:tc>
        <w:tc>
          <w:tcPr>
            <w:tcW w:type="dxa" w:w="5400"/>
          </w:tcPr>
          <w:p>
            <w:pPr>
              <w:spacing w:after="0" w:before="0" w:line="240" w:lineRule="auto"/>
              <w:jc w:val="left"/>
            </w:pPr>
            <w:r>
              <w:t>Records the contractual acceptance milestone</w:t>
            </w:r>
          </w:p>
        </w:tc>
      </w:tr>
      <w:tr>
        <w:tc>
          <w:tcPr>
            <w:tcW w:type="dxa" w:w="5400"/>
          </w:tcPr>
          <w:p>
            <w:pPr>
              <w:spacing w:after="0" w:before="0" w:line="240" w:lineRule="auto"/>
              <w:jc w:val="left"/>
            </w:pPr>
            <w:r>
              <w:t>Warranty start date</w:t>
            </w:r>
          </w:p>
        </w:tc>
        <w:tc>
          <w:tcPr>
            <w:tcW w:type="dxa" w:w="5400"/>
          </w:tcPr>
          <w:p>
            <w:pPr>
              <w:spacing w:after="0" w:before="0" w:line="240" w:lineRule="auto"/>
              <w:jc w:val="left"/>
            </w:pPr>
            <w:r>
              <w:t>Defines the coverage start</w:t>
            </w:r>
          </w:p>
        </w:tc>
      </w:tr>
      <w:tr>
        <w:tc>
          <w:tcPr>
            <w:tcW w:type="dxa" w:w="5400"/>
          </w:tcPr>
          <w:p>
            <w:pPr>
              <w:spacing w:after="0" w:before="0" w:line="240" w:lineRule="auto"/>
              <w:jc w:val="left"/>
            </w:pPr>
            <w:r>
              <w:t>Warranty end date</w:t>
            </w:r>
          </w:p>
        </w:tc>
        <w:tc>
          <w:tcPr>
            <w:tcW w:type="dxa" w:w="5400"/>
          </w:tcPr>
          <w:p>
            <w:pPr>
              <w:spacing w:after="0" w:before="0" w:line="240" w:lineRule="auto"/>
              <w:jc w:val="left"/>
            </w:pPr>
            <w:r>
              <w:t>Supports claim eligibility checks</w:t>
            </w:r>
          </w:p>
        </w:tc>
      </w:tr>
      <w:tr>
        <w:tc>
          <w:tcPr>
            <w:tcW w:type="dxa" w:w="5400"/>
          </w:tcPr>
          <w:p>
            <w:pPr>
              <w:spacing w:after="0" w:before="0" w:line="240" w:lineRule="auto"/>
              <w:jc w:val="left"/>
            </w:pPr>
            <w:r>
              <w:t>Criticality</w:t>
            </w:r>
          </w:p>
        </w:tc>
        <w:tc>
          <w:tcPr>
            <w:tcW w:type="dxa" w:w="5400"/>
          </w:tcPr>
          <w:p>
            <w:pPr>
              <w:spacing w:after="0" w:before="0" w:line="240" w:lineRule="auto"/>
              <w:jc w:val="left"/>
            </w:pPr>
            <w:r>
              <w:t>Helps prioritize maintenance response</w:t>
            </w:r>
          </w:p>
        </w:tc>
      </w:tr>
      <w:tr>
        <w:tc>
          <w:tcPr>
            <w:tcW w:type="dxa" w:w="5400"/>
          </w:tcPr>
          <w:p>
            <w:pPr>
              <w:spacing w:after="0" w:before="0" w:line="240" w:lineRule="auto"/>
              <w:jc w:val="left"/>
            </w:pPr>
            <w:r>
              <w:t>Service contact</w:t>
            </w:r>
          </w:p>
        </w:tc>
        <w:tc>
          <w:tcPr>
            <w:tcW w:type="dxa" w:w="5400"/>
          </w:tcPr>
          <w:p>
            <w:pPr>
              <w:spacing w:after="0" w:before="0" w:line="240" w:lineRule="auto"/>
              <w:jc w:val="left"/>
            </w:pPr>
            <w:r>
              <w:t>Identifies the correct support channel</w:t>
            </w:r>
          </w:p>
        </w:tc>
      </w:tr>
      <w:tr>
        <w:tc>
          <w:tcPr>
            <w:tcW w:type="dxa" w:w="5400"/>
          </w:tcPr>
          <w:p>
            <w:pPr>
              <w:spacing w:after="0" w:before="0" w:line="240" w:lineRule="auto"/>
              <w:jc w:val="left"/>
            </w:pPr>
            <w:r>
              <w:t>Claim reference</w:t>
            </w:r>
          </w:p>
        </w:tc>
        <w:tc>
          <w:tcPr>
            <w:tcW w:type="dxa" w:w="5400"/>
          </w:tcPr>
          <w:p>
            <w:pPr>
              <w:spacing w:after="0" w:before="0" w:line="240" w:lineRule="auto"/>
              <w:jc w:val="left"/>
            </w:pPr>
            <w:r>
              <w:t>Tracks the warranty case</w:t>
            </w:r>
          </w:p>
        </w:tc>
      </w:tr>
      <w:tr>
        <w:tc>
          <w:tcPr>
            <w:tcW w:type="dxa" w:w="5400"/>
          </w:tcPr>
          <w:p>
            <w:pPr>
              <w:spacing w:after="0" w:before="0" w:line="240" w:lineRule="auto"/>
              <w:jc w:val="left"/>
            </w:pPr>
            <w:r>
              <w:t>Failure code</w:t>
            </w:r>
          </w:p>
        </w:tc>
        <w:tc>
          <w:tcPr>
            <w:tcW w:type="dxa" w:w="5400"/>
          </w:tcPr>
          <w:p>
            <w:pPr>
              <w:spacing w:after="0" w:before="0" w:line="240" w:lineRule="auto"/>
              <w:jc w:val="left"/>
            </w:pPr>
            <w:r>
              <w:t>Supports failure analysis</w:t>
            </w:r>
          </w:p>
        </w:tc>
      </w:tr>
      <w:tr>
        <w:tc>
          <w:tcPr>
            <w:tcW w:type="dxa" w:w="5400"/>
          </w:tcPr>
          <w:p>
            <w:pPr>
              <w:spacing w:after="0" w:before="0" w:line="240" w:lineRule="auto"/>
              <w:jc w:val="left"/>
            </w:pPr>
            <w:r>
              <w:t>Remedy status</w:t>
            </w:r>
          </w:p>
        </w:tc>
        <w:tc>
          <w:tcPr>
            <w:tcW w:type="dxa" w:w="5400"/>
          </w:tcPr>
          <w:p>
            <w:pPr>
              <w:spacing w:after="0" w:before="0" w:line="240" w:lineRule="auto"/>
              <w:jc w:val="left"/>
            </w:pPr>
            <w:r>
              <w:t>Tracks repair, replacement, and closure</w:t>
            </w:r>
          </w:p>
        </w:tc>
      </w:tr>
    </w:tbl>
    <w:p/>
    <w:p>
      <w:pPr>
        <w:pStyle w:val="Heading3"/>
      </w:pPr>
      <w:r>
        <w:t>Example workflow</w:t>
      </w:r>
    </w:p>
    <w:p>
      <w:pPr>
        <w:shd w:val="clear" w:color="auto" w:fill="F4F4F4"/>
        <w:spacing w:before="0" w:after="0" w:line="240" w:lineRule="auto"/>
        <w:ind w:left="216" w:right="216"/>
        <w:jc w:val="left"/>
      </w:pPr>
      <w:r>
        <w:rPr>
          <w:rFonts w:ascii="Consolas" w:hAnsi="Consolas"/>
          <w:color w:val="202020"/>
          <w:sz w:val="18"/>
        </w:rPr>
        <w:t>Equipment master and purchase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Delivery and serial-number registration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Commissioning and formal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Warranty dates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 maintenance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Warranty eligibility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claim and repair tracking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verification and claim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history updated</w:t>
      </w:r>
    </w:p>
    <w:p/>
    <w:p>
      <w:r>
        <w:t>A warranty flag in SAP or another CMMS is useful only when the commencement date, coverage terms, and equipment identification are correct.</w:t>
      </w:r>
    </w:p>
    <w:p>
      <w:pPr>
        <w:pStyle w:val="Heading2"/>
      </w:pPr>
      <w:r>
        <w:t>19. RFQ warranty clause checklist</w:t>
      </w:r>
    </w:p>
    <w:p>
      <w:r>
        <w:t>Before issuing the RFQ, verify the following:</w:t>
      </w:r>
    </w:p>
    <w:p>
      <w:pPr>
        <w:pStyle w:val="ListBullet"/>
      </w:pPr>
      <w:r>
        <w:t>Warranty duration is specified.</w:t>
      </w:r>
    </w:p>
    <w:p>
      <w:pPr>
        <w:pStyle w:val="ListBullet"/>
      </w:pPr>
      <w:r>
        <w:t>Warranty commencement is clearly defined.</w:t>
      </w:r>
    </w:p>
    <w:p>
      <w:pPr>
        <w:pStyle w:val="ListBullet"/>
      </w:pPr>
      <w:r>
        <w:t>Coverage includes the required equipment and supplied components.</w:t>
      </w:r>
    </w:p>
    <w:p>
      <w:pPr>
        <w:pStyle w:val="ListBullet"/>
      </w:pPr>
      <w:r>
        <w:t>Software and configuration defect obligations are defined.</w:t>
      </w:r>
    </w:p>
    <w:p>
      <w:pPr>
        <w:pStyle w:val="ListBullet"/>
      </w:pPr>
      <w:r>
        <w:t>Exclusions are specific and clearly stated.</w:t>
      </w:r>
    </w:p>
    <w:p>
      <w:pPr>
        <w:pStyle w:val="ListBullet"/>
      </w:pPr>
      <w:r>
        <w:t>Supplier response and resolution obligations are defined.</w:t>
      </w:r>
    </w:p>
    <w:p>
      <w:pPr>
        <w:pStyle w:val="ListBullet"/>
      </w:pPr>
      <w:r>
        <w:t>Repair and replacement responsibilities are allocated.</w:t>
      </w:r>
    </w:p>
    <w:p>
      <w:pPr>
        <w:pStyle w:val="ListBullet"/>
      </w:pPr>
      <w:r>
        <w:t>Travel, labor, freight, and logistics costs are addressed.</w:t>
      </w:r>
    </w:p>
    <w:p>
      <w:pPr>
        <w:pStyle w:val="ListBullet"/>
      </w:pPr>
      <w:r>
        <w:t>Treatment of repaired and replaced components is defined.</w:t>
      </w:r>
    </w:p>
    <w:p>
      <w:pPr>
        <w:pStyle w:val="ListBullet"/>
      </w:pPr>
      <w:r>
        <w:t>Repeat-failure investigation and corrective action are addressed.</w:t>
      </w:r>
    </w:p>
    <w:p>
      <w:pPr>
        <w:pStyle w:val="ListBullet"/>
      </w:pPr>
      <w:r>
        <w:t>Warranty claim submission requirements are documented.</w:t>
      </w:r>
    </w:p>
    <w:p>
      <w:pPr>
        <w:pStyle w:val="ListBullet"/>
      </w:pPr>
      <w:r>
        <w:t>Required technical support arrangements are defined.</w:t>
      </w:r>
    </w:p>
    <w:p>
      <w:pPr>
        <w:pStyle w:val="ListBullet"/>
      </w:pPr>
      <w:r>
        <w:t>Obsolescence and successor-product responsibilities are addressed.</w:t>
      </w:r>
    </w:p>
    <w:p>
      <w:pPr>
        <w:pStyle w:val="ListBullet"/>
      </w:pPr>
      <w:r>
        <w:t>Warranty records and reports are required.</w:t>
      </w:r>
    </w:p>
    <w:p>
      <w:pPr>
        <w:pStyle w:val="ListBullet"/>
      </w:pPr>
      <w:r>
        <w:t>Warranty is distinguished from AMC and performance guarantees.</w:t>
      </w:r>
    </w:p>
    <w:p>
      <w:pPr>
        <w:pStyle w:val="ListBullet"/>
      </w:pPr>
      <w:r>
        <w:t>The relationship between warranty, SAT, and acceptance is clear.</w:t>
      </w:r>
    </w:p>
    <w:p>
      <w:pPr>
        <w:pStyle w:val="ListBullet"/>
      </w:pPr>
      <w:r>
        <w:t>Contractual remedies and escalation mechanisms are established.</w:t>
      </w:r>
    </w:p>
    <w:p>
      <w:pPr>
        <w:pStyle w:val="Heading2"/>
      </w:pPr>
      <w:r>
        <w:t>20. Practical example: Warranty for a PLC-controlled production station</w:t>
      </w:r>
    </w:p>
    <w:p>
      <w:r>
        <w:t>Assume a supplier delivers an automated test station containing a PLC, HMI, VFD, barcode scanner, sensors, and pneumatic actuators.</w:t>
      </w:r>
    </w:p>
    <w:p>
      <w:r>
        <w:t>The RFQ specifies a 12-month warranty beginning at formal acceptance.</w:t>
      </w:r>
    </w:p>
    <w:p>
      <w:pPr>
        <w:pStyle w:val="Heading3"/>
      </w:pPr>
      <w:r>
        <w:t>Scenario A: Defective PLC output module</w:t>
      </w:r>
    </w:p>
    <w:p>
      <w:r>
        <w:t>A PLC output module fails during normal operation, and the failure is attributable to a defective supplied component.</w:t>
      </w:r>
    </w:p>
    <w:p>
      <w:r>
        <w:t>The customer records the failure, submits a claim, and provides diagnostic evidence. The supplier assesses the claim and performs the agreed repair or replacement. The repaired system is tested, and the claim is closed with the required records.</w:t>
      </w:r>
    </w:p>
    <w:p>
      <w:pPr>
        <w:pStyle w:val="Heading3"/>
      </w:pPr>
      <w:r>
        <w:t>Scenario B: Software sequence defect</w:t>
      </w:r>
    </w:p>
    <w:p>
      <w:r>
        <w:t>The supplied program starts a test before receiving the required clamp-closed feedback.</w:t>
      </w:r>
    </w:p>
    <w:p>
      <w:r>
        <w:t>The behavior contradicts the approved functional specification. The supplier investigates the defect, corrects the logic, tests the affected sequence and relevant interlocks, and provides the revised program and test evidence if covered by the contract.</w:t>
      </w:r>
    </w:p>
    <w:p>
      <w:pPr>
        <w:pStyle w:val="Heading3"/>
      </w:pPr>
      <w:r>
        <w:t>Scenario C: Damage caused by an incorrect external supply</w:t>
      </w:r>
    </w:p>
    <w:p>
      <w:r>
        <w:t>A drive is damaged by an electrical supply condition outside the equipment's specified operating range.</w:t>
      </w:r>
    </w:p>
    <w:p>
      <w:r>
        <w:t>Coverage depends on the contract, evidence, and cause of failure. The supplier and customer should follow the agreed technical assessment procedure rather than making assumptions from the failed component alone.</w:t>
      </w:r>
    </w:p>
    <w:p>
      <w:pPr>
        <w:pStyle w:val="Heading3"/>
      </w:pPr>
      <w:r>
        <w:t>Scenario D: Repeated failure of the same drive</w:t>
      </w:r>
    </w:p>
    <w:p>
      <w:r>
        <w:t>A replacement drive fails again shortly after installation.</w:t>
      </w:r>
    </w:p>
    <w:p>
      <w:r>
        <w:t>The investigation should examine the original failure cause, electrical supply, cooling, motor and cable arrangement, parameter settings, and other relevant conditions. The supplier's obligations for repeat failures and root-cause analysis should be defined in the warranty clause.</w:t>
      </w:r>
    </w:p>
    <w:p>
      <w:pPr>
        <w:pStyle w:val="Heading2"/>
      </w:pPr>
      <w:r>
        <w:t>21. Interview questions and answers</w:t>
      </w:r>
    </w:p>
    <w:p>
      <w:r>
        <w:t>1\. What is a warranty in industrial procurement?</w:t>
      </w:r>
    </w:p>
    <w:p>
      <w:r>
        <w:t>A warranty is a contractual commitment to remedy specified defects or failures under defined conditions during an agreed period.</w:t>
      </w:r>
    </w:p>
    <w:p>
      <w:r>
        <w:t>2\. What is the difference between warranty and AMC?</w:t>
      </w:r>
    </w:p>
    <w:p>
      <w:r>
        <w:t>Warranty generally addresses covered defects and related remedies. An AMC covers specified maintenance services for an agreed duration and scope. Their exact obligations depend on their respective contracts.</w:t>
      </w:r>
    </w:p>
    <w:p>
      <w:r>
        <w:t>3\. When should the warranty period begin?</w:t>
      </w:r>
    </w:p>
    <w:p>
      <w:r>
        <w:t>The contract should define the commencement event. For integrated industrial equipment, formal acceptance or another agreed milestone may be more appropriate than delivery alone.</w:t>
      </w:r>
    </w:p>
    <w:p>
      <w:r>
        <w:t>4\. What is the difference between response time and resolution time?</w:t>
      </w:r>
    </w:p>
    <w:p>
      <w:r>
        <w:t>Response time defines when the supplier must respond to the claim. Resolution time concerns when the covered issue must be resolved or an agreed remedy implemented.</w:t>
      </w:r>
    </w:p>
    <w:p>
      <w:r>
        <w:t>5\. Does warranty guarantee zero downtime?</w:t>
      </w:r>
    </w:p>
    <w:p>
      <w:r>
        <w:t>No. Warranty coverage does not automatically guarantee uninterrupted production. Availability, restoration time, and production-loss remedies must be defined separately if required.</w:t>
      </w:r>
    </w:p>
    <w:p>
      <w:r>
        <w:t>6\. Are PLC software defects covered by hardware warranty?</w:t>
      </w:r>
    </w:p>
    <w:p>
      <w:r>
        <w:t>Not necessarily. Software defect correction should be addressed explicitly in the contract or software warranty provisions.</w:t>
      </w:r>
    </w:p>
    <w:p>
      <w:r>
        <w:t>7\. What should happen when the same component fails repeatedly?</w:t>
      </w:r>
    </w:p>
    <w:p>
      <w:r>
        <w:t>The parties should follow the agreed investigation procedure, determine the cause, implement corrective action, and verify that the recurrence has been addressed.</w:t>
      </w:r>
    </w:p>
    <w:p>
      <w:r>
        <w:t>8\. What is a warranty claim?</w:t>
      </w:r>
    </w:p>
    <w:p>
      <w:r>
        <w:t>It is a formal request for a contractual warranty remedy, supported by equipment identification, failure details, and the evidence required by the contract.</w:t>
      </w:r>
    </w:p>
    <w:p>
      <w:r>
        <w:t>9\. Why is warranty commencement linked to acceptance in some projects?</w:t>
      </w:r>
    </w:p>
    <w:p>
      <w:r>
        <w:t>It can align the coverage period with the point at which the customer has formally accepted the equipment, reducing ambiguity when delivery and operational readiness occur on different dates.</w:t>
      </w:r>
    </w:p>
    <w:p>
      <w:r>
        <w:t>10\. What should be checked before accepting a supplier's warranty proposal?</w:t>
      </w:r>
    </w:p>
    <w:p>
      <w:r>
        <w:t>Check duration, commencement, scope, exclusions, response and repair obligations, logistics costs, software coverage, repeat-failure treatment, documentation, and the relationship to acceptance and performance guarantees.</w:t>
      </w:r>
    </w:p>
    <w:p>
      <w:r>
        <w:t>11\. How does warranty information help maintenance?</w:t>
      </w:r>
    </w:p>
    <w:p>
      <w:r>
        <w:t>It enables maintenance teams to identify eligible failures, contact the correct supplier, preserve claim evidence, track repair costs, and maintain a reliable asset history.</w:t>
      </w:r>
    </w:p>
    <w:p>
      <w:r>
        <w:t>12\. What is the most important warranty principle?</w:t>
      </w:r>
    </w:p>
    <w:p>
      <w:r>
        <w:t>Define the supplier's obligations, coverage boundaries, timelines, remedies, and evidence requirements before placing the order.</w:t>
      </w:r>
    </w:p>
    <w:p>
      <w:pPr>
        <w:pStyle w:val="Heading2"/>
      </w:pPr>
      <w:r>
        <w:t>22. Final engineering principle</w:t>
      </w:r>
    </w:p>
    <w:p>
      <w:r>
        <w:t>A strong warranty clause protects the customer from covered defects without relying on assumptions about what the supplier will do after a failure.</w:t>
      </w:r>
    </w:p>
    <w:p>
      <w:r>
        <w:t>The RFQ should establish a measurable warranty period, clear commencement conditions, specific coverage, fair exclusions, defined service obligations, repeat-failure handling, and complete documentation. For industrial automation, software defects, component traceability, repair logistics, and restoration of the approved configuration deserve particular attention.</w:t>
      </w:r>
    </w:p>
    <w:p>
      <w:r>
        <w:t>Warranty should be designed as part of the equipment lifecycle and maintenance strategy, not treated as a single sentence added to the purchase order at the end.</w:t>
      </w:r>
    </w:p>
    <w:p>
      <w:pPr>
        <w:pStyle w:val="Heading2"/>
      </w:pPr>
      <w:r>
        <w:t>NEXT TOPIC</w:t>
      </w:r>
    </w:p>
    <w:p>
      <w:r>
        <w:rPr>
          <w:rFonts w:ascii="Consolas" w:hAnsi="Consolas"/>
          <w:color w:val="333333"/>
          <w:sz w:val="19"/>
          <w:shd w:val="clear" w:color="auto" w:fill="EFEFEF"/>
        </w:rPr>
        <w:t>02_PLAN_WISE_2026\02_INDUSTRY3_0\09_Procurement\01_RFQ\12_Spares - Spares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02_PLAN_WISE_2026\02_INDUSTRY3_0\09_Procurement\01_RFQ\11_Warranty - Warranty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