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02_PLAN_WISE_2026\02_INDUSTRY3_0\09_Procurement\02_Technical_Bid_Evaluation\01_Compliance_Matrix - Compliance matrix</w:t>
      </w:r>
    </w:p>
    <w:p>
      <w:pPr>
        <w:pStyle w:val="Heading2"/>
      </w:pPr>
      <w:r>
        <w:t>1. What is a compliance matrix?</w:t>
      </w:r>
    </w:p>
    <w:p>
      <w:r>
        <w:t>A compliance matrix is a structured document used to compare a supplier's technical offer against the customer's stated requirements. It records whether each requirement is met, partially met, not met, excluded, or still awaiting clarification, along with evidence and comments.</w:t>
      </w:r>
    </w:p>
    <w:p>
      <w:r>
        <w:t>In industrial procurement, the compliance matrix helps engineers evaluate vendor quotations consistently before a purchase order is released.</w:t>
      </w:r>
    </w:p>
    <w:p>
      <w:r>
        <w:t>For example, if three vendors quote PLC-controlled automated test benches, one may offer all specified functions, another may omit data logging, and the third may propose a different PLC platform. A compliance matrix makes those differences visible instead of allowing a polished quotation or attractive price to dominate the decision.</w:t>
      </w:r>
    </w:p>
    <w:p>
      <w:r>
        <w:t>The central rule is simple: evaluate each supplier against the same approved requirement baseline.</w:t>
      </w:r>
    </w:p>
    <w:p>
      <w:pPr>
        <w:pStyle w:val="Heading2"/>
      </w:pPr>
      <w:r>
        <w:t>2. Why a compliance matrix is necessary</w:t>
      </w:r>
    </w:p>
    <w:p>
      <w:r>
        <w:t>A properly prepared compliance matrix helps to:</w:t>
      </w:r>
    </w:p>
    <w:p>
      <w:pPr>
        <w:pStyle w:val="ListBullet"/>
      </w:pPr>
      <w:r>
        <w:t>Confirm whether the supplier has understood the RFQ.</w:t>
      </w:r>
    </w:p>
    <w:p>
      <w:pPr>
        <w:pStyle w:val="ListBullet"/>
      </w:pPr>
      <w:r>
        <w:t>Compare technical offers on a like-for-like basis.</w:t>
      </w:r>
    </w:p>
    <w:p>
      <w:pPr>
        <w:pStyle w:val="ListBullet"/>
      </w:pPr>
      <w:r>
        <w:t>Identify missing components, functions, and deliverables.</w:t>
      </w:r>
    </w:p>
    <w:p>
      <w:pPr>
        <w:pStyle w:val="ListBullet"/>
      </w:pPr>
      <w:r>
        <w:t>Detect proposed substitutions and technical deviations.</w:t>
      </w:r>
    </w:p>
    <w:p>
      <w:pPr>
        <w:pStyle w:val="ListBullet"/>
      </w:pPr>
      <w:r>
        <w:t>Identify assumptions, exclusions, and ambiguous statements.</w:t>
      </w:r>
    </w:p>
    <w:p>
      <w:pPr>
        <w:pStyle w:val="ListBullet"/>
      </w:pPr>
      <w:r>
        <w:t>Support technical clarification meetings.</w:t>
      </w:r>
    </w:p>
    <w:p>
      <w:pPr>
        <w:pStyle w:val="ListBullet"/>
      </w:pPr>
      <w:r>
        <w:t>Prevent omissions from being overlooked during commercial comparison.</w:t>
      </w:r>
    </w:p>
    <w:p>
      <w:pPr>
        <w:pStyle w:val="ListBullet"/>
      </w:pPr>
      <w:r>
        <w:t>Record evidence supporting the evaluation.</w:t>
      </w:r>
    </w:p>
    <w:p>
      <w:pPr>
        <w:pStyle w:val="ListBullet"/>
      </w:pPr>
      <w:r>
        <w:t>Establish a traceable basis for technical qualification or rejection.</w:t>
      </w:r>
    </w:p>
    <w:p>
      <w:pPr>
        <w:pStyle w:val="ListBullet"/>
      </w:pPr>
      <w:r>
        <w:t>Transfer agreed requirements into the purchase order and project documentation.</w:t>
      </w:r>
    </w:p>
    <w:p>
      <w:r>
        <w:t>Without a matrix, an evaluation may depend on separate quotation documents written in different formats, with different terminology and different levels of detail. Humans have somehow managed to turn comparing three offers into a paperwork-based adventure.</w:t>
      </w:r>
    </w:p>
    <w:p>
      <w:pPr>
        <w:pStyle w:val="Heading2"/>
      </w:pPr>
      <w:r>
        <w:t>3. Where the compliance matrix fits in procurement</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Technical Offers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Requirement-by-Requirement Compliance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Clarifications and Deviation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Qualification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Comparison of Technically Acceptable Offers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Selection and 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Project Verification and Acceptance</w:t>
      </w:r>
    </w:p>
    <w:p/>
    <w:p>
      <w:r>
        <w:t>The sequence may overlap in practice, but the technical baseline and evaluation rules should remain controlled.</w:t>
      </w:r>
    </w:p>
    <w:p>
      <w:r>
        <w:t>A supplier should not be considered technically compliant merely because its quotation contains a general statement such as "all specifications accepted." Important requirements must be evaluated individually.</w:t>
      </w:r>
    </w:p>
    <w:p>
      <w:pPr>
        <w:pStyle w:val="Heading2"/>
      </w:pPr>
      <w:r>
        <w:t>4. Compliance matrix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Compliance matrix</w:t>
            </w:r>
          </w:p>
        </w:tc>
        <w:tc>
          <w:tcPr>
            <w:tcW w:type="dxa" w:w="5400"/>
          </w:tcPr>
          <w:p>
            <w:pPr>
              <w:spacing w:after="0" w:before="0" w:line="240" w:lineRule="auto"/>
              <w:jc w:val="left"/>
            </w:pPr>
            <w:r>
              <w:t>Records compliance against each requirement</w:t>
            </w:r>
          </w:p>
        </w:tc>
      </w:tr>
      <w:tr>
        <w:tc>
          <w:tcPr>
            <w:tcW w:type="dxa" w:w="5400"/>
          </w:tcPr>
          <w:p>
            <w:pPr>
              <w:spacing w:after="0" w:before="0" w:line="240" w:lineRule="auto"/>
              <w:jc w:val="left"/>
            </w:pPr>
            <w:r>
              <w:t>Technical specification</w:t>
            </w:r>
          </w:p>
        </w:tc>
        <w:tc>
          <w:tcPr>
            <w:tcW w:type="dxa" w:w="5400"/>
          </w:tcPr>
          <w:p>
            <w:pPr>
              <w:spacing w:after="0" w:before="0" w:line="240" w:lineRule="auto"/>
              <w:jc w:val="left"/>
            </w:pPr>
            <w:r>
              <w:t>Defines what the customer requires</w:t>
            </w:r>
          </w:p>
        </w:tc>
      </w:tr>
      <w:tr>
        <w:tc>
          <w:tcPr>
            <w:tcW w:type="dxa" w:w="5400"/>
          </w:tcPr>
          <w:p>
            <w:pPr>
              <w:spacing w:after="0" w:before="0" w:line="240" w:lineRule="auto"/>
              <w:jc w:val="left"/>
            </w:pPr>
            <w:r>
              <w:t>Supplier technical offer</w:t>
            </w:r>
          </w:p>
        </w:tc>
        <w:tc>
          <w:tcPr>
            <w:tcW w:type="dxa" w:w="5400"/>
          </w:tcPr>
          <w:p>
            <w:pPr>
              <w:spacing w:after="0" w:before="0" w:line="240" w:lineRule="auto"/>
              <w:jc w:val="left"/>
            </w:pPr>
            <w:r>
              <w:t>Describes the proposed solution</w:t>
            </w:r>
          </w:p>
        </w:tc>
      </w:tr>
      <w:tr>
        <w:tc>
          <w:tcPr>
            <w:tcW w:type="dxa" w:w="5400"/>
          </w:tcPr>
          <w:p>
            <w:pPr>
              <w:spacing w:after="0" w:before="0" w:line="240" w:lineRule="auto"/>
              <w:jc w:val="left"/>
            </w:pPr>
            <w:r>
              <w:t>Technical deviation register</w:t>
            </w:r>
          </w:p>
        </w:tc>
        <w:tc>
          <w:tcPr>
            <w:tcW w:type="dxa" w:w="5400"/>
          </w:tcPr>
          <w:p>
            <w:pPr>
              <w:spacing w:after="0" w:before="0" w:line="240" w:lineRule="auto"/>
              <w:jc w:val="left"/>
            </w:pPr>
            <w:r>
              <w:t>Records differences from the requirement baseline</w:t>
            </w:r>
          </w:p>
        </w:tc>
      </w:tr>
      <w:tr>
        <w:tc>
          <w:tcPr>
            <w:tcW w:type="dxa" w:w="5400"/>
          </w:tcPr>
          <w:p>
            <w:pPr>
              <w:spacing w:after="0" w:before="0" w:line="240" w:lineRule="auto"/>
              <w:jc w:val="left"/>
            </w:pPr>
            <w:r>
              <w:t>Technical clarification register</w:t>
            </w:r>
          </w:p>
        </w:tc>
        <w:tc>
          <w:tcPr>
            <w:tcW w:type="dxa" w:w="5400"/>
          </w:tcPr>
          <w:p>
            <w:pPr>
              <w:spacing w:after="0" w:before="0" w:line="240" w:lineRule="auto"/>
              <w:jc w:val="left"/>
            </w:pPr>
            <w:r>
              <w:t>Records questions, answers, and unresolved ambiguities</w:t>
            </w:r>
          </w:p>
        </w:tc>
      </w:tr>
      <w:tr>
        <w:tc>
          <w:tcPr>
            <w:tcW w:type="dxa" w:w="5400"/>
          </w:tcPr>
          <w:p>
            <w:pPr>
              <w:spacing w:after="0" w:before="0" w:line="240" w:lineRule="auto"/>
              <w:jc w:val="left"/>
            </w:pPr>
            <w:r>
              <w:t>Technical bid evaluation</w:t>
            </w:r>
          </w:p>
        </w:tc>
        <w:tc>
          <w:tcPr>
            <w:tcW w:type="dxa" w:w="5400"/>
          </w:tcPr>
          <w:p>
            <w:pPr>
              <w:spacing w:after="0" w:before="0" w:line="240" w:lineRule="auto"/>
              <w:jc w:val="left"/>
            </w:pPr>
            <w:r>
              <w:t>Assesses the overall technical suitability of the offer</w:t>
            </w:r>
          </w:p>
        </w:tc>
      </w:tr>
      <w:tr>
        <w:tc>
          <w:tcPr>
            <w:tcW w:type="dxa" w:w="5400"/>
          </w:tcPr>
          <w:p>
            <w:pPr>
              <w:spacing w:after="0" w:before="0" w:line="240" w:lineRule="auto"/>
              <w:jc w:val="left"/>
            </w:pPr>
            <w:r>
              <w:t>Commercial bid comparison</w:t>
            </w:r>
          </w:p>
        </w:tc>
        <w:tc>
          <w:tcPr>
            <w:tcW w:type="dxa" w:w="5400"/>
          </w:tcPr>
          <w:p>
            <w:pPr>
              <w:spacing w:after="0" w:before="0" w:line="240" w:lineRule="auto"/>
              <w:jc w:val="left"/>
            </w:pPr>
            <w:r>
              <w:t>Compares prices and commercial conditions</w:t>
            </w:r>
          </w:p>
        </w:tc>
      </w:tr>
      <w:tr>
        <w:tc>
          <w:tcPr>
            <w:tcW w:type="dxa" w:w="5400"/>
          </w:tcPr>
          <w:p>
            <w:pPr>
              <w:spacing w:after="0" w:before="0" w:line="240" w:lineRule="auto"/>
              <w:jc w:val="left"/>
            </w:pPr>
            <w:r>
              <w:t>Risk register</w:t>
            </w:r>
          </w:p>
        </w:tc>
        <w:tc>
          <w:tcPr>
            <w:tcW w:type="dxa" w:w="5400"/>
          </w:tcPr>
          <w:p>
            <w:pPr>
              <w:spacing w:after="0" w:before="0" w:line="240" w:lineRule="auto"/>
              <w:jc w:val="left"/>
            </w:pPr>
            <w:r>
              <w:t>Records risks, impacts, owners, and mitigation actions</w:t>
            </w:r>
          </w:p>
        </w:tc>
      </w:tr>
      <w:tr>
        <w:tc>
          <w:tcPr>
            <w:tcW w:type="dxa" w:w="5400"/>
          </w:tcPr>
          <w:p>
            <w:pPr>
              <w:spacing w:after="0" w:before="0" w:line="240" w:lineRule="auto"/>
              <w:jc w:val="left"/>
            </w:pPr>
            <w:r>
              <w:t>Purchase order</w:t>
            </w:r>
          </w:p>
        </w:tc>
        <w:tc>
          <w:tcPr>
            <w:tcW w:type="dxa" w:w="5400"/>
          </w:tcPr>
          <w:p>
            <w:pPr>
              <w:spacing w:after="0" w:before="0" w:line="240" w:lineRule="auto"/>
              <w:jc w:val="left"/>
            </w:pPr>
            <w:r>
              <w:t>Establishes the contractual order and agreed scope</w:t>
            </w:r>
          </w:p>
        </w:tc>
      </w:tr>
    </w:tbl>
    <w:p/>
    <w:p>
      <w:r>
        <w:t>These documents support one another but should not be treated as interchangeable.</w:t>
      </w:r>
    </w:p>
    <w:p>
      <w:r>
        <w:t>A compliance matrix may identify a deviation, for example, but the deviation register should capture its detailed technical impact, approval status, and final disposition.</w:t>
      </w:r>
    </w:p>
    <w:p>
      <w:pPr>
        <w:pStyle w:val="Heading2"/>
      </w:pPr>
      <w:r>
        <w:t>5. Typical structure of a compliance matrix</w:t>
      </w:r>
    </w:p>
    <w:p>
      <w:r>
        <w:t>A useful compliance matrix includes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Unique identifier for traceability</w:t>
            </w:r>
          </w:p>
        </w:tc>
      </w:tr>
      <w:tr>
        <w:tc>
          <w:tcPr>
            <w:tcW w:type="dxa" w:w="5400"/>
          </w:tcPr>
          <w:p>
            <w:pPr>
              <w:spacing w:after="0" w:before="0" w:line="240" w:lineRule="auto"/>
              <w:jc w:val="left"/>
            </w:pPr>
            <w:r>
              <w:t>Requirement description</w:t>
            </w:r>
          </w:p>
        </w:tc>
        <w:tc>
          <w:tcPr>
            <w:tcW w:type="dxa" w:w="5400"/>
          </w:tcPr>
          <w:p>
            <w:pPr>
              <w:spacing w:after="0" w:before="0" w:line="240" w:lineRule="auto"/>
              <w:jc w:val="left"/>
            </w:pPr>
            <w:r>
              <w:t>Exact or controlled summary of the requirement</w:t>
            </w:r>
          </w:p>
        </w:tc>
      </w:tr>
      <w:tr>
        <w:tc>
          <w:tcPr>
            <w:tcW w:type="dxa" w:w="5400"/>
          </w:tcPr>
          <w:p>
            <w:pPr>
              <w:spacing w:after="0" w:before="0" w:line="240" w:lineRule="auto"/>
              <w:jc w:val="left"/>
            </w:pPr>
            <w:r>
              <w:t>Mandatory or desirable</w:t>
            </w:r>
          </w:p>
        </w:tc>
        <w:tc>
          <w:tcPr>
            <w:tcW w:type="dxa" w:w="5400"/>
          </w:tcPr>
          <w:p>
            <w:pPr>
              <w:spacing w:after="0" w:before="0" w:line="240" w:lineRule="auto"/>
              <w:jc w:val="left"/>
            </w:pPr>
            <w:r>
              <w:t>Indicates the requirement's evaluation importance</w:t>
            </w:r>
          </w:p>
        </w:tc>
      </w:tr>
      <w:tr>
        <w:tc>
          <w:tcPr>
            <w:tcW w:type="dxa" w:w="5400"/>
          </w:tcPr>
          <w:p>
            <w:pPr>
              <w:spacing w:after="0" w:before="0" w:line="240" w:lineRule="auto"/>
              <w:jc w:val="left"/>
            </w:pPr>
            <w:r>
              <w:t>Supplier response</w:t>
            </w:r>
          </w:p>
        </w:tc>
        <w:tc>
          <w:tcPr>
            <w:tcW w:type="dxa" w:w="5400"/>
          </w:tcPr>
          <w:p>
            <w:pPr>
              <w:spacing w:after="0" w:before="0" w:line="240" w:lineRule="auto"/>
              <w:jc w:val="left"/>
            </w:pPr>
            <w:r>
              <w:t>Supplier's declared compliance status</w:t>
            </w:r>
          </w:p>
        </w:tc>
      </w:tr>
      <w:tr>
        <w:tc>
          <w:tcPr>
            <w:tcW w:type="dxa" w:w="5400"/>
          </w:tcPr>
          <w:p>
            <w:pPr>
              <w:spacing w:after="0" w:before="0" w:line="240" w:lineRule="auto"/>
              <w:jc w:val="left"/>
            </w:pPr>
            <w:r>
              <w:t>Proposed solution</w:t>
            </w:r>
          </w:p>
        </w:tc>
        <w:tc>
          <w:tcPr>
            <w:tcW w:type="dxa" w:w="5400"/>
          </w:tcPr>
          <w:p>
            <w:pPr>
              <w:spacing w:after="0" w:before="0" w:line="240" w:lineRule="auto"/>
              <w:jc w:val="left"/>
            </w:pPr>
            <w:r>
              <w:t>Relevant hardware, software, method, or configuration</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Quotation section, datasheet, drawing, or other evidence</w:t>
            </w:r>
          </w:p>
        </w:tc>
      </w:tr>
      <w:tr>
        <w:tc>
          <w:tcPr>
            <w:tcW w:type="dxa" w:w="5400"/>
          </w:tcPr>
          <w:p>
            <w:pPr>
              <w:spacing w:after="0" w:before="0" w:line="240" w:lineRule="auto"/>
              <w:jc w:val="left"/>
            </w:pPr>
            <w:r>
              <w:t>Evaluator status</w:t>
            </w:r>
          </w:p>
        </w:tc>
        <w:tc>
          <w:tcPr>
            <w:tcW w:type="dxa" w:w="5400"/>
          </w:tcPr>
          <w:p>
            <w:pPr>
              <w:spacing w:after="0" w:before="0" w:line="240" w:lineRule="auto"/>
              <w:jc w:val="left"/>
            </w:pPr>
            <w:r>
              <w:t>Customer's independently assessed result</w:t>
            </w:r>
          </w:p>
        </w:tc>
      </w:tr>
      <w:tr>
        <w:tc>
          <w:tcPr>
            <w:tcW w:type="dxa" w:w="5400"/>
          </w:tcPr>
          <w:p>
            <w:pPr>
              <w:spacing w:after="0" w:before="0" w:line="240" w:lineRule="auto"/>
              <w:jc w:val="left"/>
            </w:pPr>
            <w:r>
              <w:t>Deviation reference</w:t>
            </w:r>
          </w:p>
        </w:tc>
        <w:tc>
          <w:tcPr>
            <w:tcW w:type="dxa" w:w="5400"/>
          </w:tcPr>
          <w:p>
            <w:pPr>
              <w:spacing w:after="0" w:before="0" w:line="240" w:lineRule="auto"/>
              <w:jc w:val="left"/>
            </w:pPr>
            <w:r>
              <w:t>Link to a deviation record where applicable</w:t>
            </w:r>
          </w:p>
        </w:tc>
      </w:tr>
      <w:tr>
        <w:tc>
          <w:tcPr>
            <w:tcW w:type="dxa" w:w="5400"/>
          </w:tcPr>
          <w:p>
            <w:pPr>
              <w:spacing w:after="0" w:before="0" w:line="240" w:lineRule="auto"/>
              <w:jc w:val="left"/>
            </w:pPr>
            <w:r>
              <w:t>Clarification reference</w:t>
            </w:r>
          </w:p>
        </w:tc>
        <w:tc>
          <w:tcPr>
            <w:tcW w:type="dxa" w:w="5400"/>
          </w:tcPr>
          <w:p>
            <w:pPr>
              <w:spacing w:after="0" w:before="0" w:line="240" w:lineRule="auto"/>
              <w:jc w:val="left"/>
            </w:pPr>
            <w:r>
              <w:t>Link to an open or resolved question</w:t>
            </w:r>
          </w:p>
        </w:tc>
      </w:tr>
      <w:tr>
        <w:tc>
          <w:tcPr>
            <w:tcW w:type="dxa" w:w="5400"/>
          </w:tcPr>
          <w:p>
            <w:pPr>
              <w:spacing w:after="0" w:before="0" w:line="240" w:lineRule="auto"/>
              <w:jc w:val="left"/>
            </w:pPr>
            <w:r>
              <w:t>Remarks</w:t>
            </w:r>
          </w:p>
        </w:tc>
        <w:tc>
          <w:tcPr>
            <w:tcW w:type="dxa" w:w="5400"/>
          </w:tcPr>
          <w:p>
            <w:pPr>
              <w:spacing w:after="0" w:before="0" w:line="240" w:lineRule="auto"/>
              <w:jc w:val="left"/>
            </w:pPr>
            <w:r>
              <w:t>Technical reasoning and evaluation notes</w:t>
            </w:r>
          </w:p>
        </w:tc>
      </w:tr>
      <w:tr>
        <w:tc>
          <w:tcPr>
            <w:tcW w:type="dxa" w:w="5400"/>
          </w:tcPr>
          <w:p>
            <w:pPr>
              <w:spacing w:after="0" w:before="0" w:line="240" w:lineRule="auto"/>
              <w:jc w:val="left"/>
            </w:pPr>
            <w:r>
              <w:t>Final disposition</w:t>
            </w:r>
          </w:p>
        </w:tc>
        <w:tc>
          <w:tcPr>
            <w:tcW w:type="dxa" w:w="5400"/>
          </w:tcPr>
          <w:p>
            <w:pPr>
              <w:spacing w:after="0" w:before="0" w:line="240" w:lineRule="auto"/>
              <w:jc w:val="left"/>
            </w:pPr>
            <w:r>
              <w:t>Accepted, rejected, conditionally accepted, or pending under the evaluation rules</w:t>
            </w:r>
          </w:p>
        </w:tc>
      </w:tr>
    </w:tbl>
    <w:p/>
    <w:p>
      <w:r>
        <w:t>For a small purchase, some columns may be combined. For complex automation projects, keeping supplier declarations separate from the customer's assessment is particularly important.</w:t>
      </w:r>
    </w:p>
    <w:p>
      <w:pPr>
        <w:pStyle w:val="Heading2"/>
      </w:pPr>
      <w:r>
        <w:t>6. Define compliance statuses before evaluation</w:t>
      </w:r>
    </w:p>
    <w:p>
      <w:r>
        <w:t>Status definitions must be agreed before reviewing the offers. Otherwise, one evaluator may interpret "partial" as acceptable while another treats it as a failure.</w:t>
      </w:r>
    </w:p>
    <w:p>
      <w:r>
        <w:t>A practical status scheme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action</w:t>
            </w:r>
          </w:p>
        </w:tc>
      </w:tr>
      <w:tr>
        <w:tc>
          <w:tcPr>
            <w:tcW w:type="dxa" w:w="3600"/>
          </w:tcPr>
          <w:p>
            <w:pPr>
              <w:spacing w:after="0" w:before="0" w:line="240" w:lineRule="auto"/>
              <w:jc w:val="left"/>
            </w:pPr>
            <w:r>
              <w:t>C - Compliant</w:t>
            </w:r>
          </w:p>
        </w:tc>
        <w:tc>
          <w:tcPr>
            <w:tcW w:type="dxa" w:w="3600"/>
          </w:tcPr>
          <w:p>
            <w:pPr>
              <w:spacing w:after="0" w:before="0" w:line="240" w:lineRule="auto"/>
              <w:jc w:val="left"/>
            </w:pPr>
            <w:r>
              <w:t>Meets the requirement with adequate evidence</w:t>
            </w:r>
          </w:p>
        </w:tc>
        <w:tc>
          <w:tcPr>
            <w:tcW w:type="dxa" w:w="3600"/>
          </w:tcPr>
          <w:p>
            <w:pPr>
              <w:spacing w:after="0" w:before="0" w:line="240" w:lineRule="auto"/>
              <w:jc w:val="left"/>
            </w:pPr>
            <w:r>
              <w:t>Record the evidence and proceed</w:t>
            </w:r>
          </w:p>
        </w:tc>
      </w:tr>
      <w:tr>
        <w:tc>
          <w:tcPr>
            <w:tcW w:type="dxa" w:w="3600"/>
          </w:tcPr>
          <w:p>
            <w:pPr>
              <w:spacing w:after="0" w:before="0" w:line="240" w:lineRule="auto"/>
              <w:jc w:val="left"/>
            </w:pPr>
            <w:r>
              <w:t>PC - Partially compliant</w:t>
            </w:r>
          </w:p>
        </w:tc>
        <w:tc>
          <w:tcPr>
            <w:tcW w:type="dxa" w:w="3600"/>
          </w:tcPr>
          <w:p>
            <w:pPr>
              <w:spacing w:after="0" w:before="0" w:line="240" w:lineRule="auto"/>
              <w:jc w:val="left"/>
            </w:pPr>
            <w:r>
              <w:t>Meets some but not all aspects</w:t>
            </w:r>
          </w:p>
        </w:tc>
        <w:tc>
          <w:tcPr>
            <w:tcW w:type="dxa" w:w="3600"/>
          </w:tcPr>
          <w:p>
            <w:pPr>
              <w:spacing w:after="0" w:before="0" w:line="240" w:lineRule="auto"/>
              <w:jc w:val="left"/>
            </w:pPr>
            <w:r>
              <w:t>Identify the gap and evaluate its impact</w:t>
            </w:r>
          </w:p>
        </w:tc>
      </w:tr>
      <w:tr>
        <w:tc>
          <w:tcPr>
            <w:tcW w:type="dxa" w:w="3600"/>
          </w:tcPr>
          <w:p>
            <w:pPr>
              <w:spacing w:after="0" w:before="0" w:line="240" w:lineRule="auto"/>
              <w:jc w:val="left"/>
            </w:pPr>
            <w:r>
              <w:t>NC - Non-compliant</w:t>
            </w:r>
          </w:p>
        </w:tc>
        <w:tc>
          <w:tcPr>
            <w:tcW w:type="dxa" w:w="3600"/>
          </w:tcPr>
          <w:p>
            <w:pPr>
              <w:spacing w:after="0" w:before="0" w:line="240" w:lineRule="auto"/>
              <w:jc w:val="left"/>
            </w:pPr>
            <w:r>
              <w:t>Does not meet the requirement</w:t>
            </w:r>
          </w:p>
        </w:tc>
        <w:tc>
          <w:tcPr>
            <w:tcW w:type="dxa" w:w="3600"/>
          </w:tcPr>
          <w:p>
            <w:pPr>
              <w:spacing w:after="0" w:before="0" w:line="240" w:lineRule="auto"/>
              <w:jc w:val="left"/>
            </w:pPr>
            <w:r>
              <w:t>Record the failure and apply the approved qualification rules</w:t>
            </w:r>
          </w:p>
        </w:tc>
      </w:tr>
      <w:tr>
        <w:tc>
          <w:tcPr>
            <w:tcW w:type="dxa" w:w="3600"/>
          </w:tcPr>
          <w:p>
            <w:pPr>
              <w:spacing w:after="0" w:before="0" w:line="240" w:lineRule="auto"/>
              <w:jc w:val="left"/>
            </w:pPr>
            <w:r>
              <w:t>D - Deviation proposed</w:t>
            </w:r>
          </w:p>
        </w:tc>
        <w:tc>
          <w:tcPr>
            <w:tcW w:type="dxa" w:w="3600"/>
          </w:tcPr>
          <w:p>
            <w:pPr>
              <w:spacing w:after="0" w:before="0" w:line="240" w:lineRule="auto"/>
              <w:jc w:val="left"/>
            </w:pPr>
            <w:r>
              <w:t>Supplier proposes an alternative or exception</w:t>
            </w:r>
          </w:p>
        </w:tc>
        <w:tc>
          <w:tcPr>
            <w:tcW w:type="dxa" w:w="3600"/>
          </w:tcPr>
          <w:p>
            <w:pPr>
              <w:spacing w:after="0" w:before="0" w:line="240" w:lineRule="auto"/>
              <w:jc w:val="left"/>
            </w:pPr>
            <w:r>
              <w:t>Evaluate through the deviation process</w:t>
            </w:r>
          </w:p>
        </w:tc>
      </w:tr>
      <w:tr>
        <w:tc>
          <w:tcPr>
            <w:tcW w:type="dxa" w:w="3600"/>
          </w:tcPr>
          <w:p>
            <w:pPr>
              <w:spacing w:after="0" w:before="0" w:line="240" w:lineRule="auto"/>
              <w:jc w:val="left"/>
            </w:pPr>
            <w:r>
              <w:t>CL - Clarification required</w:t>
            </w:r>
          </w:p>
        </w:tc>
        <w:tc>
          <w:tcPr>
            <w:tcW w:type="dxa" w:w="3600"/>
          </w:tcPr>
          <w:p>
            <w:pPr>
              <w:spacing w:after="0" w:before="0" w:line="240" w:lineRule="auto"/>
              <w:jc w:val="left"/>
            </w:pPr>
            <w:r>
              <w:t>Response is ambiguous or insufficient</w:t>
            </w:r>
          </w:p>
        </w:tc>
        <w:tc>
          <w:tcPr>
            <w:tcW w:type="dxa" w:w="3600"/>
          </w:tcPr>
          <w:p>
            <w:pPr>
              <w:spacing w:after="0" w:before="0" w:line="240" w:lineRule="auto"/>
              <w:jc w:val="left"/>
            </w:pPr>
            <w:r>
              <w:t>Obtain a documented answer</w:t>
            </w:r>
          </w:p>
        </w:tc>
      </w:tr>
      <w:tr>
        <w:tc>
          <w:tcPr>
            <w:tcW w:type="dxa" w:w="3600"/>
          </w:tcPr>
          <w:p>
            <w:pPr>
              <w:spacing w:after="0" w:before="0" w:line="240" w:lineRule="auto"/>
              <w:jc w:val="left"/>
            </w:pPr>
            <w:r>
              <w:t>NE - No evidence</w:t>
            </w:r>
          </w:p>
        </w:tc>
        <w:tc>
          <w:tcPr>
            <w:tcW w:type="dxa" w:w="3600"/>
          </w:tcPr>
          <w:p>
            <w:pPr>
              <w:spacing w:after="0" w:before="0" w:line="240" w:lineRule="auto"/>
              <w:jc w:val="left"/>
            </w:pPr>
            <w:r>
              <w:t>Compliance is claimed or implied but not adequately supported</w:t>
            </w:r>
          </w:p>
        </w:tc>
        <w:tc>
          <w:tcPr>
            <w:tcW w:type="dxa" w:w="3600"/>
          </w:tcPr>
          <w:p>
            <w:pPr>
              <w:spacing w:after="0" w:before="0" w:line="240" w:lineRule="auto"/>
              <w:jc w:val="left"/>
            </w:pPr>
            <w:r>
              <w:t>Request evidence or retain the unresolved status</w:t>
            </w:r>
          </w:p>
        </w:tc>
      </w:tr>
      <w:tr>
        <w:tc>
          <w:tcPr>
            <w:tcW w:type="dxa" w:w="3600"/>
          </w:tcPr>
          <w:p>
            <w:pPr>
              <w:spacing w:after="0" w:before="0" w:line="240" w:lineRule="auto"/>
              <w:jc w:val="left"/>
            </w:pPr>
            <w:r>
              <w:t>NA - Not applicable</w:t>
            </w:r>
          </w:p>
        </w:tc>
        <w:tc>
          <w:tcPr>
            <w:tcW w:type="dxa" w:w="3600"/>
          </w:tcPr>
          <w:p>
            <w:pPr>
              <w:spacing w:after="0" w:before="0" w:line="240" w:lineRule="auto"/>
              <w:jc w:val="left"/>
            </w:pPr>
            <w:r>
              <w:t>Requirement genuinely does not apply</w:t>
            </w:r>
          </w:p>
        </w:tc>
        <w:tc>
          <w:tcPr>
            <w:tcW w:type="dxa" w:w="3600"/>
          </w:tcPr>
          <w:p>
            <w:pPr>
              <w:spacing w:after="0" w:before="0" w:line="240" w:lineRule="auto"/>
              <w:jc w:val="left"/>
            </w:pPr>
            <w:r>
              <w:t>Record the justification and obtain approval where needed</w:t>
            </w:r>
          </w:p>
        </w:tc>
      </w:tr>
    </w:tbl>
    <w:p/>
    <w:p>
      <w:r>
        <w:t xml:space="preserve">A status such as </w:t>
      </w:r>
      <w:r>
        <w:rPr>
          <w:rFonts w:ascii="Consolas" w:hAnsi="Consolas"/>
          <w:color w:val="333333"/>
          <w:sz w:val="19"/>
          <w:shd w:val="clear" w:color="auto" w:fill="EFEFEF"/>
        </w:rPr>
        <w:t>NE</w:t>
      </w:r>
      <w:r>
        <w:t xml:space="preserve"> is useful because a supplier's silence is not proof of compliance. Likewise, </w:t>
      </w:r>
      <w:r>
        <w:rPr>
          <w:rFonts w:ascii="Consolas" w:hAnsi="Consolas"/>
          <w:color w:val="333333"/>
          <w:sz w:val="19"/>
          <w:shd w:val="clear" w:color="auto" w:fill="EFEFEF"/>
        </w:rPr>
        <w:t>NA</w:t>
      </w:r>
      <w:r>
        <w:t xml:space="preserve"> should not be used simply because a supplier omitted an item.</w:t>
      </w:r>
    </w:p>
    <w:p>
      <w:r>
        <w:t>Important distinction: a supplier's declared status and the customer's evaluated status may differ. A supplier can mark a requirement compliant while the evaluator finds that the supporting datasheet does not demonstrate compliance.</w:t>
      </w:r>
    </w:p>
    <w:p>
      <w:pPr>
        <w:pStyle w:val="Heading2"/>
      </w:pPr>
      <w:r>
        <w:t>7. Mandatory versus desirable requirements</w:t>
      </w:r>
    </w:p>
    <w:p>
      <w:r>
        <w:t>Requirements should be classified before bids are opened or evaluated, according to the organization's procurement process.</w:t>
      </w:r>
    </w:p>
    <w:p>
      <w:pPr>
        <w:pStyle w:val="Heading3"/>
      </w:pPr>
      <w:r>
        <w:t>7.1 Mandatory requirements</w:t>
      </w:r>
    </w:p>
    <w:p>
      <w:r>
        <w:t>These are essential contractual, technical, operational, safety, regulatory, or project requirements.</w:t>
      </w:r>
    </w:p>
    <w:p>
      <w:r>
        <w:t>Examples:</w:t>
      </w:r>
    </w:p>
    <w:p>
      <w:pPr>
        <w:pStyle w:val="ListBullet"/>
      </w:pPr>
      <w:r>
        <w:t>Required machine safety functions.</w:t>
      </w:r>
    </w:p>
    <w:p>
      <w:pPr>
        <w:pStyle w:val="ListBullet"/>
      </w:pPr>
      <w:r>
        <w:t>Mandatory voltage and frequency compatibility.</w:t>
      </w:r>
    </w:p>
    <w:p>
      <w:pPr>
        <w:pStyle w:val="ListBullet"/>
      </w:pPr>
      <w:r>
        <w:t>Required production performance.</w:t>
      </w:r>
    </w:p>
    <w:p>
      <w:pPr>
        <w:pStyle w:val="ListBullet"/>
      </w:pPr>
      <w:r>
        <w:t>Essential integration with existing equipment.</w:t>
      </w:r>
    </w:p>
    <w:p>
      <w:pPr>
        <w:pStyle w:val="ListBullet"/>
      </w:pPr>
      <w:r>
        <w:t>Required communication protocol.</w:t>
      </w:r>
    </w:p>
    <w:p>
      <w:pPr>
        <w:pStyle w:val="ListBullet"/>
      </w:pPr>
      <w:r>
        <w:t>Mandatory inspection or certification.</w:t>
      </w:r>
    </w:p>
    <w:p>
      <w:pPr>
        <w:pStyle w:val="ListBullet"/>
      </w:pPr>
      <w:r>
        <w:t>Required data traceability.</w:t>
      </w:r>
    </w:p>
    <w:p>
      <w:pPr>
        <w:pStyle w:val="ListBullet"/>
      </w:pPr>
      <w:r>
        <w:t>Essential delivery or installation obligations.</w:t>
      </w:r>
    </w:p>
    <w:p>
      <w:r>
        <w:t>Failure to meet a mandatory requirement may disqualify a bid, depending on the RFQ and applicable procurement rules.</w:t>
      </w:r>
    </w:p>
    <w:p>
      <w:pPr>
        <w:pStyle w:val="Heading3"/>
      </w:pPr>
      <w:r>
        <w:t>7.2 Desirable requirements</w:t>
      </w:r>
    </w:p>
    <w:p>
      <w:r>
        <w:t>These provide additional value but are not essential to the basic acceptance of the offer.</w:t>
      </w:r>
    </w:p>
    <w:p>
      <w:r>
        <w:t>Examples:</w:t>
      </w:r>
    </w:p>
    <w:p>
      <w:pPr>
        <w:pStyle w:val="ListBullet"/>
      </w:pPr>
      <w:r>
        <w:t>Additional diagnostic screens.</w:t>
      </w:r>
    </w:p>
    <w:p>
      <w:pPr>
        <w:pStyle w:val="ListBullet"/>
      </w:pPr>
      <w:r>
        <w:t>Expanded historical trending.</w:t>
      </w:r>
    </w:p>
    <w:p>
      <w:pPr>
        <w:pStyle w:val="ListBullet"/>
      </w:pPr>
      <w:r>
        <w:t>Extra spare capacity.</w:t>
      </w:r>
    </w:p>
    <w:p>
      <w:pPr>
        <w:pStyle w:val="ListBullet"/>
      </w:pPr>
      <w:r>
        <w:t>Optional remote diagnostic capability.</w:t>
      </w:r>
    </w:p>
    <w:p>
      <w:pPr>
        <w:pStyle w:val="ListBullet"/>
      </w:pPr>
      <w:r>
        <w:t>Additional training modules.</w:t>
      </w:r>
    </w:p>
    <w:p>
      <w:r>
        <w:t>Desirable requirements can be scored or used to distinguish otherwise acceptable offers.</w:t>
      </w:r>
    </w:p>
    <w:p>
      <w:r>
        <w:t>Do not quietly convert a desirable feature into a mandatory condition after bids have been received. That would make the evaluation baseline a moving target.</w:t>
      </w:r>
    </w:p>
    <w:p>
      <w:pPr>
        <w:pStyle w:val="Heading2"/>
      </w:pPr>
      <w:r>
        <w:t>8. How to prepare a compliance matrix</w:t>
      </w:r>
    </w:p>
    <w:p>
      <w:pPr>
        <w:pStyle w:val="Heading3"/>
      </w:pPr>
      <w:r>
        <w:t>Step 1: Establish the requirement baseline</w:t>
      </w:r>
    </w:p>
    <w:p>
      <w:r>
        <w:t>Use the approved RFQ, technical specification, drawings, functional requirements, and applicable standards.</w:t>
      </w:r>
    </w:p>
    <w:p>
      <w:r>
        <w:t>Assign each requirement a unique ID, such as:</w:t>
      </w:r>
    </w:p>
    <w:p>
      <w:pPr>
        <w:pStyle w:val="ListBullet"/>
      </w:pPr>
      <w:r>
        <w:rPr>
          <w:rFonts w:ascii="Consolas" w:hAnsi="Consolas"/>
          <w:color w:val="333333"/>
          <w:sz w:val="19"/>
          <w:shd w:val="clear" w:color="auto" w:fill="EFEFEF"/>
        </w:rPr>
        <w:t>PLC-001</w:t>
      </w:r>
    </w:p>
    <w:p>
      <w:pPr>
        <w:pStyle w:val="ListBullet"/>
      </w:pPr>
      <w:r>
        <w:rPr>
          <w:rFonts w:ascii="Consolas" w:hAnsi="Consolas"/>
          <w:color w:val="333333"/>
          <w:sz w:val="19"/>
          <w:shd w:val="clear" w:color="auto" w:fill="EFEFEF"/>
        </w:rPr>
        <w:t>HMI-003</w:t>
      </w:r>
    </w:p>
    <w:p>
      <w:pPr>
        <w:pStyle w:val="ListBullet"/>
      </w:pPr>
      <w:r>
        <w:rPr>
          <w:rFonts w:ascii="Consolas" w:hAnsi="Consolas"/>
          <w:color w:val="333333"/>
          <w:sz w:val="19"/>
          <w:shd w:val="clear" w:color="auto" w:fill="EFEFEF"/>
        </w:rPr>
        <w:t>SAFE-002</w:t>
      </w:r>
    </w:p>
    <w:p>
      <w:pPr>
        <w:pStyle w:val="ListBullet"/>
      </w:pPr>
      <w:r>
        <w:rPr>
          <w:rFonts w:ascii="Consolas" w:hAnsi="Consolas"/>
          <w:color w:val="333333"/>
          <w:sz w:val="19"/>
          <w:shd w:val="clear" w:color="auto" w:fill="EFEFEF"/>
        </w:rPr>
        <w:t>PERF-004</w:t>
      </w:r>
    </w:p>
    <w:p>
      <w:pPr>
        <w:pStyle w:val="ListBullet"/>
      </w:pPr>
      <w:r>
        <w:rPr>
          <w:rFonts w:ascii="Consolas" w:hAnsi="Consolas"/>
          <w:color w:val="333333"/>
          <w:sz w:val="19"/>
          <w:shd w:val="clear" w:color="auto" w:fill="EFEFEF"/>
        </w:rPr>
        <w:t>DOC-006</w:t>
      </w:r>
    </w:p>
    <w:p>
      <w:r>
        <w:t>The identifiers should remain stable across the compliance matrix, clarification register, deviation register, and final contract documents.</w:t>
      </w:r>
    </w:p>
    <w:p>
      <w:pPr>
        <w:pStyle w:val="Heading3"/>
      </w:pPr>
      <w:r>
        <w:t>Step 2: Make requirements independently assessable</w:t>
      </w:r>
    </w:p>
    <w:p>
      <w:r>
        <w:t>Avoid combining unrelated requirements into one row.</w:t>
      </w:r>
    </w:p>
    <w:p>
      <w:r>
        <w:t>Weak requirement:</w:t>
      </w:r>
    </w:p>
    <w:p>
      <w:r>
        <w:t>"PLC shall have sufficient I/O, Ethernet, diagnostics, and expansion capability."</w:t>
      </w:r>
    </w:p>
    <w:p>
      <w:r>
        <w:t>Better structure:</w:t>
      </w:r>
    </w:p>
    <w:p>
      <w:pPr>
        <w:pStyle w:val="ListBullet"/>
      </w:pPr>
      <w:r>
        <w:rPr>
          <w:rFonts w:ascii="Consolas" w:hAnsi="Consolas"/>
          <w:color w:val="333333"/>
          <w:sz w:val="19"/>
          <w:shd w:val="clear" w:color="auto" w:fill="EFEFEF"/>
        </w:rPr>
        <w:t>PLC-001</w:t>
      </w:r>
      <w:r>
        <w:t>: Required CPU family and processing capability.</w:t>
      </w:r>
    </w:p>
    <w:p>
      <w:pPr>
        <w:pStyle w:val="ListBullet"/>
      </w:pPr>
      <w:r>
        <w:rPr>
          <w:rFonts w:ascii="Consolas" w:hAnsi="Consolas"/>
          <w:color w:val="333333"/>
          <w:sz w:val="19"/>
          <w:shd w:val="clear" w:color="auto" w:fill="EFEFEF"/>
        </w:rPr>
        <w:t>PLC-002</w:t>
      </w:r>
      <w:r>
        <w:t>: Required digital and analog I/O capacity.</w:t>
      </w:r>
    </w:p>
    <w:p>
      <w:pPr>
        <w:pStyle w:val="ListBullet"/>
      </w:pPr>
      <w:r>
        <w:rPr>
          <w:rFonts w:ascii="Consolas" w:hAnsi="Consolas"/>
          <w:color w:val="333333"/>
          <w:sz w:val="19"/>
          <w:shd w:val="clear" w:color="auto" w:fill="EFEFEF"/>
        </w:rPr>
        <w:t>PLC-003</w:t>
      </w:r>
      <w:r>
        <w:t>: Required industrial Ethernet interface.</w:t>
      </w:r>
    </w:p>
    <w:p>
      <w:pPr>
        <w:pStyle w:val="ListBullet"/>
      </w:pPr>
      <w:r>
        <w:rPr>
          <w:rFonts w:ascii="Consolas" w:hAnsi="Consolas"/>
          <w:color w:val="333333"/>
          <w:sz w:val="19"/>
          <w:shd w:val="clear" w:color="auto" w:fill="EFEFEF"/>
        </w:rPr>
        <w:t>PLC-004</w:t>
      </w:r>
      <w:r>
        <w:t>: Required diagnostic capabilities.</w:t>
      </w:r>
    </w:p>
    <w:p>
      <w:pPr>
        <w:pStyle w:val="ListBullet"/>
      </w:pPr>
      <w:r>
        <w:rPr>
          <w:rFonts w:ascii="Consolas" w:hAnsi="Consolas"/>
          <w:color w:val="333333"/>
          <w:sz w:val="19"/>
          <w:shd w:val="clear" w:color="auto" w:fill="EFEFEF"/>
        </w:rPr>
        <w:t>PLC-005</w:t>
      </w:r>
      <w:r>
        <w:t>: Required expansion capacity.</w:t>
      </w:r>
    </w:p>
    <w:p>
      <w:r>
        <w:t>Separate rows make partial compliance and omissions easier to detect.</w:t>
      </w:r>
    </w:p>
    <w:p>
      <w:pPr>
        <w:pStyle w:val="Heading3"/>
      </w:pPr>
      <w:r>
        <w:t>Step 3: Extract supplier responses</w:t>
      </w:r>
    </w:p>
    <w:p>
      <w:r>
        <w:t>Review the supplier's technical offer and record the relevant response for each requirement.</w:t>
      </w:r>
    </w:p>
    <w:p>
      <w:r>
        <w:t>Evidence may include:</w:t>
      </w:r>
    </w:p>
    <w:p>
      <w:pPr>
        <w:pStyle w:val="ListBullet"/>
      </w:pPr>
      <w:r>
        <w:t>Technical datasheets.</w:t>
      </w:r>
    </w:p>
    <w:p>
      <w:pPr>
        <w:pStyle w:val="ListBullet"/>
      </w:pPr>
      <w:r>
        <w:t>Hardware configuration drawings.</w:t>
      </w:r>
    </w:p>
    <w:p>
      <w:pPr>
        <w:pStyle w:val="ListBullet"/>
      </w:pPr>
      <w:r>
        <w:t>Network architecture.</w:t>
      </w:r>
    </w:p>
    <w:p>
      <w:pPr>
        <w:pStyle w:val="ListBullet"/>
      </w:pPr>
      <w:r>
        <w:t>Functional descriptions.</w:t>
      </w:r>
    </w:p>
    <w:p>
      <w:pPr>
        <w:pStyle w:val="ListBullet"/>
      </w:pPr>
      <w:r>
        <w:t>Software capability statements.</w:t>
      </w:r>
    </w:p>
    <w:p>
      <w:pPr>
        <w:pStyle w:val="ListBullet"/>
      </w:pPr>
      <w:r>
        <w:t>Performance calculations.</w:t>
      </w:r>
    </w:p>
    <w:p>
      <w:pPr>
        <w:pStyle w:val="ListBullet"/>
      </w:pPr>
      <w:r>
        <w:t>Test procedures.</w:t>
      </w:r>
    </w:p>
    <w:p>
      <w:pPr>
        <w:pStyle w:val="ListBullet"/>
      </w:pPr>
      <w:r>
        <w:t>Certificates and inspection records.</w:t>
      </w:r>
    </w:p>
    <w:p>
      <w:pPr>
        <w:pStyle w:val="ListBullet"/>
      </w:pPr>
      <w:r>
        <w:t>Explicit written confirmations.</w:t>
      </w:r>
    </w:p>
    <w:p>
      <w:r>
        <w:t>Record the document title, revision, section, page, or drawing number where practical.</w:t>
      </w:r>
    </w:p>
    <w:p>
      <w:pPr>
        <w:pStyle w:val="Heading3"/>
      </w:pPr>
      <w:r>
        <w:t>Step 4: Evaluate the evidence independently</w:t>
      </w:r>
    </w:p>
    <w:p>
      <w:r>
        <w:t>Check whether the evidence actually proves the requirement.</w:t>
      </w:r>
    </w:p>
    <w:p>
      <w:r>
        <w:t>For example, a datasheet showing an Ethernet port does not prove that the offered device supports the required industrial protocol, connection count, performance, or redundancy.</w:t>
      </w:r>
    </w:p>
    <w:p>
      <w:r>
        <w:t>Similarly, stating that a PLC supports analog signals does not establish that the quoted configuration includes the required analog modules.</w:t>
      </w:r>
    </w:p>
    <w:p>
      <w:pPr>
        <w:pStyle w:val="Heading3"/>
      </w:pPr>
      <w:r>
        <w:t>Step 5: Record gaps and deviations</w:t>
      </w:r>
    </w:p>
    <w:p>
      <w:r>
        <w:t>For each unresolved requirement, record:</w:t>
      </w:r>
    </w:p>
    <w:p>
      <w:pPr>
        <w:pStyle w:val="ListBullet"/>
      </w:pPr>
      <w:r>
        <w:t>The exact gap.</w:t>
      </w:r>
    </w:p>
    <w:p>
      <w:pPr>
        <w:pStyle w:val="ListBullet"/>
      </w:pPr>
      <w:r>
        <w:t>Its operational or technical impact.</w:t>
      </w:r>
    </w:p>
    <w:p>
      <w:pPr>
        <w:pStyle w:val="ListBullet"/>
      </w:pPr>
      <w:r>
        <w:t>Whether it is mandatory.</w:t>
      </w:r>
    </w:p>
    <w:p>
      <w:pPr>
        <w:pStyle w:val="ListBullet"/>
      </w:pPr>
      <w:r>
        <w:t>Whether a clarification can resolve it.</w:t>
      </w:r>
    </w:p>
    <w:p>
      <w:pPr>
        <w:pStyle w:val="ListBullet"/>
      </w:pPr>
      <w:r>
        <w:t>Whether an alternative could be acceptable.</w:t>
      </w:r>
    </w:p>
    <w:p>
      <w:pPr>
        <w:pStyle w:val="ListBullet"/>
      </w:pPr>
      <w:r>
        <w:t>The responsible evaluator.</w:t>
      </w:r>
    </w:p>
    <w:p>
      <w:pPr>
        <w:pStyle w:val="ListBullet"/>
      </w:pPr>
      <w:r>
        <w:t>The required action and deadline.</w:t>
      </w:r>
    </w:p>
    <w:p>
      <w:pPr>
        <w:pStyle w:val="Heading3"/>
      </w:pPr>
      <w:r>
        <w:t>Step 6: Conduct technical clarifications</w:t>
      </w:r>
    </w:p>
    <w:p>
      <w:r>
        <w:t>Ask focused questions and obtain controlled written responses.</w:t>
      </w:r>
    </w:p>
    <w:p>
      <w:r>
        <w:t>If the supplier changes its proposal during clarification, record the revised offer and determine whether the change affects other requirements, pricing, schedule, compatibility, or risk.</w:t>
      </w:r>
    </w:p>
    <w:p>
      <w:pPr>
        <w:pStyle w:val="Heading3"/>
      </w:pPr>
      <w:r>
        <w:t>Step 7: Finalize the technical disposition</w:t>
      </w:r>
    </w:p>
    <w:p>
      <w:r>
        <w:t>Apply the approved evaluation rules consistently. Record the reasoning and required approvals, particularly for mandatory noncompliance and proposed alternatives.</w:t>
      </w:r>
    </w:p>
    <w:p>
      <w:pPr>
        <w:pStyle w:val="Heading3"/>
      </w:pPr>
      <w:r>
        <w:t>Step 8: Transfer the agreed baseline</w:t>
      </w:r>
    </w:p>
    <w:p>
      <w:r>
        <w:t>Ensure the final approved requirements, deviations, exclusions, and deliverables are reflected in the purchase order and associated technical documents.</w:t>
      </w:r>
    </w:p>
    <w:p>
      <w:r>
        <w:t>An item accepted during bid evaluation should not remain buried in an old email when the machine reaches commissioning.</w:t>
      </w:r>
    </w:p>
    <w:p>
      <w:pPr>
        <w:pStyle w:val="Heading2"/>
      </w:pPr>
      <w:r>
        <w:t>9. Example compliance matrix for industrial automation</w:t>
      </w:r>
    </w:p>
    <w:p>
      <w:r>
        <w:t>Assume the RFQ requires a PLC-controlled automated test bench with HMI, variable-frequency drive, barcode traceability, industrial communication, and data storage.</w:t>
      </w:r>
    </w:p>
    <w:p>
      <w:r>
        <w:t>The following is an illustrative matrix, not a declaration about any actual supplier.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Req. ID</w:t>
            </w:r>
          </w:p>
        </w:tc>
        <w:tc>
          <w:tcPr>
            <w:tcW w:type="dxa" w:w="1800"/>
            <w:shd w:val="clear" w:color="auto" w:fill="EEF2F7"/>
          </w:tcPr>
          <w:p>
            <w:pPr>
              <w:spacing w:after="0" w:before="0" w:line="240" w:lineRule="auto"/>
              <w:jc w:val="left"/>
            </w:pPr>
            <w:r>
              <w:rPr>
                <w:b/>
                <w:color w:val="1A2E4A"/>
              </w:rPr>
              <w:t>Requirement</w:t>
            </w:r>
          </w:p>
        </w:tc>
        <w:tc>
          <w:tcPr>
            <w:tcW w:type="dxa" w:w="1800"/>
            <w:shd w:val="clear" w:color="auto" w:fill="EEF2F7"/>
          </w:tcPr>
          <w:p>
            <w:pPr>
              <w:spacing w:after="0" w:before="0" w:line="240" w:lineRule="auto"/>
              <w:jc w:val="left"/>
            </w:pPr>
            <w:r>
              <w:rPr>
                <w:b/>
                <w:color w:val="1A2E4A"/>
              </w:rPr>
              <w:t>Supplier A response</w:t>
            </w:r>
          </w:p>
        </w:tc>
        <w:tc>
          <w:tcPr>
            <w:tcW w:type="dxa" w:w="1800"/>
            <w:shd w:val="clear" w:color="auto" w:fill="EEF2F7"/>
          </w:tcPr>
          <w:p>
            <w:pPr>
              <w:spacing w:after="0" w:before="0" w:line="240" w:lineRule="auto"/>
              <w:jc w:val="left"/>
            </w:pPr>
            <w:r>
              <w:rPr>
                <w:b/>
                <w:color w:val="1A2E4A"/>
              </w:rPr>
              <w:t>Supplier A evaluation</w:t>
            </w:r>
          </w:p>
        </w:tc>
        <w:tc>
          <w:tcPr>
            <w:tcW w:type="dxa" w:w="1800"/>
            <w:shd w:val="clear" w:color="auto" w:fill="EEF2F7"/>
          </w:tcPr>
          <w:p>
            <w:pPr>
              <w:spacing w:after="0" w:before="0" w:line="240" w:lineRule="auto"/>
              <w:jc w:val="left"/>
            </w:pPr>
            <w:r>
              <w:rPr>
                <w:b/>
                <w:color w:val="1A2E4A"/>
              </w:rPr>
              <w:t>Supplier B response</w:t>
            </w:r>
          </w:p>
        </w:tc>
        <w:tc>
          <w:tcPr>
            <w:tcW w:type="dxa" w:w="1800"/>
            <w:shd w:val="clear" w:color="auto" w:fill="EEF2F7"/>
          </w:tcPr>
          <w:p>
            <w:pPr>
              <w:spacing w:after="0" w:before="0" w:line="240" w:lineRule="auto"/>
              <w:jc w:val="left"/>
            </w:pPr>
            <w:r>
              <w:rPr>
                <w:b/>
                <w:color w:val="1A2E4A"/>
              </w:rPr>
              <w:t>Supplier B evaluation</w:t>
            </w:r>
          </w:p>
        </w:tc>
      </w:tr>
      <w:tr>
        <w:tc>
          <w:tcPr>
            <w:tcW w:type="dxa" w:w="1800"/>
          </w:tcPr>
          <w:p>
            <w:pPr>
              <w:spacing w:after="0" w:before="0" w:line="240" w:lineRule="auto"/>
              <w:jc w:val="left"/>
            </w:pPr>
            <w:r>
              <w:t>PLC-001</w:t>
            </w:r>
          </w:p>
        </w:tc>
        <w:tc>
          <w:tcPr>
            <w:tcW w:type="dxa" w:w="1800"/>
          </w:tcPr>
          <w:p>
            <w:pPr>
              <w:spacing w:after="0" w:before="0" w:line="240" w:lineRule="auto"/>
              <w:jc w:val="left"/>
            </w:pPr>
            <w:r>
              <w:t>Approved PLC platform</w:t>
            </w:r>
          </w:p>
        </w:tc>
        <w:tc>
          <w:tcPr>
            <w:tcW w:type="dxa" w:w="1800"/>
          </w:tcPr>
          <w:p>
            <w:pPr>
              <w:spacing w:after="0" w:before="0" w:line="240" w:lineRule="auto"/>
              <w:jc w:val="left"/>
            </w:pPr>
            <w:r>
              <w:t>Meets requirement; model specified</w:t>
            </w:r>
          </w:p>
        </w:tc>
        <w:tc>
          <w:tcPr>
            <w:tcW w:type="dxa" w:w="1800"/>
          </w:tcPr>
          <w:p>
            <w:pPr>
              <w:spacing w:after="0" w:before="0" w:line="240" w:lineRule="auto"/>
              <w:jc w:val="left"/>
            </w:pPr>
            <w:r>
              <w:t>C</w:t>
            </w:r>
          </w:p>
        </w:tc>
        <w:tc>
          <w:tcPr>
            <w:tcW w:type="dxa" w:w="1800"/>
          </w:tcPr>
          <w:p>
            <w:pPr>
              <w:spacing w:after="0" w:before="0" w:line="240" w:lineRule="auto"/>
              <w:jc w:val="left"/>
            </w:pPr>
            <w:r>
              <w:t>Alternative platform proposed</w:t>
            </w:r>
          </w:p>
        </w:tc>
        <w:tc>
          <w:tcPr>
            <w:tcW w:type="dxa" w:w="1800"/>
          </w:tcPr>
          <w:p>
            <w:pPr>
              <w:spacing w:after="0" w:before="0" w:line="240" w:lineRule="auto"/>
              <w:jc w:val="left"/>
            </w:pPr>
            <w:r>
              <w:t>D</w:t>
            </w:r>
          </w:p>
        </w:tc>
      </w:tr>
      <w:tr>
        <w:tc>
          <w:tcPr>
            <w:tcW w:type="dxa" w:w="1800"/>
          </w:tcPr>
          <w:p>
            <w:pPr>
              <w:spacing w:after="0" w:before="0" w:line="240" w:lineRule="auto"/>
              <w:jc w:val="left"/>
            </w:pPr>
            <w:r>
              <w:t>PLC-002</w:t>
            </w:r>
          </w:p>
        </w:tc>
        <w:tc>
          <w:tcPr>
            <w:tcW w:type="dxa" w:w="1800"/>
          </w:tcPr>
          <w:p>
            <w:pPr>
              <w:spacing w:after="0" w:before="0" w:line="240" w:lineRule="auto"/>
              <w:jc w:val="left"/>
            </w:pPr>
            <w:r>
              <w:t>Required I/O capacity</w:t>
            </w:r>
          </w:p>
        </w:tc>
        <w:tc>
          <w:tcPr>
            <w:tcW w:type="dxa" w:w="1800"/>
          </w:tcPr>
          <w:p>
            <w:pPr>
              <w:spacing w:after="0" w:before="0" w:line="240" w:lineRule="auto"/>
              <w:jc w:val="left"/>
            </w:pPr>
            <w:r>
              <w:t>Quoted capacity meets requirement</w:t>
            </w:r>
          </w:p>
        </w:tc>
        <w:tc>
          <w:tcPr>
            <w:tcW w:type="dxa" w:w="1800"/>
          </w:tcPr>
          <w:p>
            <w:pPr>
              <w:spacing w:after="0" w:before="0" w:line="240" w:lineRule="auto"/>
              <w:jc w:val="left"/>
            </w:pPr>
            <w:r>
              <w:t>C</w:t>
            </w:r>
          </w:p>
        </w:tc>
        <w:tc>
          <w:tcPr>
            <w:tcW w:type="dxa" w:w="1800"/>
          </w:tcPr>
          <w:p>
            <w:pPr>
              <w:spacing w:after="0" w:before="0" w:line="240" w:lineRule="auto"/>
              <w:jc w:val="left"/>
            </w:pPr>
            <w:r>
              <w:t>Analog capacity unclear</w:t>
            </w:r>
          </w:p>
        </w:tc>
        <w:tc>
          <w:tcPr>
            <w:tcW w:type="dxa" w:w="1800"/>
          </w:tcPr>
          <w:p>
            <w:pPr>
              <w:spacing w:after="0" w:before="0" w:line="240" w:lineRule="auto"/>
              <w:jc w:val="left"/>
            </w:pPr>
            <w:r>
              <w:t>CL</w:t>
            </w:r>
          </w:p>
        </w:tc>
      </w:tr>
      <w:tr>
        <w:tc>
          <w:tcPr>
            <w:tcW w:type="dxa" w:w="1800"/>
          </w:tcPr>
          <w:p>
            <w:pPr>
              <w:spacing w:after="0" w:before="0" w:line="240" w:lineRule="auto"/>
              <w:jc w:val="left"/>
            </w:pPr>
            <w:r>
              <w:t>HMI-001</w:t>
            </w:r>
          </w:p>
        </w:tc>
        <w:tc>
          <w:tcPr>
            <w:tcW w:type="dxa" w:w="1800"/>
          </w:tcPr>
          <w:p>
            <w:pPr>
              <w:spacing w:after="0" w:before="0" w:line="240" w:lineRule="auto"/>
              <w:jc w:val="left"/>
            </w:pPr>
            <w:r>
              <w:t>Required alarm history</w:t>
            </w:r>
          </w:p>
        </w:tc>
        <w:tc>
          <w:tcPr>
            <w:tcW w:type="dxa" w:w="1800"/>
          </w:tcPr>
          <w:p>
            <w:pPr>
              <w:spacing w:after="0" w:before="0" w:line="240" w:lineRule="auto"/>
              <w:jc w:val="left"/>
            </w:pPr>
            <w:r>
              <w:t>Included with defined retention</w:t>
            </w:r>
          </w:p>
        </w:tc>
        <w:tc>
          <w:tcPr>
            <w:tcW w:type="dxa" w:w="1800"/>
          </w:tcPr>
          <w:p>
            <w:pPr>
              <w:spacing w:after="0" w:before="0" w:line="240" w:lineRule="auto"/>
              <w:jc w:val="left"/>
            </w:pPr>
            <w:r>
              <w:t>C</w:t>
            </w:r>
          </w:p>
        </w:tc>
        <w:tc>
          <w:tcPr>
            <w:tcW w:type="dxa" w:w="1800"/>
          </w:tcPr>
          <w:p>
            <w:pPr>
              <w:spacing w:after="0" w:before="0" w:line="240" w:lineRule="auto"/>
              <w:jc w:val="left"/>
            </w:pPr>
            <w:r>
              <w:t>Basic alarms only</w:t>
            </w:r>
          </w:p>
        </w:tc>
        <w:tc>
          <w:tcPr>
            <w:tcW w:type="dxa" w:w="1800"/>
          </w:tcPr>
          <w:p>
            <w:pPr>
              <w:spacing w:after="0" w:before="0" w:line="240" w:lineRule="auto"/>
              <w:jc w:val="left"/>
            </w:pPr>
            <w:r>
              <w:t>PC</w:t>
            </w:r>
          </w:p>
        </w:tc>
      </w:tr>
      <w:tr>
        <w:tc>
          <w:tcPr>
            <w:tcW w:type="dxa" w:w="1800"/>
          </w:tcPr>
          <w:p>
            <w:pPr>
              <w:spacing w:after="0" w:before="0" w:line="240" w:lineRule="auto"/>
              <w:jc w:val="left"/>
            </w:pPr>
            <w:r>
              <w:t>NET-001</w:t>
            </w:r>
          </w:p>
        </w:tc>
        <w:tc>
          <w:tcPr>
            <w:tcW w:type="dxa" w:w="1800"/>
          </w:tcPr>
          <w:p>
            <w:pPr>
              <w:spacing w:after="0" w:before="0" w:line="240" w:lineRule="auto"/>
              <w:jc w:val="left"/>
            </w:pPr>
            <w:r>
              <w:t>Required industrial protocol</w:t>
            </w:r>
          </w:p>
        </w:tc>
        <w:tc>
          <w:tcPr>
            <w:tcW w:type="dxa" w:w="1800"/>
          </w:tcPr>
          <w:p>
            <w:pPr>
              <w:spacing w:after="0" w:before="0" w:line="240" w:lineRule="auto"/>
              <w:jc w:val="left"/>
            </w:pPr>
            <w:r>
              <w:t>Protocol and module identified</w:t>
            </w:r>
          </w:p>
        </w:tc>
        <w:tc>
          <w:tcPr>
            <w:tcW w:type="dxa" w:w="1800"/>
          </w:tcPr>
          <w:p>
            <w:pPr>
              <w:spacing w:after="0" w:before="0" w:line="240" w:lineRule="auto"/>
              <w:jc w:val="left"/>
            </w:pPr>
            <w:r>
              <w:t>C</w:t>
            </w:r>
          </w:p>
        </w:tc>
        <w:tc>
          <w:tcPr>
            <w:tcW w:type="dxa" w:w="1800"/>
          </w:tcPr>
          <w:p>
            <w:pPr>
              <w:spacing w:after="0" w:before="0" w:line="240" w:lineRule="auto"/>
              <w:jc w:val="left"/>
            </w:pPr>
            <w:r>
              <w:t>Protocol support not demonstrated</w:t>
            </w:r>
          </w:p>
        </w:tc>
        <w:tc>
          <w:tcPr>
            <w:tcW w:type="dxa" w:w="1800"/>
          </w:tcPr>
          <w:p>
            <w:pPr>
              <w:spacing w:after="0" w:before="0" w:line="240" w:lineRule="auto"/>
              <w:jc w:val="left"/>
            </w:pPr>
            <w:r>
              <w:t>NE</w:t>
            </w:r>
          </w:p>
        </w:tc>
      </w:tr>
      <w:tr>
        <w:tc>
          <w:tcPr>
            <w:tcW w:type="dxa" w:w="1800"/>
          </w:tcPr>
          <w:p>
            <w:pPr>
              <w:spacing w:after="0" w:before="0" w:line="240" w:lineRule="auto"/>
              <w:jc w:val="left"/>
            </w:pPr>
            <w:r>
              <w:t>PERF-001</w:t>
            </w:r>
          </w:p>
        </w:tc>
        <w:tc>
          <w:tcPr>
            <w:tcW w:type="dxa" w:w="1800"/>
          </w:tcPr>
          <w:p>
            <w:pPr>
              <w:spacing w:after="0" w:before="0" w:line="240" w:lineRule="auto"/>
              <w:jc w:val="left"/>
            </w:pPr>
            <w:r>
              <w:t>Maximum cycle time</w:t>
            </w:r>
          </w:p>
        </w:tc>
        <w:tc>
          <w:tcPr>
            <w:tcW w:type="dxa" w:w="1800"/>
          </w:tcPr>
          <w:p>
            <w:pPr>
              <w:spacing w:after="0" w:before="0" w:line="240" w:lineRule="auto"/>
              <w:jc w:val="left"/>
            </w:pPr>
            <w:r>
              <w:t>Declares compliance with test method</w:t>
            </w:r>
          </w:p>
        </w:tc>
        <w:tc>
          <w:tcPr>
            <w:tcW w:type="dxa" w:w="1800"/>
          </w:tcPr>
          <w:p>
            <w:pPr>
              <w:spacing w:after="0" w:before="0" w:line="240" w:lineRule="auto"/>
              <w:jc w:val="left"/>
            </w:pPr>
            <w:r>
              <w:t>CL until evidence reviewed</w:t>
            </w:r>
          </w:p>
        </w:tc>
        <w:tc>
          <w:tcPr>
            <w:tcW w:type="dxa" w:w="1800"/>
          </w:tcPr>
          <w:p>
            <w:pPr>
              <w:spacing w:after="0" w:before="0" w:line="240" w:lineRule="auto"/>
              <w:jc w:val="left"/>
            </w:pPr>
            <w:r>
              <w:t>Declares a longer cycle time</w:t>
            </w:r>
          </w:p>
        </w:tc>
        <w:tc>
          <w:tcPr>
            <w:tcW w:type="dxa" w:w="1800"/>
          </w:tcPr>
          <w:p>
            <w:pPr>
              <w:spacing w:after="0" w:before="0" w:line="240" w:lineRule="auto"/>
              <w:jc w:val="left"/>
            </w:pPr>
            <w:r>
              <w:t>NC if mandatory limit is confirmed</w:t>
            </w:r>
          </w:p>
        </w:tc>
      </w:tr>
      <w:tr>
        <w:tc>
          <w:tcPr>
            <w:tcW w:type="dxa" w:w="1800"/>
          </w:tcPr>
          <w:p>
            <w:pPr>
              <w:spacing w:after="0" w:before="0" w:line="240" w:lineRule="auto"/>
              <w:jc w:val="left"/>
            </w:pPr>
            <w:r>
              <w:t>DATA-001</w:t>
            </w:r>
          </w:p>
        </w:tc>
        <w:tc>
          <w:tcPr>
            <w:tcW w:type="dxa" w:w="1800"/>
          </w:tcPr>
          <w:p>
            <w:pPr>
              <w:spacing w:after="0" w:before="0" w:line="240" w:lineRule="auto"/>
              <w:jc w:val="left"/>
            </w:pPr>
            <w:r>
              <w:t>Traceable results</w:t>
            </w:r>
          </w:p>
        </w:tc>
        <w:tc>
          <w:tcPr>
            <w:tcW w:type="dxa" w:w="1800"/>
          </w:tcPr>
          <w:p>
            <w:pPr>
              <w:spacing w:after="0" w:before="0" w:line="240" w:lineRule="auto"/>
              <w:jc w:val="left"/>
            </w:pPr>
            <w:r>
              <w:t>Interface and data fields described</w:t>
            </w:r>
          </w:p>
        </w:tc>
        <w:tc>
          <w:tcPr>
            <w:tcW w:type="dxa" w:w="1800"/>
          </w:tcPr>
          <w:p>
            <w:pPr>
              <w:spacing w:after="0" w:before="0" w:line="240" w:lineRule="auto"/>
              <w:jc w:val="left"/>
            </w:pPr>
            <w:r>
              <w:t>C subject to interface verification</w:t>
            </w:r>
          </w:p>
        </w:tc>
        <w:tc>
          <w:tcPr>
            <w:tcW w:type="dxa" w:w="1800"/>
          </w:tcPr>
          <w:p>
            <w:pPr>
              <w:spacing w:after="0" w:before="0" w:line="240" w:lineRule="auto"/>
              <w:jc w:val="left"/>
            </w:pPr>
            <w:r>
              <w:t>Data storage method unspecified</w:t>
            </w:r>
          </w:p>
        </w:tc>
        <w:tc>
          <w:tcPr>
            <w:tcW w:type="dxa" w:w="1800"/>
          </w:tcPr>
          <w:p>
            <w:pPr>
              <w:spacing w:after="0" w:before="0" w:line="240" w:lineRule="auto"/>
              <w:jc w:val="left"/>
            </w:pPr>
            <w:r>
              <w:t>CL</w:t>
            </w:r>
          </w:p>
        </w:tc>
      </w:tr>
      <w:tr>
        <w:tc>
          <w:tcPr>
            <w:tcW w:type="dxa" w:w="1800"/>
          </w:tcPr>
          <w:p>
            <w:pPr>
              <w:spacing w:after="0" w:before="0" w:line="240" w:lineRule="auto"/>
              <w:jc w:val="left"/>
            </w:pPr>
            <w:r>
              <w:t>DOC-001</w:t>
            </w:r>
          </w:p>
        </w:tc>
        <w:tc>
          <w:tcPr>
            <w:tcW w:type="dxa" w:w="1800"/>
          </w:tcPr>
          <w:p>
            <w:pPr>
              <w:spacing w:after="0" w:before="0" w:line="240" w:lineRule="auto"/>
              <w:jc w:val="left"/>
            </w:pPr>
            <w:r>
              <w:t>Editable source project</w:t>
            </w:r>
          </w:p>
        </w:tc>
        <w:tc>
          <w:tcPr>
            <w:tcW w:type="dxa" w:w="1800"/>
          </w:tcPr>
          <w:p>
            <w:pPr>
              <w:spacing w:after="0" w:before="0" w:line="240" w:lineRule="auto"/>
              <w:jc w:val="left"/>
            </w:pPr>
            <w:r>
              <w:t>Included in handover scope</w:t>
            </w:r>
          </w:p>
        </w:tc>
        <w:tc>
          <w:tcPr>
            <w:tcW w:type="dxa" w:w="1800"/>
          </w:tcPr>
          <w:p>
            <w:pPr>
              <w:spacing w:after="0" w:before="0" w:line="240" w:lineRule="auto"/>
              <w:jc w:val="left"/>
            </w:pPr>
            <w:r>
              <w:t>C</w:t>
            </w:r>
          </w:p>
        </w:tc>
        <w:tc>
          <w:tcPr>
            <w:tcW w:type="dxa" w:w="1800"/>
          </w:tcPr>
          <w:p>
            <w:pPr>
              <w:spacing w:after="0" w:before="0" w:line="240" w:lineRule="auto"/>
              <w:jc w:val="left"/>
            </w:pPr>
            <w:r>
              <w:t>Excluded from quotation</w:t>
            </w:r>
          </w:p>
        </w:tc>
        <w:tc>
          <w:tcPr>
            <w:tcW w:type="dxa" w:w="1800"/>
          </w:tcPr>
          <w:p>
            <w:pPr>
              <w:spacing w:after="0" w:before="0" w:line="240" w:lineRule="auto"/>
              <w:jc w:val="left"/>
            </w:pPr>
            <w:r>
              <w:t>NC if mandatory</w:t>
            </w:r>
          </w:p>
        </w:tc>
      </w:tr>
    </w:tbl>
    <w:p/>
    <w:p>
      <w:r>
        <w:t>The final status depends on the approved requirements and the quality of the evidence. The matrix should not turn a supplier's statement into verified compliance automatically.</w:t>
      </w:r>
    </w:p>
    <w:p>
      <w:pPr>
        <w:pStyle w:val="Heading2"/>
      </w:pPr>
      <w:r>
        <w:t>10. Evaluating technical evidence</w:t>
      </w:r>
    </w:p>
    <w:p>
      <w:r>
        <w:t>A compliance declaration is only as useful as the evidence supporting it.</w:t>
      </w:r>
    </w:p>
    <w:p>
      <w:r>
        <w:t>Use a consistent evidence hierarchy appropriate to the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Evaluation consideration</w:t>
            </w:r>
          </w:p>
        </w:tc>
      </w:tr>
      <w:tr>
        <w:tc>
          <w:tcPr>
            <w:tcW w:type="dxa" w:w="3600"/>
          </w:tcPr>
          <w:p>
            <w:pPr>
              <w:spacing w:after="0" w:before="0" w:line="240" w:lineRule="auto"/>
              <w:jc w:val="left"/>
            </w:pPr>
            <w:r>
              <w:t>Exact model datasheet</w:t>
            </w:r>
          </w:p>
        </w:tc>
        <w:tc>
          <w:tcPr>
            <w:tcW w:type="dxa" w:w="3600"/>
          </w:tcPr>
          <w:p>
            <w:pPr>
              <w:spacing w:after="0" w:before="0" w:line="240" w:lineRule="auto"/>
              <w:jc w:val="left"/>
            </w:pPr>
            <w:r>
              <w:t>Hardware ratings and capabilities</w:t>
            </w:r>
          </w:p>
        </w:tc>
        <w:tc>
          <w:tcPr>
            <w:tcW w:type="dxa" w:w="3600"/>
          </w:tcPr>
          <w:p>
            <w:pPr>
              <w:spacing w:after="0" w:before="0" w:line="240" w:lineRule="auto"/>
              <w:jc w:val="left"/>
            </w:pPr>
            <w:r>
              <w:t>Confirm the quoted model and revision</w:t>
            </w:r>
          </w:p>
        </w:tc>
      </w:tr>
      <w:tr>
        <w:tc>
          <w:tcPr>
            <w:tcW w:type="dxa" w:w="3600"/>
          </w:tcPr>
          <w:p>
            <w:pPr>
              <w:spacing w:after="0" w:before="0" w:line="240" w:lineRule="auto"/>
              <w:jc w:val="left"/>
            </w:pPr>
            <w:r>
              <w:t>Approved drawing</w:t>
            </w:r>
          </w:p>
        </w:tc>
        <w:tc>
          <w:tcPr>
            <w:tcW w:type="dxa" w:w="3600"/>
          </w:tcPr>
          <w:p>
            <w:pPr>
              <w:spacing w:after="0" w:before="0" w:line="240" w:lineRule="auto"/>
              <w:jc w:val="left"/>
            </w:pPr>
            <w:r>
              <w:t>Physical and electrical arrangement</w:t>
            </w:r>
          </w:p>
        </w:tc>
        <w:tc>
          <w:tcPr>
            <w:tcW w:type="dxa" w:w="3600"/>
          </w:tcPr>
          <w:p>
            <w:pPr>
              <w:spacing w:after="0" w:before="0" w:line="240" w:lineRule="auto"/>
              <w:jc w:val="left"/>
            </w:pPr>
            <w:r>
              <w:t>Confirm interfaces and configuration</w:t>
            </w:r>
          </w:p>
        </w:tc>
      </w:tr>
      <w:tr>
        <w:tc>
          <w:tcPr>
            <w:tcW w:type="dxa" w:w="3600"/>
          </w:tcPr>
          <w:p>
            <w:pPr>
              <w:spacing w:after="0" w:before="0" w:line="240" w:lineRule="auto"/>
              <w:jc w:val="left"/>
            </w:pPr>
            <w:r>
              <w:t>Functional specification</w:t>
            </w:r>
          </w:p>
        </w:tc>
        <w:tc>
          <w:tcPr>
            <w:tcW w:type="dxa" w:w="3600"/>
          </w:tcPr>
          <w:p>
            <w:pPr>
              <w:spacing w:after="0" w:before="0" w:line="240" w:lineRule="auto"/>
              <w:jc w:val="left"/>
            </w:pPr>
            <w:r>
              <w:t>Sequence and operating behavior</w:t>
            </w:r>
          </w:p>
        </w:tc>
        <w:tc>
          <w:tcPr>
            <w:tcW w:type="dxa" w:w="3600"/>
          </w:tcPr>
          <w:p>
            <w:pPr>
              <w:spacing w:after="0" w:before="0" w:line="240" w:lineRule="auto"/>
              <w:jc w:val="left"/>
            </w:pPr>
            <w:r>
              <w:t>Check all required operating modes</w:t>
            </w:r>
          </w:p>
        </w:tc>
      </w:tr>
      <w:tr>
        <w:tc>
          <w:tcPr>
            <w:tcW w:type="dxa" w:w="3600"/>
          </w:tcPr>
          <w:p>
            <w:pPr>
              <w:spacing w:after="0" w:before="0" w:line="240" w:lineRule="auto"/>
              <w:jc w:val="left"/>
            </w:pPr>
            <w:r>
              <w:t>Manufacturer documentation</w:t>
            </w:r>
          </w:p>
        </w:tc>
        <w:tc>
          <w:tcPr>
            <w:tcW w:type="dxa" w:w="3600"/>
          </w:tcPr>
          <w:p>
            <w:pPr>
              <w:spacing w:after="0" w:before="0" w:line="240" w:lineRule="auto"/>
              <w:jc w:val="left"/>
            </w:pPr>
            <w:r>
              <w:t>Supported features and limitations</w:t>
            </w:r>
          </w:p>
        </w:tc>
        <w:tc>
          <w:tcPr>
            <w:tcW w:type="dxa" w:w="3600"/>
          </w:tcPr>
          <w:p>
            <w:pPr>
              <w:spacing w:after="0" w:before="0" w:line="240" w:lineRule="auto"/>
              <w:jc w:val="left"/>
            </w:pPr>
            <w:r>
              <w:t>Confirm the actual product variant</w:t>
            </w:r>
          </w:p>
        </w:tc>
      </w:tr>
      <w:tr>
        <w:tc>
          <w:tcPr>
            <w:tcW w:type="dxa" w:w="3600"/>
          </w:tcPr>
          <w:p>
            <w:pPr>
              <w:spacing w:after="0" w:before="0" w:line="240" w:lineRule="auto"/>
              <w:jc w:val="left"/>
            </w:pPr>
            <w:r>
              <w:t>Performance calculation</w:t>
            </w:r>
          </w:p>
        </w:tc>
        <w:tc>
          <w:tcPr>
            <w:tcW w:type="dxa" w:w="3600"/>
          </w:tcPr>
          <w:p>
            <w:pPr>
              <w:spacing w:after="0" w:before="0" w:line="240" w:lineRule="auto"/>
              <w:jc w:val="left"/>
            </w:pPr>
            <w:r>
              <w:t>Capacity or cycle-time estimates</w:t>
            </w:r>
          </w:p>
        </w:tc>
        <w:tc>
          <w:tcPr>
            <w:tcW w:type="dxa" w:w="3600"/>
          </w:tcPr>
          <w:p>
            <w:pPr>
              <w:spacing w:after="0" w:before="0" w:line="240" w:lineRule="auto"/>
              <w:jc w:val="left"/>
            </w:pPr>
            <w:r>
              <w:t>Check assumptions and calculation method</w:t>
            </w:r>
          </w:p>
        </w:tc>
      </w:tr>
      <w:tr>
        <w:tc>
          <w:tcPr>
            <w:tcW w:type="dxa" w:w="3600"/>
          </w:tcPr>
          <w:p>
            <w:pPr>
              <w:spacing w:after="0" w:before="0" w:line="240" w:lineRule="auto"/>
              <w:jc w:val="left"/>
            </w:pPr>
            <w:r>
              <w:t>Test report</w:t>
            </w:r>
          </w:p>
        </w:tc>
        <w:tc>
          <w:tcPr>
            <w:tcW w:type="dxa" w:w="3600"/>
          </w:tcPr>
          <w:p>
            <w:pPr>
              <w:spacing w:after="0" w:before="0" w:line="240" w:lineRule="auto"/>
              <w:jc w:val="left"/>
            </w:pPr>
            <w:r>
              <w:t>Demonstrated behavior</w:t>
            </w:r>
          </w:p>
        </w:tc>
        <w:tc>
          <w:tcPr>
            <w:tcW w:type="dxa" w:w="3600"/>
          </w:tcPr>
          <w:p>
            <w:pPr>
              <w:spacing w:after="0" w:before="0" w:line="240" w:lineRule="auto"/>
              <w:jc w:val="left"/>
            </w:pPr>
            <w:r>
              <w:t>Check test conditions, scope, and results</w:t>
            </w:r>
          </w:p>
        </w:tc>
      </w:tr>
      <w:tr>
        <w:tc>
          <w:tcPr>
            <w:tcW w:type="dxa" w:w="3600"/>
          </w:tcPr>
          <w:p>
            <w:pPr>
              <w:spacing w:after="0" w:before="0" w:line="240" w:lineRule="auto"/>
              <w:jc w:val="left"/>
            </w:pPr>
            <w:r>
              <w:t>Certificate or validation record</w:t>
            </w:r>
          </w:p>
        </w:tc>
        <w:tc>
          <w:tcPr>
            <w:tcW w:type="dxa" w:w="3600"/>
          </w:tcPr>
          <w:p>
            <w:pPr>
              <w:spacing w:after="0" w:before="0" w:line="240" w:lineRule="auto"/>
              <w:jc w:val="left"/>
            </w:pPr>
            <w:r>
              <w:t>Specified compliance evidence</w:t>
            </w:r>
          </w:p>
        </w:tc>
        <w:tc>
          <w:tcPr>
            <w:tcW w:type="dxa" w:w="3600"/>
          </w:tcPr>
          <w:p>
            <w:pPr>
              <w:spacing w:after="0" w:before="0" w:line="240" w:lineRule="auto"/>
              <w:jc w:val="left"/>
            </w:pPr>
            <w:r>
              <w:t>Confirm applicability and validity</w:t>
            </w:r>
          </w:p>
        </w:tc>
      </w:tr>
      <w:tr>
        <w:tc>
          <w:tcPr>
            <w:tcW w:type="dxa" w:w="3600"/>
          </w:tcPr>
          <w:p>
            <w:pPr>
              <w:spacing w:after="0" w:before="0" w:line="240" w:lineRule="auto"/>
              <w:jc w:val="left"/>
            </w:pPr>
            <w:r>
              <w:t>General sales statement</w:t>
            </w:r>
          </w:p>
        </w:tc>
        <w:tc>
          <w:tcPr>
            <w:tcW w:type="dxa" w:w="3600"/>
          </w:tcPr>
          <w:p>
            <w:pPr>
              <w:spacing w:after="0" w:before="0" w:line="240" w:lineRule="auto"/>
              <w:jc w:val="left"/>
            </w:pPr>
            <w:r>
              <w:t>Initial indication of capability</w:t>
            </w:r>
          </w:p>
        </w:tc>
        <w:tc>
          <w:tcPr>
            <w:tcW w:type="dxa" w:w="3600"/>
          </w:tcPr>
          <w:p>
            <w:pPr>
              <w:spacing w:after="0" w:before="0" w:line="240" w:lineRule="auto"/>
              <w:jc w:val="left"/>
            </w:pPr>
            <w:r>
              <w:t>Usually insufficient for critical requirements</w:t>
            </w:r>
          </w:p>
        </w:tc>
      </w:tr>
    </w:tbl>
    <w:p/>
    <w:p>
      <w:r>
        <w:t>Evidence quality matters especially for safety, regulatory compliance, measurement accuracy, production performance, and integration with existing plant equipment.</w:t>
      </w:r>
    </w:p>
    <w:p>
      <w:pPr>
        <w:pStyle w:val="Heading2"/>
      </w:pPr>
      <w:r>
        <w:t>11. Compliance matrix for PLC hardware selection</w:t>
      </w:r>
    </w:p>
    <w:p>
      <w:r>
        <w:t>When comparing PLC offers, evaluate the complete proposed configuration, not merely the CPU model.</w:t>
      </w:r>
    </w:p>
    <w:p>
      <w:r>
        <w:t>Potential requirements include:</w:t>
      </w:r>
    </w:p>
    <w:p>
      <w:pPr>
        <w:pStyle w:val="ListBullet"/>
      </w:pPr>
      <w:r>
        <w:t>CPU family and performance.</w:t>
      </w:r>
    </w:p>
    <w:p>
      <w:pPr>
        <w:pStyle w:val="ListBullet"/>
      </w:pPr>
      <w:r>
        <w:t>Program and data memory.</w:t>
      </w:r>
    </w:p>
    <w:p>
      <w:pPr>
        <w:pStyle w:val="ListBullet"/>
      </w:pPr>
      <w:r>
        <w:t>Digital input capacity.</w:t>
      </w:r>
    </w:p>
    <w:p>
      <w:pPr>
        <w:pStyle w:val="ListBullet"/>
      </w:pPr>
      <w:r>
        <w:t>Digital output capacity.</w:t>
      </w:r>
    </w:p>
    <w:p>
      <w:pPr>
        <w:pStyle w:val="ListBullet"/>
      </w:pPr>
      <w:r>
        <w:t>Analog input and output capacity.</w:t>
      </w:r>
    </w:p>
    <w:p>
      <w:pPr>
        <w:pStyle w:val="ListBullet"/>
      </w:pPr>
      <w:r>
        <w:t>High-speed counter or motion requirements.</w:t>
      </w:r>
    </w:p>
    <w:p>
      <w:pPr>
        <w:pStyle w:val="ListBullet"/>
      </w:pPr>
      <w:r>
        <w:t>Communication interfaces.</w:t>
      </w:r>
    </w:p>
    <w:p>
      <w:pPr>
        <w:pStyle w:val="ListBullet"/>
      </w:pPr>
      <w:r>
        <w:t>Supported protocols.</w:t>
      </w:r>
    </w:p>
    <w:p>
      <w:pPr>
        <w:pStyle w:val="ListBullet"/>
      </w:pPr>
      <w:r>
        <w:t>Network topology and redundancy.</w:t>
      </w:r>
    </w:p>
    <w:p>
      <w:pPr>
        <w:pStyle w:val="ListBullet"/>
      </w:pPr>
      <w:r>
        <w:t>Remote I/O compatibility.</w:t>
      </w:r>
    </w:p>
    <w:p>
      <w:pPr>
        <w:pStyle w:val="ListBullet"/>
      </w:pPr>
      <w:r>
        <w:t>Diagnostic capabilities.</w:t>
      </w:r>
    </w:p>
    <w:p>
      <w:pPr>
        <w:pStyle w:val="ListBullet"/>
      </w:pPr>
      <w:r>
        <w:t>Environmental ratings.</w:t>
      </w:r>
    </w:p>
    <w:p>
      <w:pPr>
        <w:pStyle w:val="ListBullet"/>
      </w:pPr>
      <w:r>
        <w:t>Power supply sizing.</w:t>
      </w:r>
    </w:p>
    <w:p>
      <w:pPr>
        <w:pStyle w:val="ListBullet"/>
      </w:pPr>
      <w:r>
        <w:t>Expansion capacity.</w:t>
      </w:r>
    </w:p>
    <w:p>
      <w:pPr>
        <w:pStyle w:val="ListBullet"/>
      </w:pPr>
      <w:r>
        <w:t>Engineering software and license requirements.</w:t>
      </w:r>
    </w:p>
    <w:p>
      <w:pPr>
        <w:pStyle w:val="ListBullet"/>
      </w:pPr>
      <w:r>
        <w:t>Firmware compatibility.</w:t>
      </w:r>
    </w:p>
    <w:p>
      <w:pPr>
        <w:pStyle w:val="ListBullet"/>
      </w:pPr>
      <w:r>
        <w:t>Product lifecycle and support.</w:t>
      </w:r>
    </w:p>
    <w:p>
      <w:pPr>
        <w:pStyle w:val="ListBullet"/>
      </w:pPr>
      <w:r>
        <w:t>Spare-parts availability.</w:t>
      </w:r>
    </w:p>
    <w:p>
      <w:pPr>
        <w:pStyle w:val="ListBullet"/>
      </w:pPr>
      <w:r>
        <w:t>Backup and source-project delivery.</w:t>
      </w:r>
    </w:p>
    <w:p>
      <w:r>
        <w:t>A CPU may technically support the required number of I/O points while the supplier's quoted configuration contains insufficient modules, power capacity, or network interfaces.</w:t>
      </w:r>
    </w:p>
    <w:p>
      <w:r>
        <w:t>The matrix must assess what is actually being offered.</w:t>
      </w:r>
    </w:p>
    <w:p>
      <w:pPr>
        <w:pStyle w:val="Heading2"/>
      </w:pPr>
      <w:r>
        <w:t>12. Compliance matrix for software and functional requirements</w:t>
      </w:r>
    </w:p>
    <w:p>
      <w:r>
        <w:t>For software-driven systems, compliance should address required behavior, not only the presence of a software package.</w:t>
      </w:r>
    </w:p>
    <w:p>
      <w:r>
        <w:t>Potential requirements include:</w:t>
      </w:r>
    </w:p>
    <w:p>
      <w:pPr>
        <w:pStyle w:val="ListBullet"/>
      </w:pPr>
      <w:r>
        <w:t>Manual and automatic modes.</w:t>
      </w:r>
    </w:p>
    <w:p>
      <w:pPr>
        <w:pStyle w:val="ListBullet"/>
      </w:pPr>
      <w:r>
        <w:t>Sequence and transition logic.</w:t>
      </w:r>
    </w:p>
    <w:p>
      <w:pPr>
        <w:pStyle w:val="ListBullet"/>
      </w:pPr>
      <w:r>
        <w:t>Interlocks and permissives.</w:t>
      </w:r>
    </w:p>
    <w:p>
      <w:pPr>
        <w:pStyle w:val="ListBullet"/>
      </w:pPr>
      <w:r>
        <w:t>Alarm handling.</w:t>
      </w:r>
    </w:p>
    <w:p>
      <w:pPr>
        <w:pStyle w:val="ListBullet"/>
      </w:pPr>
      <w:r>
        <w:t>Fault recovery.</w:t>
      </w:r>
    </w:p>
    <w:p>
      <w:pPr>
        <w:pStyle w:val="ListBullet"/>
      </w:pPr>
      <w:r>
        <w:t>Recipe management.</w:t>
      </w:r>
    </w:p>
    <w:p>
      <w:pPr>
        <w:pStyle w:val="ListBullet"/>
      </w:pPr>
      <w:r>
        <w:t>User access control.</w:t>
      </w:r>
    </w:p>
    <w:p>
      <w:pPr>
        <w:pStyle w:val="ListBullet"/>
      </w:pPr>
      <w:r>
        <w:t>Data logging.</w:t>
      </w:r>
    </w:p>
    <w:p>
      <w:pPr>
        <w:pStyle w:val="ListBullet"/>
      </w:pPr>
      <w:r>
        <w:t>Production traceability.</w:t>
      </w:r>
    </w:p>
    <w:p>
      <w:pPr>
        <w:pStyle w:val="ListBullet"/>
      </w:pPr>
      <w:r>
        <w:t>PLC-to-robot communication.</w:t>
      </w:r>
    </w:p>
    <w:p>
      <w:pPr>
        <w:pStyle w:val="ListBullet"/>
      </w:pPr>
      <w:r>
        <w:t>PLC-to-CNC interface.</w:t>
      </w:r>
    </w:p>
    <w:p>
      <w:pPr>
        <w:pStyle w:val="ListBullet"/>
      </w:pPr>
      <w:r>
        <w:t>HMI status indication.</w:t>
      </w:r>
    </w:p>
    <w:p>
      <w:pPr>
        <w:pStyle w:val="ListBullet"/>
      </w:pPr>
      <w:r>
        <w:t>Handling of communication loss.</w:t>
      </w:r>
    </w:p>
    <w:p>
      <w:pPr>
        <w:pStyle w:val="ListBullet"/>
      </w:pPr>
      <w:r>
        <w:t>Restart behavior after a power interruption.</w:t>
      </w:r>
    </w:p>
    <w:p>
      <w:pPr>
        <w:pStyle w:val="ListBullet"/>
      </w:pPr>
      <w:r>
        <w:t>Backup and restoration.</w:t>
      </w:r>
    </w:p>
    <w:p>
      <w:pPr>
        <w:pStyle w:val="ListBullet"/>
      </w:pPr>
      <w:r>
        <w:t>Version control and source-project handover.</w:t>
      </w:r>
    </w:p>
    <w:p>
      <w:r>
        <w:t>For example, "supports barcode integration" is incomplete if the actual requirement includes reading a code, validating its format, associating it with the correct part, preventing duplicate processing, and recording the result.</w:t>
      </w:r>
    </w:p>
    <w:p>
      <w:r>
        <w:t>Break such functions into separate assessable requirements.</w:t>
      </w:r>
    </w:p>
    <w:p>
      <w:pPr>
        <w:pStyle w:val="Heading2"/>
      </w:pPr>
      <w:r>
        <w:t>13. Compliance matrix for safety requirements</w:t>
      </w:r>
    </w:p>
    <w:p>
      <w:r>
        <w:t>Safety requirements deserve explicit treatment because a generic compliance statement cannot replace evidence for the actual safety design.</w:t>
      </w:r>
    </w:p>
    <w:p>
      <w:r>
        <w:t>Potential requirements include:</w:t>
      </w:r>
    </w:p>
    <w:p>
      <w:pPr>
        <w:pStyle w:val="ListBullet"/>
      </w:pPr>
      <w:r>
        <w:t>Guard interlocks.</w:t>
      </w:r>
    </w:p>
    <w:p>
      <w:pPr>
        <w:pStyle w:val="ListBullet"/>
      </w:pPr>
      <w:r>
        <w:t>Emergency-stop architecture.</w:t>
      </w:r>
    </w:p>
    <w:p>
      <w:pPr>
        <w:pStyle w:val="ListBullet"/>
      </w:pPr>
      <w:r>
        <w:t>Safety-related stopping behavior.</w:t>
      </w:r>
    </w:p>
    <w:p>
      <w:pPr>
        <w:pStyle w:val="ListBullet"/>
      </w:pPr>
      <w:r>
        <w:t>Safety PLC or relay configuration.</w:t>
      </w:r>
    </w:p>
    <w:p>
      <w:pPr>
        <w:pStyle w:val="ListBullet"/>
      </w:pPr>
      <w:r>
        <w:t>Robot safety zones.</w:t>
      </w:r>
    </w:p>
    <w:p>
      <w:pPr>
        <w:pStyle w:val="ListBullet"/>
      </w:pPr>
      <w:r>
        <w:t>Safe operating modes.</w:t>
      </w:r>
    </w:p>
    <w:p>
      <w:pPr>
        <w:pStyle w:val="ListBullet"/>
      </w:pPr>
      <w:r>
        <w:t>Reset and restart conditions.</w:t>
      </w:r>
    </w:p>
    <w:p>
      <w:pPr>
        <w:pStyle w:val="ListBullet"/>
      </w:pPr>
      <w:r>
        <w:t>Safety-related diagnostics.</w:t>
      </w:r>
    </w:p>
    <w:p>
      <w:pPr>
        <w:pStyle w:val="ListBullet"/>
      </w:pPr>
      <w:r>
        <w:t>Required risk assessment.</w:t>
      </w:r>
    </w:p>
    <w:p>
      <w:pPr>
        <w:pStyle w:val="ListBullet"/>
      </w:pPr>
      <w:r>
        <w:t>Validation and test documentation.</w:t>
      </w:r>
    </w:p>
    <w:p>
      <w:pPr>
        <w:pStyle w:val="ListBullet"/>
      </w:pPr>
      <w:r>
        <w:t>Applicable standards and conformity documentation.</w:t>
      </w:r>
    </w:p>
    <w:p>
      <w:r>
        <w:t>For each safety requirement, identify the expected evidence and the authorized review process.</w:t>
      </w:r>
    </w:p>
    <w:p>
      <w:r>
        <w:t>A proposed alternative safety architecture should receive a documented technical and safety review. It should not be accepted simply because the supplier claims it provides equivalent protection.</w:t>
      </w:r>
    </w:p>
    <w:p>
      <w:pPr>
        <w:pStyle w:val="Heading2"/>
      </w:pPr>
      <w:r>
        <w:t>14. Technical clarification versus technical deviation</w:t>
      </w:r>
    </w:p>
    <w:p>
      <w:r>
        <w:t>These two processes solve different problems.</w:t>
      </w:r>
    </w:p>
    <w:p>
      <w:r>
        <w:t>Technical clarification resolves uncertainty about the supplier's offer or the requirement.</w:t>
      </w:r>
    </w:p>
    <w:p>
      <w:r>
        <w:t>Example: "Please confirm the number of supported analog input channels in the quoted configuration."</w:t>
      </w:r>
    </w:p>
    <w:p>
      <w:r>
        <w:t>Technical deviation records a known difference between the required solution and the proposed solution.</w:t>
      </w:r>
    </w:p>
    <w:p>
      <w:r>
        <w:t>Example: "The RFQ requires the approved PLC family, but the supplier proposes a different controller."</w:t>
      </w:r>
    </w:p>
    <w:p>
      <w:r>
        <w:t>A clarification may reveal that no deviation exists. Conversely, a clarification may confirm a deviation that then requires formal evaluation.</w:t>
      </w:r>
    </w:p>
    <w:p>
      <w:r>
        <w:t>A supplier response should not be reclassified as compliant merely because the supplier explained the deviation clearly.</w:t>
      </w:r>
    </w:p>
    <w:p>
      <w:pPr>
        <w:pStyle w:val="Heading2"/>
      </w:pPr>
      <w:r>
        <w:t>15. Scoring compliance and technical suitability</w:t>
      </w:r>
    </w:p>
    <w:p>
      <w:r>
        <w:t>Some organizations use pass/fail qualification, while others use a weighted technical score in addition to mandatory compliance checks.</w:t>
      </w:r>
    </w:p>
    <w:p>
      <w:pPr>
        <w:pStyle w:val="Heading3"/>
      </w:pPr>
      <w:r>
        <w:t>15.1 Pass/fail method</w:t>
      </w:r>
    </w:p>
    <w:p>
      <w:r>
        <w:t>Under this method, the evaluator checks whether the supplier satisfies all applicable mandatory requirements.</w:t>
      </w:r>
    </w:p>
    <w:p>
      <w:r>
        <w:t>Typical outcomes:</w:t>
      </w:r>
    </w:p>
    <w:p>
      <w:pPr>
        <w:pStyle w:val="ListBullet"/>
      </w:pPr>
      <w:r>
        <w:t>Technically acceptable.</w:t>
      </w:r>
    </w:p>
    <w:p>
      <w:pPr>
        <w:pStyle w:val="ListBullet"/>
      </w:pPr>
      <w:r>
        <w:t>Technically unacceptable.</w:t>
      </w:r>
    </w:p>
    <w:p>
      <w:pPr>
        <w:pStyle w:val="ListBullet"/>
      </w:pPr>
      <w:r>
        <w:t>Pending clarification.</w:t>
      </w:r>
    </w:p>
    <w:p>
      <w:pPr>
        <w:pStyle w:val="ListBullet"/>
      </w:pPr>
      <w:r>
        <w:t>Conditionally acceptable only where the procurement rules permit it.</w:t>
      </w:r>
    </w:p>
    <w:p>
      <w:r>
        <w:t>A high score on optional features does not normally compensate for failure of a mandatory safety or performance requirement.</w:t>
      </w:r>
    </w:p>
    <w:p>
      <w:pPr>
        <w:pStyle w:val="Heading3"/>
      </w:pPr>
      <w:r>
        <w:t>15.2 Weighted scoring method</w:t>
      </w:r>
    </w:p>
    <w:p>
      <w:r>
        <w:t>A scoring model may compare the relative value of technically acceptable offers.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Evaluation category</w:t>
            </w:r>
          </w:p>
        </w:tc>
        <w:tc>
          <w:tcPr>
            <w:tcW w:type="dxa" w:w="5400"/>
            <w:shd w:val="clear" w:color="auto" w:fill="EEF2F7"/>
          </w:tcPr>
          <w:p>
            <w:pPr>
              <w:spacing w:after="0" w:before="0" w:line="240" w:lineRule="auto"/>
              <w:jc w:val="left"/>
            </w:pPr>
            <w:r>
              <w:rPr>
                <w:b/>
                <w:color w:val="1A2E4A"/>
              </w:rPr>
              <w:t>Illustrative weight</w:t>
            </w:r>
          </w:p>
        </w:tc>
      </w:tr>
      <w:tr>
        <w:tc>
          <w:tcPr>
            <w:tcW w:type="dxa" w:w="5400"/>
          </w:tcPr>
          <w:p>
            <w:pPr>
              <w:spacing w:after="0" w:before="0" w:line="240" w:lineRule="auto"/>
              <w:jc w:val="left"/>
            </w:pPr>
            <w:r>
              <w:t>Functional compliance</w:t>
            </w:r>
          </w:p>
        </w:tc>
        <w:tc>
          <w:tcPr>
            <w:tcW w:type="dxa" w:w="5400"/>
          </w:tcPr>
          <w:p>
            <w:pPr>
              <w:spacing w:after="0" w:before="0" w:line="240" w:lineRule="auto"/>
              <w:jc w:val="left"/>
            </w:pPr>
            <w:r>
              <w:t>25%</w:t>
            </w:r>
          </w:p>
        </w:tc>
      </w:tr>
      <w:tr>
        <w:tc>
          <w:tcPr>
            <w:tcW w:type="dxa" w:w="5400"/>
          </w:tcPr>
          <w:p>
            <w:pPr>
              <w:spacing w:after="0" w:before="0" w:line="240" w:lineRule="auto"/>
              <w:jc w:val="left"/>
            </w:pPr>
            <w:r>
              <w:t>Performance</w:t>
            </w:r>
          </w:p>
        </w:tc>
        <w:tc>
          <w:tcPr>
            <w:tcW w:type="dxa" w:w="5400"/>
          </w:tcPr>
          <w:p>
            <w:pPr>
              <w:spacing w:after="0" w:before="0" w:line="240" w:lineRule="auto"/>
              <w:jc w:val="left"/>
            </w:pPr>
            <w:r>
              <w:t>20%</w:t>
            </w:r>
          </w:p>
        </w:tc>
      </w:tr>
      <w:tr>
        <w:tc>
          <w:tcPr>
            <w:tcW w:type="dxa" w:w="5400"/>
          </w:tcPr>
          <w:p>
            <w:pPr>
              <w:spacing w:after="0" w:before="0" w:line="240" w:lineRule="auto"/>
              <w:jc w:val="left"/>
            </w:pPr>
            <w:r>
              <w:t>Hardware and architecture</w:t>
            </w:r>
          </w:p>
        </w:tc>
        <w:tc>
          <w:tcPr>
            <w:tcW w:type="dxa" w:w="5400"/>
          </w:tcPr>
          <w:p>
            <w:pPr>
              <w:spacing w:after="0" w:before="0" w:line="240" w:lineRule="auto"/>
              <w:jc w:val="left"/>
            </w:pPr>
            <w:r>
              <w:t>15%</w:t>
            </w:r>
          </w:p>
        </w:tc>
      </w:tr>
      <w:tr>
        <w:tc>
          <w:tcPr>
            <w:tcW w:type="dxa" w:w="5400"/>
          </w:tcPr>
          <w:p>
            <w:pPr>
              <w:spacing w:after="0" w:before="0" w:line="240" w:lineRule="auto"/>
              <w:jc w:val="left"/>
            </w:pPr>
            <w:r>
              <w:t>Safety and regulatory requirements</w:t>
            </w:r>
          </w:p>
        </w:tc>
        <w:tc>
          <w:tcPr>
            <w:tcW w:type="dxa" w:w="5400"/>
          </w:tcPr>
          <w:p>
            <w:pPr>
              <w:spacing w:after="0" w:before="0" w:line="240" w:lineRule="auto"/>
              <w:jc w:val="left"/>
            </w:pPr>
            <w:r>
              <w:t>15%</w:t>
            </w:r>
          </w:p>
        </w:tc>
      </w:tr>
      <w:tr>
        <w:tc>
          <w:tcPr>
            <w:tcW w:type="dxa" w:w="5400"/>
          </w:tcPr>
          <w:p>
            <w:pPr>
              <w:spacing w:after="0" w:before="0" w:line="240" w:lineRule="auto"/>
              <w:jc w:val="left"/>
            </w:pPr>
            <w:r>
              <w:t>Maintainability and diagnostics</w:t>
            </w:r>
          </w:p>
        </w:tc>
        <w:tc>
          <w:tcPr>
            <w:tcW w:type="dxa" w:w="5400"/>
          </w:tcPr>
          <w:p>
            <w:pPr>
              <w:spacing w:after="0" w:before="0" w:line="240" w:lineRule="auto"/>
              <w:jc w:val="left"/>
            </w:pPr>
            <w:r>
              <w:t>10%</w:t>
            </w:r>
          </w:p>
        </w:tc>
      </w:tr>
      <w:tr>
        <w:tc>
          <w:tcPr>
            <w:tcW w:type="dxa" w:w="5400"/>
          </w:tcPr>
          <w:p>
            <w:pPr>
              <w:spacing w:after="0" w:before="0" w:line="240" w:lineRule="auto"/>
              <w:jc w:val="left"/>
            </w:pPr>
            <w:r>
              <w:t>Documentation and training</w:t>
            </w:r>
          </w:p>
        </w:tc>
        <w:tc>
          <w:tcPr>
            <w:tcW w:type="dxa" w:w="5400"/>
          </w:tcPr>
          <w:p>
            <w:pPr>
              <w:spacing w:after="0" w:before="0" w:line="240" w:lineRule="auto"/>
              <w:jc w:val="left"/>
            </w:pPr>
            <w:r>
              <w:t>10%</w:t>
            </w:r>
          </w:p>
        </w:tc>
      </w:tr>
      <w:tr>
        <w:tc>
          <w:tcPr>
            <w:tcW w:type="dxa" w:w="5400"/>
          </w:tcPr>
          <w:p>
            <w:pPr>
              <w:spacing w:after="0" w:before="0" w:line="240" w:lineRule="auto"/>
              <w:jc w:val="left"/>
            </w:pPr>
            <w:r>
              <w:t>Lifecycle support</w:t>
            </w:r>
          </w:p>
        </w:tc>
        <w:tc>
          <w:tcPr>
            <w:tcW w:type="dxa" w:w="5400"/>
          </w:tcPr>
          <w:p>
            <w:pPr>
              <w:spacing w:after="0" w:before="0" w:line="240" w:lineRule="auto"/>
              <w:jc w:val="left"/>
            </w:pPr>
            <w:r>
              <w:t>5%</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These weights are illustrative. They should be approved before evaluation and adjusted for the project.</w:t>
      </w:r>
    </w:p>
    <w:p>
      <w:r>
        <w:t>Mandatory safety and other non-negotiable requirements should remain separate pass/fail gates where the procurement process requires them.</w:t>
      </w:r>
    </w:p>
    <w:p>
      <w:r>
        <w:t>A weighted score must not conceal a critical noncompliance.</w:t>
      </w:r>
    </w:p>
    <w:p>
      <w:pPr>
        <w:pStyle w:val="Heading3"/>
      </w:pPr>
      <w:r>
        <w:t>15.3 Weighted score calculation</w:t>
      </w:r>
    </w:p>
    <w:p>
      <w:r>
        <w:t>For a criterion scored from 0 to 5:</w:t>
      </w:r>
    </w:p>
    <w:p>
      <w:pPr>
        <w:spacing w:before="120" w:after="160"/>
        <w:jc w:val="center"/>
      </w:pPr>
      <m:oMathPara>
        <m:oMath>
          <m:r>
            <m:rPr>
              <m:nor/>
            </m:rPr>
            <m:t>Weighted contribution</m:t>
          </m:r>
          <m:r>
            <m:t>=</m:t>
          </m:r>
          <m:f>
            <m:fPr>
              <m:type m:val="bar"/>
            </m:fPr>
            <m:num>
              <m:r>
                <m:rPr>
                  <m:nor/>
                </m:rPr>
                <m:t>Score</m:t>
              </m:r>
            </m:num>
            <m:den>
              <m:r>
                <m:rPr>
                  <m:nor/>
                </m:rPr>
                <m:t>Maximum score</m:t>
              </m:r>
            </m:den>
          </m:f>
          <m:r>
            <m:t>×</m:t>
          </m:r>
          <m:r>
            <m:rPr>
              <m:nor/>
            </m:rPr>
            <m:t>Weight</m:t>
          </m:r>
        </m:oMath>
      </m:oMathPara>
    </w:p>
    <w:p>
      <w:r>
        <w:t>If a supplier receives 4 out of 5 for a criterion weighted at 20%, its contribution is:</w:t>
      </w:r>
    </w:p>
    <w:p>
      <w:pPr>
        <w:spacing w:before="120" w:after="160"/>
        <w:jc w:val="center"/>
      </w:pPr>
      <m:oMathPara>
        <m:oMath>
          <m:f>
            <m:fPr>
              <m:type m:val="bar"/>
            </m:fPr>
            <m:num>
              <m:r>
                <m:t>4</m:t>
              </m:r>
            </m:num>
            <m:den>
              <m:r>
                <m:t>5</m:t>
              </m:r>
            </m:den>
          </m:f>
          <m:r>
            <m:t>×20=16</m:t>
          </m:r>
        </m:oMath>
      </m:oMathPara>
    </w:p>
    <w:p>
      <w:r>
        <w:t>The overall score is the sum of the weighted contributions, subject to the approved eligibility and scoring rules.</w:t>
      </w:r>
    </w:p>
    <w:p>
      <w:pPr>
        <w:pStyle w:val="Heading2"/>
      </w:pPr>
      <w:r>
        <w:t>16. Common errors in compliance matrix preparation</w:t>
      </w:r>
    </w:p>
    <w:p>
      <w:pPr>
        <w:pStyle w:val="ListBullet"/>
      </w:pPr>
      <w:r>
        <w:t>Copying supplier declarations without checking the evidence.</w:t>
      </w:r>
    </w:p>
    <w:p>
      <w:pPr>
        <w:pStyle w:val="ListBullet"/>
      </w:pPr>
      <w:r>
        <w:t>Combining multiple requirements into a single row.</w:t>
      </w:r>
    </w:p>
    <w:p>
      <w:pPr>
        <w:pStyle w:val="ListBullet"/>
      </w:pPr>
      <w:r>
        <w:t>Using vague statuses such as "OK" without a defined meaning.</w:t>
      </w:r>
    </w:p>
    <w:p>
      <w:pPr>
        <w:pStyle w:val="ListBullet"/>
      </w:pPr>
      <w:r>
        <w:t>Treating missing information as automatic compliance.</w:t>
      </w:r>
    </w:p>
    <w:p>
      <w:pPr>
        <w:pStyle w:val="ListBullet"/>
      </w:pPr>
      <w:r>
        <w:t>Marking a requirement not applicable without justification.</w:t>
      </w:r>
    </w:p>
    <w:p>
      <w:pPr>
        <w:pStyle w:val="ListBullet"/>
      </w:pPr>
      <w:r>
        <w:t>Failing to identify mandatory requirements before evaluation.</w:t>
      </w:r>
    </w:p>
    <w:p>
      <w:pPr>
        <w:pStyle w:val="ListBullet"/>
      </w:pPr>
      <w:r>
        <w:t>Comparing different technical baselines between vendors.</w:t>
      </w:r>
    </w:p>
    <w:p>
      <w:pPr>
        <w:pStyle w:val="ListBullet"/>
      </w:pPr>
      <w:r>
        <w:t>Ignoring hidden exclusions in the supplier quotation.</w:t>
      </w:r>
    </w:p>
    <w:p>
      <w:pPr>
        <w:pStyle w:val="ListBullet"/>
      </w:pPr>
      <w:r>
        <w:t>Failing to record alternative makes, models, or architectures.</w:t>
      </w:r>
    </w:p>
    <w:p>
      <w:pPr>
        <w:pStyle w:val="ListBullet"/>
      </w:pPr>
      <w:r>
        <w:t>Accepting proposed deviations without documented approval.</w:t>
      </w:r>
    </w:p>
    <w:p>
      <w:pPr>
        <w:pStyle w:val="ListBullet"/>
      </w:pPr>
      <w:r>
        <w:t>Allowing different evaluators to use inconsistent status definitions.</w:t>
      </w:r>
    </w:p>
    <w:p>
      <w:pPr>
        <w:pStyle w:val="ListBullet"/>
      </w:pPr>
      <w:r>
        <w:t>Failing to reference supporting documents.</w:t>
      </w:r>
    </w:p>
    <w:p>
      <w:pPr>
        <w:pStyle w:val="ListBullet"/>
      </w:pPr>
      <w:r>
        <w:t>Using weighted scoring to compensate for a mandatory failure.</w:t>
      </w:r>
    </w:p>
    <w:p>
      <w:pPr>
        <w:pStyle w:val="ListBullet"/>
      </w:pPr>
      <w:r>
        <w:t>Not updating the matrix after formal clarifications.</w:t>
      </w:r>
    </w:p>
    <w:p>
      <w:pPr>
        <w:pStyle w:val="ListBullet"/>
      </w:pPr>
      <w:r>
        <w:t>Failing to transfer accepted deviations into the purchase order.</w:t>
      </w:r>
    </w:p>
    <w:p>
      <w:pPr>
        <w:pStyle w:val="ListBullet"/>
      </w:pPr>
      <w:r>
        <w:t>Leaving the final compliance matrix disconnected from FAT and SAT verification.</w:t>
      </w:r>
    </w:p>
    <w:p>
      <w:pPr>
        <w:pStyle w:val="Heading2"/>
      </w:pPr>
      <w:r>
        <w:t>17. Compliance matrix in Excel</w:t>
      </w:r>
    </w:p>
    <w:p>
      <w:r>
        <w:t>Excel is useful for managing a large number of requirements and suppliers.</w:t>
      </w:r>
    </w:p>
    <w:p>
      <w:r>
        <w:t>A practical workbook may contain the following sheets:</w:t>
      </w:r>
    </w:p>
    <w:p>
      <w:pPr>
        <w:pStyle w:val="ListBullet"/>
      </w:pPr>
      <w:r>
        <w:rPr>
          <w:rFonts w:ascii="Consolas" w:hAnsi="Consolas"/>
          <w:color w:val="333333"/>
          <w:sz w:val="19"/>
          <w:shd w:val="clear" w:color="auto" w:fill="EFEFEF"/>
        </w:rPr>
        <w:t>00_README</w:t>
      </w:r>
      <w:r>
        <w:t>: purpose, instructions, revision, and status definitions.</w:t>
      </w:r>
    </w:p>
    <w:p>
      <w:pPr>
        <w:pStyle w:val="ListBullet"/>
      </w:pPr>
      <w:r>
        <w:rPr>
          <w:rFonts w:ascii="Consolas" w:hAnsi="Consolas"/>
          <w:color w:val="333333"/>
          <w:sz w:val="19"/>
          <w:shd w:val="clear" w:color="auto" w:fill="EFEFEF"/>
        </w:rPr>
        <w:t>01_REQUIREMENTS</w:t>
      </w:r>
      <w:r>
        <w:t>: controlled requirement baseline.</w:t>
      </w:r>
    </w:p>
    <w:p>
      <w:pPr>
        <w:pStyle w:val="ListBullet"/>
      </w:pPr>
      <w:r>
        <w:rPr>
          <w:rFonts w:ascii="Consolas" w:hAnsi="Consolas"/>
          <w:color w:val="333333"/>
          <w:sz w:val="19"/>
          <w:shd w:val="clear" w:color="auto" w:fill="EFEFEF"/>
        </w:rPr>
        <w:t>02_COMPLIANCE</w:t>
      </w:r>
      <w:r>
        <w:t>: supplier-by-supplier compliance evaluation.</w:t>
      </w:r>
    </w:p>
    <w:p>
      <w:pPr>
        <w:pStyle w:val="ListBullet"/>
      </w:pPr>
      <w:r>
        <w:rPr>
          <w:rFonts w:ascii="Consolas" w:hAnsi="Consolas"/>
          <w:color w:val="333333"/>
          <w:sz w:val="19"/>
          <w:shd w:val="clear" w:color="auto" w:fill="EFEFEF"/>
        </w:rPr>
        <w:t>03_DEVIATIONS</w:t>
      </w:r>
      <w:r>
        <w:t>: proposed technical deviations.</w:t>
      </w:r>
    </w:p>
    <w:p>
      <w:pPr>
        <w:pStyle w:val="ListBullet"/>
      </w:pPr>
      <w:r>
        <w:rPr>
          <w:rFonts w:ascii="Consolas" w:hAnsi="Consolas"/>
          <w:color w:val="333333"/>
          <w:sz w:val="19"/>
          <w:shd w:val="clear" w:color="auto" w:fill="EFEFEF"/>
        </w:rPr>
        <w:t>04_CLARIFICATIONS</w:t>
      </w:r>
      <w:r>
        <w:t>: questions, answers, and open items.</w:t>
      </w:r>
    </w:p>
    <w:p>
      <w:pPr>
        <w:pStyle w:val="ListBullet"/>
      </w:pPr>
      <w:r>
        <w:rPr>
          <w:rFonts w:ascii="Consolas" w:hAnsi="Consolas"/>
          <w:color w:val="333333"/>
          <w:sz w:val="19"/>
          <w:shd w:val="clear" w:color="auto" w:fill="EFEFEF"/>
        </w:rPr>
        <w:t>05_SCORING</w:t>
      </w:r>
      <w:r>
        <w:t>: approved weighted evaluation.</w:t>
      </w:r>
    </w:p>
    <w:p>
      <w:pPr>
        <w:pStyle w:val="ListBullet"/>
      </w:pPr>
      <w:r>
        <w:rPr>
          <w:rFonts w:ascii="Consolas" w:hAnsi="Consolas"/>
          <w:color w:val="333333"/>
          <w:sz w:val="19"/>
          <w:shd w:val="clear" w:color="auto" w:fill="EFEFEF"/>
        </w:rPr>
        <w:t>06_SUMMARY</w:t>
      </w:r>
      <w:r>
        <w:t>: technical status and unresolved issues.</w:t>
      </w:r>
    </w:p>
    <w:p>
      <w:pPr>
        <w:pStyle w:val="ListBullet"/>
      </w:pPr>
      <w:r>
        <w:rPr>
          <w:rFonts w:ascii="Consolas" w:hAnsi="Consolas"/>
          <w:color w:val="333333"/>
          <w:sz w:val="19"/>
          <w:shd w:val="clear" w:color="auto" w:fill="EFEFEF"/>
        </w:rPr>
        <w:t>07_APPROVALS</w:t>
      </w:r>
      <w:r>
        <w:t>: reviewer and approval records.</w:t>
      </w:r>
    </w:p>
    <w:p>
      <w:r>
        <w:t>Recommended practices:</w:t>
      </w:r>
    </w:p>
    <w:p>
      <w:pPr>
        <w:pStyle w:val="ListBullet"/>
      </w:pPr>
      <w:r>
        <w:t>Use unique requirement IDs.</w:t>
      </w:r>
    </w:p>
    <w:p>
      <w:pPr>
        <w:pStyle w:val="ListBullet"/>
      </w:pPr>
      <w:r>
        <w:t>Use dropdowns for status and requirement criticality.</w:t>
      </w:r>
    </w:p>
    <w:p>
      <w:pPr>
        <w:pStyle w:val="ListBullet"/>
      </w:pPr>
      <w:r>
        <w:t>Apply conditional formatting to highlight unresolved and noncompliant items.</w:t>
      </w:r>
    </w:p>
    <w:p>
      <w:pPr>
        <w:pStyle w:val="ListBullet"/>
      </w:pPr>
      <w:r>
        <w:t>Keep supplier declarations separate from evaluator decisions.</w:t>
      </w:r>
    </w:p>
    <w:p>
      <w:pPr>
        <w:pStyle w:val="ListBullet"/>
      </w:pPr>
      <w:r>
        <w:t>Use document references instead of relying on free-text comments alone.</w:t>
      </w:r>
    </w:p>
    <w:p>
      <w:pPr>
        <w:pStyle w:val="ListBullet"/>
      </w:pPr>
      <w:r>
        <w:t>Track revisions and dates.</w:t>
      </w:r>
    </w:p>
    <w:p>
      <w:pPr>
        <w:pStyle w:val="ListBullet"/>
      </w:pPr>
      <w:r>
        <w:t>Protect controlled formulas and approved baselines.</w:t>
      </w:r>
    </w:p>
    <w:p>
      <w:pPr>
        <w:pStyle w:val="ListBullet"/>
      </w:pPr>
      <w:r>
        <w:t>Maintain an audit trail for changes.</w:t>
      </w:r>
    </w:p>
    <w:p>
      <w:pPr>
        <w:pStyle w:val="ListBullet"/>
      </w:pPr>
      <w:r>
        <w:t>Avoid formulas that automatically label a bid technically acceptable without applying all mandatory rules.</w:t>
      </w:r>
    </w:p>
    <w:p>
      <w:r>
        <w:t>For large evaluations, use a normalized requirement table and separate supplier-response records rather than building an unmanageable sheet with hundreds of manually maintained columns.</w:t>
      </w:r>
    </w:p>
    <w:p>
      <w:pPr>
        <w:pStyle w:val="Heading2"/>
      </w:pPr>
      <w:r>
        <w:t>18. Handling revised supplier offers</w:t>
      </w:r>
    </w:p>
    <w:p>
      <w:r>
        <w:t>Supplier offers can change during clarification or negotiation. Every change must be controlled.</w:t>
      </w:r>
    </w:p>
    <w:p>
      <w:r>
        <w:t>When a supplier submits a revised offer:</w:t>
      </w:r>
    </w:p>
    <w:p>
      <w:pPr>
        <w:tabs>
          <w:tab w:pos="403" w:val="left"/>
        </w:tabs>
        <w:spacing w:after="40" w:line="276" w:lineRule="auto"/>
        <w:ind w:left="403" w:hanging="403"/>
        <w:jc w:val="left"/>
      </w:pPr>
      <w:r>
        <w:rPr>
          <w:color w:val="1A2E4A"/>
        </w:rPr>
        <w:t>1.</w:t>
        <w:tab/>
      </w:r>
      <w:r>
        <w:t>Record the offer revision and date.</w:t>
      </w:r>
    </w:p>
    <w:p>
      <w:pPr>
        <w:tabs>
          <w:tab w:pos="403" w:val="left"/>
        </w:tabs>
        <w:spacing w:after="40" w:line="276" w:lineRule="auto"/>
        <w:ind w:left="403" w:hanging="403"/>
        <w:jc w:val="left"/>
      </w:pPr>
      <w:r>
        <w:rPr>
          <w:color w:val="1A2E4A"/>
        </w:rPr>
        <w:t>2.</w:t>
        <w:tab/>
      </w:r>
      <w:r>
        <w:t>Identify the requirements affected by the change.</w:t>
      </w:r>
    </w:p>
    <w:p>
      <w:pPr>
        <w:tabs>
          <w:tab w:pos="403" w:val="left"/>
        </w:tabs>
        <w:spacing w:after="40" w:line="276" w:lineRule="auto"/>
        <w:ind w:left="403" w:hanging="403"/>
        <w:jc w:val="left"/>
      </w:pPr>
      <w:r>
        <w:rPr>
          <w:color w:val="1A2E4A"/>
        </w:rPr>
        <w:t>3.</w:t>
        <w:tab/>
      </w:r>
      <w:r>
        <w:t>Reassess the corresponding compliance statuses.</w:t>
      </w:r>
    </w:p>
    <w:p>
      <w:pPr>
        <w:tabs>
          <w:tab w:pos="403" w:val="left"/>
        </w:tabs>
        <w:spacing w:after="40" w:line="276" w:lineRule="auto"/>
        <w:ind w:left="403" w:hanging="403"/>
        <w:jc w:val="left"/>
      </w:pPr>
      <w:r>
        <w:rPr>
          <w:color w:val="1A2E4A"/>
        </w:rPr>
        <w:t>4.</w:t>
        <w:tab/>
      </w:r>
      <w:r>
        <w:t>Update deviation and clarification records.</w:t>
      </w:r>
    </w:p>
    <w:p>
      <w:pPr>
        <w:tabs>
          <w:tab w:pos="403" w:val="left"/>
        </w:tabs>
        <w:spacing w:after="40" w:line="276" w:lineRule="auto"/>
        <w:ind w:left="403" w:hanging="403"/>
        <w:jc w:val="left"/>
      </w:pPr>
      <w:r>
        <w:rPr>
          <w:color w:val="1A2E4A"/>
        </w:rPr>
        <w:t>5.</w:t>
        <w:tab/>
      </w:r>
      <w:r>
        <w:t>Check impacts on cost, schedule, compatibility, risk, and performance.</w:t>
      </w:r>
    </w:p>
    <w:p>
      <w:pPr>
        <w:tabs>
          <w:tab w:pos="403" w:val="left"/>
        </w:tabs>
        <w:spacing w:after="40" w:line="276" w:lineRule="auto"/>
        <w:ind w:left="403" w:hanging="403"/>
        <w:jc w:val="left"/>
      </w:pPr>
      <w:r>
        <w:rPr>
          <w:color w:val="1A2E4A"/>
        </w:rPr>
        <w:t>6.</w:t>
        <w:tab/>
      </w:r>
      <w:r>
        <w:t>Obtain the required approvals.</w:t>
      </w:r>
    </w:p>
    <w:p>
      <w:pPr>
        <w:tabs>
          <w:tab w:pos="403" w:val="left"/>
        </w:tabs>
        <w:spacing w:after="40" w:line="276" w:lineRule="auto"/>
        <w:ind w:left="403" w:hanging="403"/>
        <w:jc w:val="left"/>
      </w:pPr>
      <w:r>
        <w:rPr>
          <w:color w:val="1A2E4A"/>
        </w:rPr>
        <w:t>7.</w:t>
        <w:tab/>
      </w:r>
      <w:r>
        <w:t>Preserve the previous evaluation revision.</w:t>
      </w:r>
    </w:p>
    <w:p>
      <w:r>
        <w:t>A revised CPU, communication module, sensor, or software license may affect multiple requirements. Update all relevant rows rather than changing one line and assuming the rest of the design remains unaffected.</w:t>
      </w:r>
    </w:p>
    <w:p>
      <w:pPr>
        <w:pStyle w:val="Heading2"/>
      </w:pPr>
      <w:r>
        <w:t>19. From compliance matrix to purchase order</w:t>
      </w:r>
    </w:p>
    <w:p>
      <w:r>
        <w:t>The final matrix should support a controlled transfer of the evaluated technical solution into the contract.</w:t>
      </w:r>
    </w:p>
    <w:p>
      <w:r>
        <w:t>Before purchase order release, confirm:</w:t>
      </w:r>
    </w:p>
    <w:p>
      <w:pPr>
        <w:pStyle w:val="ListBullet"/>
      </w:pPr>
      <w:r>
        <w:t>All mandatory requirements have a resolved disposition.</w:t>
      </w:r>
    </w:p>
    <w:p>
      <w:pPr>
        <w:pStyle w:val="ListBullet"/>
      </w:pPr>
      <w:r>
        <w:t>Required clarifications are closed or explicitly carried forward.</w:t>
      </w:r>
    </w:p>
    <w:p>
      <w:pPr>
        <w:pStyle w:val="ListBullet"/>
      </w:pPr>
      <w:r>
        <w:t>Approved deviations are documented.</w:t>
      </w:r>
    </w:p>
    <w:p>
      <w:pPr>
        <w:pStyle w:val="ListBullet"/>
      </w:pPr>
      <w:r>
        <w:t>Unapproved deviations are not treated as accepted.</w:t>
      </w:r>
    </w:p>
    <w:p>
      <w:pPr>
        <w:pStyle w:val="ListBullet"/>
      </w:pPr>
      <w:r>
        <w:t>Final makes, models, quantities, and configurations are identified.</w:t>
      </w:r>
    </w:p>
    <w:p>
      <w:pPr>
        <w:pStyle w:val="ListBullet"/>
      </w:pPr>
      <w:r>
        <w:t>Performance commitments are explicit.</w:t>
      </w:r>
    </w:p>
    <w:p>
      <w:pPr>
        <w:pStyle w:val="ListBullet"/>
      </w:pPr>
      <w:r>
        <w:t>Required software, licenses, documentation, and training are included.</w:t>
      </w:r>
    </w:p>
    <w:p>
      <w:pPr>
        <w:pStyle w:val="ListBullet"/>
      </w:pPr>
      <w:r>
        <w:t>Warranty and spare-parts obligations are defined.</w:t>
      </w:r>
    </w:p>
    <w:p>
      <w:pPr>
        <w:pStyle w:val="ListBullet"/>
      </w:pPr>
      <w:r>
        <w:t>FAT and SAT requirements remain consistent with the evaluated offer.</w:t>
      </w:r>
    </w:p>
    <w:p>
      <w:pPr>
        <w:pStyle w:val="ListBullet"/>
      </w:pPr>
      <w:r>
        <w:t>All contractual exceptions are visible and approved.</w:t>
      </w:r>
    </w:p>
    <w:p>
      <w:r>
        <w:t>The purchase order and its referenced technical documents should establish the authoritative agreed scope. The compliance matrix is supporting evidence and does not automatically override conflicting contractual language.</w:t>
      </w:r>
    </w:p>
    <w:p>
      <w:pPr>
        <w:pStyle w:val="Heading2"/>
      </w:pPr>
      <w:r>
        <w:t>20. Practical case study: Comparing three automation suppliers</w:t>
      </w:r>
    </w:p>
    <w:p>
      <w:r>
        <w:t>A plant needs a new PLC-controlled test bench. The RFQ requires a specified cycle time, barcode traceability, editable automation software, a defined industrial protocol, and safety functions.</w:t>
      </w:r>
    </w:p>
    <w:p>
      <w:r>
        <w:t>Three suppliers submit offers:</w:t>
      </w:r>
    </w:p>
    <w:p>
      <w:pPr>
        <w:pStyle w:val="ListBullet"/>
      </w:pPr>
      <w:r>
        <w:t>Supplier A meets the specified architecture and provides supporting technical evidence.</w:t>
      </w:r>
    </w:p>
    <w:p>
      <w:pPr>
        <w:pStyle w:val="ListBullet"/>
      </w:pPr>
      <w:r>
        <w:t>Supplier B offers a lower price but proposes a different PLC platform and excludes editable project files.</w:t>
      </w:r>
    </w:p>
    <w:p>
      <w:pPr>
        <w:pStyle w:val="ListBullet"/>
      </w:pPr>
      <w:r>
        <w:t>Supplier C meets the hardware requirements but has not demonstrated the required traceability behavior.</w:t>
      </w:r>
    </w:p>
    <w:p>
      <w:r>
        <w:t>The correct evaluation process is:</w:t>
      </w:r>
    </w:p>
    <w:p>
      <w:pPr>
        <w:tabs>
          <w:tab w:pos="403" w:val="left"/>
        </w:tabs>
        <w:spacing w:after="40" w:line="276" w:lineRule="auto"/>
        <w:ind w:left="403" w:hanging="403"/>
        <w:jc w:val="left"/>
      </w:pPr>
      <w:r>
        <w:rPr>
          <w:color w:val="1A2E4A"/>
        </w:rPr>
        <w:t>1.</w:t>
        <w:tab/>
      </w:r>
      <w:r>
        <w:t>Assess each supplier against the same requirement IDs.</w:t>
      </w:r>
    </w:p>
    <w:p>
      <w:pPr>
        <w:tabs>
          <w:tab w:pos="403" w:val="left"/>
        </w:tabs>
        <w:spacing w:after="40" w:line="276" w:lineRule="auto"/>
        <w:ind w:left="403" w:hanging="403"/>
        <w:jc w:val="left"/>
      </w:pPr>
      <w:r>
        <w:rPr>
          <w:color w:val="1A2E4A"/>
        </w:rPr>
        <w:t>2.</w:t>
        <w:tab/>
      </w:r>
      <w:r>
        <w:t>Verify Supplier A's evidence instead of accepting its claims without review.</w:t>
      </w:r>
    </w:p>
    <w:p>
      <w:pPr>
        <w:tabs>
          <w:tab w:pos="403" w:val="left"/>
        </w:tabs>
        <w:spacing w:after="40" w:line="276" w:lineRule="auto"/>
        <w:ind w:left="403" w:hanging="403"/>
        <w:jc w:val="left"/>
      </w:pPr>
      <w:r>
        <w:rPr>
          <w:color w:val="1A2E4A"/>
        </w:rPr>
        <w:t>3.</w:t>
        <w:tab/>
      </w:r>
      <w:r>
        <w:t>Record Supplier B's proposed controller and software exclusions as deviations or noncompliances, depending on the exact requirements.</w:t>
      </w:r>
    </w:p>
    <w:p>
      <w:pPr>
        <w:tabs>
          <w:tab w:pos="403" w:val="left"/>
        </w:tabs>
        <w:spacing w:after="40" w:line="276" w:lineRule="auto"/>
        <w:ind w:left="403" w:hanging="403"/>
        <w:jc w:val="left"/>
      </w:pPr>
      <w:r>
        <w:rPr>
          <w:color w:val="1A2E4A"/>
        </w:rPr>
        <w:t>4.</w:t>
        <w:tab/>
      </w:r>
      <w:r>
        <w:t>Request clarification from Supplier C on traceability and require evidence of the specified behavior.</w:t>
      </w:r>
    </w:p>
    <w:p>
      <w:pPr>
        <w:tabs>
          <w:tab w:pos="403" w:val="left"/>
        </w:tabs>
        <w:spacing w:after="40" w:line="276" w:lineRule="auto"/>
        <w:ind w:left="403" w:hanging="403"/>
        <w:jc w:val="left"/>
      </w:pPr>
      <w:r>
        <w:rPr>
          <w:color w:val="1A2E4A"/>
        </w:rPr>
        <w:t>5.</w:t>
        <w:tab/>
      </w:r>
      <w:r>
        <w:t>Apply the approved mandatory requirements and scoring rules.</w:t>
      </w:r>
    </w:p>
    <w:p>
      <w:pPr>
        <w:tabs>
          <w:tab w:pos="403" w:val="left"/>
        </w:tabs>
        <w:spacing w:after="40" w:line="276" w:lineRule="auto"/>
        <w:ind w:left="403" w:hanging="403"/>
        <w:jc w:val="left"/>
      </w:pPr>
      <w:r>
        <w:rPr>
          <w:color w:val="1A2E4A"/>
        </w:rPr>
        <w:t>6.</w:t>
        <w:tab/>
      </w:r>
      <w:r>
        <w:t>Document the technical recommendation and unresolved risks.</w:t>
      </w:r>
    </w:p>
    <w:p>
      <w:pPr>
        <w:tabs>
          <w:tab w:pos="403" w:val="left"/>
        </w:tabs>
        <w:spacing w:after="40" w:line="276" w:lineRule="auto"/>
        <w:ind w:left="403" w:hanging="403"/>
        <w:jc w:val="left"/>
      </w:pPr>
      <w:r>
        <w:rPr>
          <w:color w:val="1A2E4A"/>
        </w:rPr>
        <w:t>7.</w:t>
        <w:tab/>
      </w:r>
      <w:r>
        <w:t>Transfer the selected solution and approved exceptions into the purchase order.</w:t>
      </w:r>
    </w:p>
    <w:p>
      <w:r>
        <w:t>Supplier B should not win the technical evaluation merely because the initial quotation is cheaper. Supplier C should not be rejected automatically if the issue is genuinely missing evidence that can be supplied within the rules. Supplier A should not be assumed best solely because its offer appears complete.</w:t>
      </w:r>
    </w:p>
    <w:p>
      <w:r>
        <w:t>The decision must be evidence-based, consistent, and traceable.</w:t>
      </w:r>
    </w:p>
    <w:p>
      <w:pPr>
        <w:pStyle w:val="Heading2"/>
      </w:pPr>
      <w:r>
        <w:t>21. Compliance matrix checklist</w:t>
      </w:r>
    </w:p>
    <w:p>
      <w:pPr>
        <w:pStyle w:val="ListBullet"/>
      </w:pPr>
      <w:r>
        <w:t>Approved requirement baseline is identified.</w:t>
      </w:r>
    </w:p>
    <w:p>
      <w:pPr>
        <w:pStyle w:val="ListBullet"/>
      </w:pPr>
      <w:r>
        <w:t>Every requirement has a unique ID.</w:t>
      </w:r>
    </w:p>
    <w:p>
      <w:pPr>
        <w:pStyle w:val="ListBullet"/>
      </w:pPr>
      <w:r>
        <w:t>Mandatory and desirable requirements are distinguished.</w:t>
      </w:r>
    </w:p>
    <w:p>
      <w:pPr>
        <w:pStyle w:val="ListBullet"/>
      </w:pPr>
      <w:r>
        <w:t>Compliance statuses have defined meanings.</w:t>
      </w:r>
    </w:p>
    <w:p>
      <w:pPr>
        <w:pStyle w:val="ListBullet"/>
      </w:pPr>
      <w:r>
        <w:t>Supplier responses are recorded individually.</w:t>
      </w:r>
    </w:p>
    <w:p>
      <w:pPr>
        <w:pStyle w:val="ListBullet"/>
      </w:pPr>
      <w:r>
        <w:t>Evidence references are provided.</w:t>
      </w:r>
    </w:p>
    <w:p>
      <w:pPr>
        <w:pStyle w:val="ListBullet"/>
      </w:pPr>
      <w:r>
        <w:t>Evaluator judgments are independent of supplier declarations.</w:t>
      </w:r>
    </w:p>
    <w:p>
      <w:pPr>
        <w:pStyle w:val="ListBullet"/>
      </w:pPr>
      <w:r>
        <w:t>Hardware, software, interfaces, safety, and performance are covered.</w:t>
      </w:r>
    </w:p>
    <w:p>
      <w:pPr>
        <w:pStyle w:val="ListBullet"/>
      </w:pPr>
      <w:r>
        <w:t>Missing evidence is not treated as proven compliance.</w:t>
      </w:r>
    </w:p>
    <w:p>
      <w:pPr>
        <w:pStyle w:val="ListBullet"/>
      </w:pPr>
      <w:r>
        <w:t>Technical deviations have unique references.</w:t>
      </w:r>
    </w:p>
    <w:p>
      <w:pPr>
        <w:pStyle w:val="ListBullet"/>
      </w:pPr>
      <w:r>
        <w:t>Clarification questions and answers are controlled.</w:t>
      </w:r>
    </w:p>
    <w:p>
      <w:pPr>
        <w:pStyle w:val="ListBullet"/>
      </w:pPr>
      <w:r>
        <w:t>Scoring rules and weights are approved.</w:t>
      </w:r>
    </w:p>
    <w:p>
      <w:pPr>
        <w:pStyle w:val="ListBullet"/>
      </w:pPr>
      <w:r>
        <w:t>Mandatory failures cannot be hidden by aggregate scores.</w:t>
      </w:r>
    </w:p>
    <w:p>
      <w:pPr>
        <w:pStyle w:val="ListBullet"/>
      </w:pPr>
      <w:r>
        <w:t>Revised offers are evaluated under revision control.</w:t>
      </w:r>
    </w:p>
    <w:p>
      <w:pPr>
        <w:pStyle w:val="ListBullet"/>
      </w:pPr>
      <w:r>
        <w:t>Final dispositions are recorded with reasoning.</w:t>
      </w:r>
    </w:p>
    <w:p>
      <w:pPr>
        <w:pStyle w:val="ListBullet"/>
      </w:pPr>
      <w:r>
        <w:t>Approved deviations are reflected in contractual documents.</w:t>
      </w:r>
    </w:p>
    <w:p>
      <w:pPr>
        <w:pStyle w:val="ListBullet"/>
      </w:pPr>
      <w:r>
        <w:t>The final matrix is retained for project verification and audit.</w:t>
      </w:r>
    </w:p>
    <w:p>
      <w:pPr>
        <w:pStyle w:val="Heading2"/>
      </w:pPr>
      <w:r>
        <w:t>22. Interview questions and answers</w:t>
      </w:r>
    </w:p>
    <w:p>
      <w:r>
        <w:t>1\. What is a compliance matrix?</w:t>
      </w:r>
    </w:p>
    <w:p>
      <w:r>
        <w:t>A compliance matrix is a requirement-by-requirement comparison of the supplier's technical offer against the approved customer specification, including status, evidence, gaps, and evaluation remarks.</w:t>
      </w:r>
    </w:p>
    <w:p>
      <w:r>
        <w:t>2\. Why is a compliance matrix used during technical bid evaluation?</w:t>
      </w:r>
    </w:p>
    <w:p>
      <w:r>
        <w:t>It enables consistent comparison, exposes omissions and deviations, and creates a traceable basis for technical qualification.</w:t>
      </w:r>
    </w:p>
    <w:p>
      <w:r>
        <w:t>3\. What is the difference between supplier compliance and evaluated compliance?</w:t>
      </w:r>
    </w:p>
    <w:p>
      <w:r>
        <w:t>Supplier compliance is the supplier's declaration. Evaluated compliance is the customer's conclusion after reviewing the actual offer and supporting evidence.</w:t>
      </w:r>
    </w:p>
    <w:p>
      <w:r>
        <w:t>4\. What does partial compliance mean?</w:t>
      </w:r>
    </w:p>
    <w:p>
      <w:r>
        <w:t>It means the proposed solution satisfies some aspects of a requirement but does not fully satisfy the entire requirement.</w:t>
      </w:r>
    </w:p>
    <w:p>
      <w:r>
        <w:t>5\. How should missing information be treated?</w:t>
      </w:r>
    </w:p>
    <w:p>
      <w:r>
        <w:t>Record the response as requiring clarification or lacking evidence, according to the defined status scheme. Do not automatically assume that the requirement is satisfied.</w:t>
      </w:r>
    </w:p>
    <w:p>
      <w:r>
        <w:t>6\. Can a supplier with the highest technical score still be disqualified?</w:t>
      </w:r>
    </w:p>
    <w:p>
      <w:r>
        <w:t>Yes, if the supplier fails a mandatory requirement that cannot be accepted under the applicable procurement rules.</w:t>
      </w:r>
    </w:p>
    <w:p>
      <w:r>
        <w:t>7\. What is the difference between a compliance matrix and a deviation register?</w:t>
      </w:r>
    </w:p>
    <w:p>
      <w:r>
        <w:t>The compliance matrix records the status of each requirement. The deviation register documents the detailed differences, their impacts, proposed alternatives, and approval decisions.</w:t>
      </w:r>
    </w:p>
    <w:p>
      <w:r>
        <w:t>8\. Why should requirement IDs be unique?</w:t>
      </w:r>
    </w:p>
    <w:p>
      <w:r>
        <w:t>Unique IDs connect the specification, bid evaluation, clarifications, deviations, purchase order, and acceptance tests.</w:t>
      </w:r>
    </w:p>
    <w:p>
      <w:r>
        <w:t>9\. Should commercial price affect technical compliance status?</w:t>
      </w:r>
    </w:p>
    <w:p>
      <w:r>
        <w:t>Technical compliance should be assessed using the approved technical criteria. Price is evaluated through the appropriate commercial process, while any approved total-cost methodology should be explicitly defined.</w:t>
      </w:r>
    </w:p>
    <w:p>
      <w:r>
        <w:t>10\. Why is revision control important?</w:t>
      </w:r>
    </w:p>
    <w:p>
      <w:r>
        <w:t>It ensures that evaluators use the correct offer and requirement versions and that changes are traceable.</w:t>
      </w:r>
    </w:p>
    <w:p>
      <w:r>
        <w:t>11\. What should happen after the compliance matrix is finalized?</w:t>
      </w:r>
    </w:p>
    <w:p>
      <w:r>
        <w:t>The technical evaluation should be approved, outstanding issues resolved according to procurement rules, and the selected solution and accepted deviations transferred into the contract documents.</w:t>
      </w:r>
    </w:p>
    <w:p>
      <w:r>
        <w:t>12\. What is the biggest mistake in compliance evaluation?</w:t>
      </w:r>
    </w:p>
    <w:p>
      <w:r>
        <w:t>Treating a supplier's general statement of compliance as proof that every individual technical requirement is met.</w:t>
      </w:r>
    </w:p>
    <w:p>
      <w:pPr>
        <w:pStyle w:val="Heading2"/>
      </w:pPr>
      <w:r>
        <w:t>23. Final engineering principle</w:t>
      </w:r>
    </w:p>
    <w:p>
      <w:r>
        <w:t>A compliance matrix is the bridge between the customer's technical requirements and the supplier's actual proposal. It makes omissions, substitutions, limitations, and evidence gaps visible before they become procurement disputes or commissioning failures.</w:t>
      </w:r>
    </w:p>
    <w:p>
      <w:r>
        <w:t>For industrial automation, evaluate the complete delivered configuration, including hardware, software, interfaces, safety functions, performance, documentation, training, and lifecycle support. Use controlled requirement IDs, consistent status definitions, documented evidence, and approved dispositions.</w:t>
      </w:r>
    </w:p>
    <w:p>
      <w:r>
        <w:t>The goal is not merely to select a supplier that claims compliance. It is to select a technically suitable solution whose compliance can be demonstrated and carried forward into the purchase order, FAT, SAT, and final acceptance.</w:t>
      </w:r>
    </w:p>
    <w:p>
      <w:pPr>
        <w:pStyle w:val="Heading2"/>
      </w:pPr>
      <w:r>
        <w:t>NEXT TOPIC</w:t>
      </w:r>
    </w:p>
    <w:p>
      <w:r>
        <w:rPr>
          <w:rFonts w:ascii="Consolas" w:hAnsi="Consolas"/>
          <w:color w:val="333333"/>
          <w:sz w:val="19"/>
          <w:shd w:val="clear" w:color="auto" w:fill="EFEFEF"/>
        </w:rPr>
        <w:t>02_PLAN_WISE_2026\02_INDUSTRY3_0\09_Procurement\02_Technical_Bid_Evaluation\02_Technical_Deviations - Technical deviations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02_PLAN_WISE_2026\02_INDUSTRY3_0\09_Procurement\02_Technical_Bid_Evaluation\01_Compliance_Matrix - Compliance matrix</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