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02_PLAN_WISE_2026\02_INDUSTRY3_0\09_Procurement\02_Technical_Bid_Evaluation\02_Technical_Deviations - Technical deviations</w:t>
      </w:r>
    </w:p>
    <w:p>
      <w:pPr>
        <w:pStyle w:val="Heading2"/>
      </w:pPr>
      <w:r>
        <w:t>1. What is a technical deviation?</w:t>
      </w:r>
    </w:p>
    <w:p>
      <w:r>
        <w:t>A technical deviation is a difference between a specified or approved requirement and the solution, capability, configuration, performance, or deliverable proposed by a supplier.</w:t>
      </w:r>
    </w:p>
    <w:p>
      <w:r>
        <w:t>A deviation may be an explicit exception, an alternative design, a limitation, an omission, or a difference discovered during detailed technical review.</w:t>
      </w:r>
    </w:p>
    <w:p>
      <w:r>
        <w:t>In industrial automation procurement, deviations must be identified and evaluated before they become contractual commitments or problems during installation, commissioning, or production.</w:t>
      </w:r>
    </w:p>
    <w:p>
      <w:r>
        <w:t>For example, an RFQ may require a Siemens PLC, while a supplier proposes an Allen-Bradley PLC. This is a deviation if the specified platform is mandatory. If the RFQ allows equivalent platforms subject to approval, the proposal is an alternative that still requires evaluation against the stated requirements.</w:t>
      </w:r>
    </w:p>
    <w:p>
      <w:r>
        <w:t>A deviation is not automatically unacceptable, but it must never be treated as accepted merely because the supplier mentioned it in a quotation.</w:t>
      </w:r>
    </w:p>
    <w:p>
      <w:pPr>
        <w:pStyle w:val="Heading2"/>
      </w:pPr>
      <w:r>
        <w:t>2. Why technical deviations matter</w:t>
      </w:r>
    </w:p>
    <w:p>
      <w:r>
        <w:t>Technical deviations can affect:</w:t>
      </w:r>
    </w:p>
    <w:p>
      <w:pPr>
        <w:pStyle w:val="ListBullet"/>
      </w:pPr>
      <w:r>
        <w:t>Functional performance and production cycle time.</w:t>
      </w:r>
    </w:p>
    <w:p>
      <w:pPr>
        <w:pStyle w:val="ListBullet"/>
      </w:pPr>
      <w:r>
        <w:t>Equipment safety and regulatory compliance.</w:t>
      </w:r>
    </w:p>
    <w:p>
      <w:pPr>
        <w:pStyle w:val="ListBullet"/>
      </w:pPr>
      <w:r>
        <w:t>Compatibility with existing PLCs, CNCs, robots, HMIs, and SCADA systems.</w:t>
      </w:r>
    </w:p>
    <w:p>
      <w:pPr>
        <w:pStyle w:val="ListBullet"/>
      </w:pPr>
      <w:r>
        <w:t>Industrial communication and network architecture.</w:t>
      </w:r>
    </w:p>
    <w:p>
      <w:pPr>
        <w:pStyle w:val="ListBullet"/>
      </w:pPr>
      <w:r>
        <w:t>Reliability, maintainability, and spare-parts availability.</w:t>
      </w:r>
    </w:p>
    <w:p>
      <w:pPr>
        <w:pStyle w:val="ListBullet"/>
      </w:pPr>
      <w:r>
        <w:t>Software licensing and engineering access.</w:t>
      </w:r>
    </w:p>
    <w:p>
      <w:pPr>
        <w:pStyle w:val="ListBullet"/>
      </w:pPr>
      <w:r>
        <w:t>Project cost and delivery schedule.</w:t>
      </w:r>
    </w:p>
    <w:p>
      <w:pPr>
        <w:pStyle w:val="ListBullet"/>
      </w:pPr>
      <w:r>
        <w:t>FAT, SAT, and final acceptance.</w:t>
      </w:r>
    </w:p>
    <w:p>
      <w:pPr>
        <w:pStyle w:val="ListBullet"/>
      </w:pPr>
      <w:r>
        <w:t>Warranty, service support, and lifecycle costs.</w:t>
      </w:r>
    </w:p>
    <w:p>
      <w:pPr>
        <w:pStyle w:val="ListBullet"/>
      </w:pPr>
      <w:r>
        <w:t>Contractual obligations and future responsibility.</w:t>
      </w:r>
    </w:p>
    <w:p>
      <w:r>
        <w:t>A seemingly minor substitution can create multiple downstream consequences. Replacing a sensor, for instance, may require a different mounting arrangement, electrical interface, PLC input type, diagnostic strategy, and spare-parts stocking decision.</w:t>
      </w:r>
    </w:p>
    <w:p>
      <w:pPr>
        <w:pStyle w:val="Heading2"/>
      </w:pPr>
      <w:r>
        <w:t>3. Where technical deviations fit in procurement</w:t>
      </w:r>
    </w:p>
    <w:p>
      <w:pPr>
        <w:shd w:val="clear" w:color="auto" w:fill="F4F4F4"/>
        <w:spacing w:before="0" w:after="0" w:line="240" w:lineRule="auto"/>
        <w:ind w:left="216" w:right="216"/>
        <w:jc w:val="left"/>
      </w:pPr>
      <w:r>
        <w:rPr>
          <w:rFonts w:ascii="Consolas" w:hAnsi="Consolas"/>
          <w:color w:val="202020"/>
          <w:sz w:val="18"/>
        </w:rPr>
        <w:t>Approved Requirement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Supplier Technical Offer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Compliance Matrix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Deviation Identification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Impact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Clarification and Alternative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 Accept with Conditions / Reject / Pending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Approval and Revision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Purchase Order and Contractual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FAT / SAT / Final Acceptance Verification</w:t>
      </w:r>
    </w:p>
    <w:p/>
    <w:p>
      <w:r>
        <w:t>The process begins with a clear requirement baseline. Without one, the evaluator cannot reliably distinguish a genuine deviation from an unclear or incomplete requirement.</w:t>
      </w:r>
    </w:p>
    <w:p>
      <w:pPr>
        <w:pStyle w:val="Heading2"/>
      </w:pPr>
      <w:r>
        <w:t>4. Common types of technical deviations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Deviation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Potential impact</w:t>
            </w:r>
          </w:p>
        </w:tc>
      </w:tr>
      <w:tr>
        <w:tc>
          <w:tcPr>
            <w:tcW w:type="dxa" w:w="3600"/>
          </w:tcPr>
          <w:p>
            <w:pPr>
              <w:spacing w:after="0" w:before="0" w:line="240" w:lineRule="auto"/>
              <w:jc w:val="left"/>
            </w:pPr>
            <w:r>
              <w:t>Hardware</w:t>
            </w:r>
          </w:p>
        </w:tc>
        <w:tc>
          <w:tcPr>
            <w:tcW w:type="dxa" w:w="3600"/>
          </w:tcPr>
          <w:p>
            <w:pPr>
              <w:spacing w:after="0" w:before="0" w:line="240" w:lineRule="auto"/>
              <w:jc w:val="left"/>
            </w:pPr>
            <w:r>
              <w:t>Different PLC CPU or I/O module</w:t>
            </w:r>
          </w:p>
        </w:tc>
        <w:tc>
          <w:tcPr>
            <w:tcW w:type="dxa" w:w="3600"/>
          </w:tcPr>
          <w:p>
            <w:pPr>
              <w:spacing w:after="0" w:before="0" w:line="240" w:lineRule="auto"/>
              <w:jc w:val="left"/>
            </w:pPr>
            <w:r>
              <w:t>Compatibility, performance, spares</w:t>
            </w:r>
          </w:p>
        </w:tc>
      </w:tr>
      <w:tr>
        <w:tc>
          <w:tcPr>
            <w:tcW w:type="dxa" w:w="3600"/>
          </w:tcPr>
          <w:p>
            <w:pPr>
              <w:spacing w:after="0" w:before="0" w:line="240" w:lineRule="auto"/>
              <w:jc w:val="left"/>
            </w:pPr>
            <w:r>
              <w:t>Functional</w:t>
            </w:r>
          </w:p>
        </w:tc>
        <w:tc>
          <w:tcPr>
            <w:tcW w:type="dxa" w:w="3600"/>
          </w:tcPr>
          <w:p>
            <w:pPr>
              <w:spacing w:after="0" w:before="0" w:line="240" w:lineRule="auto"/>
              <w:jc w:val="left"/>
            </w:pPr>
            <w:r>
              <w:t>Required automatic recovery not implemented</w:t>
            </w:r>
          </w:p>
        </w:tc>
        <w:tc>
          <w:tcPr>
            <w:tcW w:type="dxa" w:w="3600"/>
          </w:tcPr>
          <w:p>
            <w:pPr>
              <w:spacing w:after="0" w:before="0" w:line="240" w:lineRule="auto"/>
              <w:jc w:val="left"/>
            </w:pPr>
            <w:r>
              <w:t>Production interruption</w:t>
            </w:r>
          </w:p>
        </w:tc>
      </w:tr>
      <w:tr>
        <w:tc>
          <w:tcPr>
            <w:tcW w:type="dxa" w:w="3600"/>
          </w:tcPr>
          <w:p>
            <w:pPr>
              <w:spacing w:after="0" w:before="0" w:line="240" w:lineRule="auto"/>
              <w:jc w:val="left"/>
            </w:pPr>
            <w:r>
              <w:t>Performance</w:t>
            </w:r>
          </w:p>
        </w:tc>
        <w:tc>
          <w:tcPr>
            <w:tcW w:type="dxa" w:w="3600"/>
          </w:tcPr>
          <w:p>
            <w:pPr>
              <w:spacing w:after="0" w:before="0" w:line="240" w:lineRule="auto"/>
              <w:jc w:val="left"/>
            </w:pPr>
            <w:r>
              <w:t>Proposed cycle time exceeds the limit</w:t>
            </w:r>
          </w:p>
        </w:tc>
        <w:tc>
          <w:tcPr>
            <w:tcW w:type="dxa" w:w="3600"/>
          </w:tcPr>
          <w:p>
            <w:pPr>
              <w:spacing w:after="0" w:before="0" w:line="240" w:lineRule="auto"/>
              <w:jc w:val="left"/>
            </w:pPr>
            <w:r>
              <w:t>Capacity shortfall</w:t>
            </w:r>
          </w:p>
        </w:tc>
      </w:tr>
      <w:tr>
        <w:tc>
          <w:tcPr>
            <w:tcW w:type="dxa" w:w="3600"/>
          </w:tcPr>
          <w:p>
            <w:pPr>
              <w:spacing w:after="0" w:before="0" w:line="240" w:lineRule="auto"/>
              <w:jc w:val="left"/>
            </w:pPr>
            <w:r>
              <w:t>Interface</w:t>
            </w:r>
          </w:p>
        </w:tc>
        <w:tc>
          <w:tcPr>
            <w:tcW w:type="dxa" w:w="3600"/>
          </w:tcPr>
          <w:p>
            <w:pPr>
              <w:spacing w:after="0" w:before="0" w:line="240" w:lineRule="auto"/>
              <w:jc w:val="left"/>
            </w:pPr>
            <w:r>
              <w:t>Required protocol not supported</w:t>
            </w:r>
          </w:p>
        </w:tc>
        <w:tc>
          <w:tcPr>
            <w:tcW w:type="dxa" w:w="3600"/>
          </w:tcPr>
          <w:p>
            <w:pPr>
              <w:spacing w:after="0" w:before="0" w:line="240" w:lineRule="auto"/>
              <w:jc w:val="left"/>
            </w:pPr>
            <w:r>
              <w:t>Integration failure</w:t>
            </w:r>
          </w:p>
        </w:tc>
      </w:tr>
      <w:tr>
        <w:tc>
          <w:tcPr>
            <w:tcW w:type="dxa" w:w="3600"/>
          </w:tcPr>
          <w:p>
            <w:pPr>
              <w:spacing w:after="0" w:before="0" w:line="240" w:lineRule="auto"/>
              <w:jc w:val="left"/>
            </w:pPr>
            <w:r>
              <w:t>Safety</w:t>
            </w:r>
          </w:p>
        </w:tc>
        <w:tc>
          <w:tcPr>
            <w:tcW w:type="dxa" w:w="3600"/>
          </w:tcPr>
          <w:p>
            <w:pPr>
              <w:spacing w:after="0" w:before="0" w:line="240" w:lineRule="auto"/>
              <w:jc w:val="left"/>
            </w:pPr>
            <w:r>
              <w:t>Alternative safety architecture proposed</w:t>
            </w:r>
          </w:p>
        </w:tc>
        <w:tc>
          <w:tcPr>
            <w:tcW w:type="dxa" w:w="3600"/>
          </w:tcPr>
          <w:p>
            <w:pPr>
              <w:spacing w:after="0" w:before="0" w:line="240" w:lineRule="auto"/>
              <w:jc w:val="left"/>
            </w:pPr>
            <w:r>
              <w:t>Safety validation and compliance risk</w:t>
            </w:r>
          </w:p>
        </w:tc>
      </w:tr>
      <w:tr>
        <w:tc>
          <w:tcPr>
            <w:tcW w:type="dxa" w:w="3600"/>
          </w:tcPr>
          <w:p>
            <w:pPr>
              <w:spacing w:after="0" w:before="0" w:line="240" w:lineRule="auto"/>
              <w:jc w:val="left"/>
            </w:pPr>
            <w:r>
              <w:t>Environmental</w:t>
            </w:r>
          </w:p>
        </w:tc>
        <w:tc>
          <w:tcPr>
            <w:tcW w:type="dxa" w:w="3600"/>
          </w:tcPr>
          <w:p>
            <w:pPr>
              <w:spacing w:after="0" w:before="0" w:line="240" w:lineRule="auto"/>
              <w:jc w:val="left"/>
            </w:pPr>
            <w:r>
              <w:t>Lower temperature rating than specified</w:t>
            </w:r>
          </w:p>
        </w:tc>
        <w:tc>
          <w:tcPr>
            <w:tcW w:type="dxa" w:w="3600"/>
          </w:tcPr>
          <w:p>
            <w:pPr>
              <w:spacing w:after="0" w:before="0" w:line="240" w:lineRule="auto"/>
              <w:jc w:val="left"/>
            </w:pPr>
            <w:r>
              <w:t>Premature failure</w:t>
            </w:r>
          </w:p>
        </w:tc>
      </w:tr>
      <w:tr>
        <w:tc>
          <w:tcPr>
            <w:tcW w:type="dxa" w:w="3600"/>
          </w:tcPr>
          <w:p>
            <w:pPr>
              <w:spacing w:after="0" w:before="0" w:line="240" w:lineRule="auto"/>
              <w:jc w:val="left"/>
            </w:pPr>
            <w:r>
              <w:t>Mechanical</w:t>
            </w:r>
          </w:p>
        </w:tc>
        <w:tc>
          <w:tcPr>
            <w:tcW w:type="dxa" w:w="3600"/>
          </w:tcPr>
          <w:p>
            <w:pPr>
              <w:spacing w:after="0" w:before="0" w:line="240" w:lineRule="auto"/>
              <w:jc w:val="left"/>
            </w:pPr>
            <w:r>
              <w:t>Different dimensions or mounting</w:t>
            </w:r>
          </w:p>
        </w:tc>
        <w:tc>
          <w:tcPr>
            <w:tcW w:type="dxa" w:w="3600"/>
          </w:tcPr>
          <w:p>
            <w:pPr>
              <w:spacing w:after="0" w:before="0" w:line="240" w:lineRule="auto"/>
              <w:jc w:val="left"/>
            </w:pPr>
            <w:r>
              <w:t>Fitment and redesign</w:t>
            </w:r>
          </w:p>
        </w:tc>
      </w:tr>
      <w:tr>
        <w:tc>
          <w:tcPr>
            <w:tcW w:type="dxa" w:w="3600"/>
          </w:tcPr>
          <w:p>
            <w:pPr>
              <w:spacing w:after="0" w:before="0" w:line="240" w:lineRule="auto"/>
              <w:jc w:val="left"/>
            </w:pPr>
            <w:r>
              <w:t>Software</w:t>
            </w:r>
          </w:p>
        </w:tc>
        <w:tc>
          <w:tcPr>
            <w:tcW w:type="dxa" w:w="3600"/>
          </w:tcPr>
          <w:p>
            <w:pPr>
              <w:spacing w:after="0" w:before="0" w:line="240" w:lineRule="auto"/>
              <w:jc w:val="left"/>
            </w:pPr>
            <w:r>
              <w:t>Editable source project excluded</w:t>
            </w:r>
          </w:p>
        </w:tc>
        <w:tc>
          <w:tcPr>
            <w:tcW w:type="dxa" w:w="3600"/>
          </w:tcPr>
          <w:p>
            <w:pPr>
              <w:spacing w:after="0" w:before="0" w:line="240" w:lineRule="auto"/>
              <w:jc w:val="left"/>
            </w:pPr>
            <w:r>
              <w:t>Maintenance and ownership limitations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Electrical drawings omitted</w:t>
            </w:r>
          </w:p>
        </w:tc>
        <w:tc>
          <w:tcPr>
            <w:tcW w:type="dxa" w:w="3600"/>
          </w:tcPr>
          <w:p>
            <w:pPr>
              <w:spacing w:after="0" w:before="0" w:line="240" w:lineRule="auto"/>
              <w:jc w:val="left"/>
            </w:pPr>
            <w:r>
              <w:t>Troubleshooting and audit difficulties</w:t>
            </w:r>
          </w:p>
        </w:tc>
      </w:tr>
      <w:tr>
        <w:tc>
          <w:tcPr>
            <w:tcW w:type="dxa" w:w="3600"/>
          </w:tcPr>
          <w:p>
            <w:pPr>
              <w:spacing w:after="0" w:before="0" w:line="240" w:lineRule="auto"/>
              <w:jc w:val="left"/>
            </w:pPr>
            <w:r>
              <w:t>Testing</w:t>
            </w:r>
          </w:p>
        </w:tc>
        <w:tc>
          <w:tcPr>
            <w:tcW w:type="dxa" w:w="3600"/>
          </w:tcPr>
          <w:p>
            <w:pPr>
              <w:spacing w:after="0" w:before="0" w:line="240" w:lineRule="auto"/>
              <w:jc w:val="left"/>
            </w:pPr>
            <w:r>
              <w:t>Required FAT procedure excluded</w:t>
            </w:r>
          </w:p>
        </w:tc>
        <w:tc>
          <w:tcPr>
            <w:tcW w:type="dxa" w:w="3600"/>
          </w:tcPr>
          <w:p>
            <w:pPr>
              <w:spacing w:after="0" w:before="0" w:line="240" w:lineRule="auto"/>
              <w:jc w:val="left"/>
            </w:pPr>
            <w:r>
              <w:t>Acceptance uncertainty</w:t>
            </w:r>
          </w:p>
        </w:tc>
      </w:tr>
      <w:tr>
        <w:tc>
          <w:tcPr>
            <w:tcW w:type="dxa" w:w="3600"/>
          </w:tcPr>
          <w:p>
            <w:pPr>
              <w:spacing w:after="0" w:before="0" w:line="240" w:lineRule="auto"/>
              <w:jc w:val="left"/>
            </w:pPr>
            <w:r>
              <w:t>Lifecycle</w:t>
            </w:r>
          </w:p>
        </w:tc>
        <w:tc>
          <w:tcPr>
            <w:tcW w:type="dxa" w:w="3600"/>
          </w:tcPr>
          <w:p>
            <w:pPr>
              <w:spacing w:after="0" w:before="0" w:line="240" w:lineRule="auto"/>
              <w:jc w:val="left"/>
            </w:pPr>
            <w:r>
              <w:t>Proposed product approaching obsolescence</w:t>
            </w:r>
          </w:p>
        </w:tc>
        <w:tc>
          <w:tcPr>
            <w:tcW w:type="dxa" w:w="3600"/>
          </w:tcPr>
          <w:p>
            <w:pPr>
              <w:spacing w:after="0" w:before="0" w:line="240" w:lineRule="auto"/>
              <w:jc w:val="left"/>
            </w:pPr>
            <w:r>
              <w:t>Long-term support risk</w:t>
            </w:r>
          </w:p>
        </w:tc>
      </w:tr>
      <w:tr>
        <w:tc>
          <w:tcPr>
            <w:tcW w:type="dxa" w:w="3600"/>
          </w:tcPr>
          <w:p>
            <w:pPr>
              <w:spacing w:after="0" w:before="0" w:line="240" w:lineRule="auto"/>
              <w:jc w:val="left"/>
            </w:pPr>
            <w:r>
              <w:t>Scope</w:t>
            </w:r>
          </w:p>
        </w:tc>
        <w:tc>
          <w:tcPr>
            <w:tcW w:type="dxa" w:w="3600"/>
          </w:tcPr>
          <w:p>
            <w:pPr>
              <w:spacing w:after="0" w:before="0" w:line="240" w:lineRule="auto"/>
              <w:jc w:val="left"/>
            </w:pPr>
            <w:r>
              <w:t>Installation or commissioning excluded</w:t>
            </w:r>
          </w:p>
        </w:tc>
        <w:tc>
          <w:tcPr>
            <w:tcW w:type="dxa" w:w="3600"/>
          </w:tcPr>
          <w:p>
            <w:pPr>
              <w:spacing w:after="0" w:before="0" w:line="240" w:lineRule="auto"/>
              <w:jc w:val="left"/>
            </w:pPr>
            <w:r>
              <w:t>Cost and schedule exposure</w:t>
            </w:r>
          </w:p>
        </w:tc>
      </w:tr>
      <w:tr>
        <w:tc>
          <w:tcPr>
            <w:tcW w:type="dxa" w:w="3600"/>
          </w:tcPr>
          <w:p>
            <w:pPr>
              <w:spacing w:after="0" w:before="0" w:line="240" w:lineRule="auto"/>
              <w:jc w:val="left"/>
            </w:pPr>
            <w:r>
              <w:t>Quality</w:t>
            </w:r>
          </w:p>
        </w:tc>
        <w:tc>
          <w:tcPr>
            <w:tcW w:type="dxa" w:w="3600"/>
          </w:tcPr>
          <w:p>
            <w:pPr>
              <w:spacing w:after="0" w:before="0" w:line="240" w:lineRule="auto"/>
              <w:jc w:val="left"/>
            </w:pPr>
            <w:r>
              <w:t>Required calibration evidence unavailable</w:t>
            </w:r>
          </w:p>
        </w:tc>
        <w:tc>
          <w:tcPr>
            <w:tcW w:type="dxa" w:w="3600"/>
          </w:tcPr>
          <w:p>
            <w:pPr>
              <w:spacing w:after="0" w:before="0" w:line="240" w:lineRule="auto"/>
              <w:jc w:val="left"/>
            </w:pPr>
            <w:r>
              <w:t>Measurement and acceptance risk</w:t>
            </w:r>
          </w:p>
        </w:tc>
      </w:tr>
    </w:tbl>
    <w:p/>
    <w:p>
      <w:r>
        <w:t>The deviation category helps organize the review. It does not determine whether the deviation is acceptable by itself.</w:t>
      </w:r>
    </w:p>
    <w:p>
      <w:pPr>
        <w:pStyle w:val="Heading2"/>
      </w:pPr>
      <w:r>
        <w:t>5. Deviation versus clarification, exclusion, and assumption</w:t>
      </w:r>
    </w:p>
    <w:p>
      <w:r>
        <w:t>These terms should be used consistently.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Technical deviation</w:t>
            </w:r>
          </w:p>
        </w:tc>
        <w:tc>
          <w:tcPr>
            <w:tcW w:type="dxa" w:w="3600"/>
          </w:tcPr>
          <w:p>
            <w:pPr>
              <w:spacing w:after="0" w:before="0" w:line="240" w:lineRule="auto"/>
              <w:jc w:val="left"/>
            </w:pPr>
            <w:r>
              <w:t>Proposed solution differs from a stated requirement</w:t>
            </w:r>
          </w:p>
        </w:tc>
        <w:tc>
          <w:tcPr>
            <w:tcW w:type="dxa" w:w="3600"/>
          </w:tcPr>
          <w:p>
            <w:pPr>
              <w:spacing w:after="0" w:before="0" w:line="240" w:lineRule="auto"/>
              <w:jc w:val="left"/>
            </w:pPr>
            <w:r>
              <w:t>Different PLC platform proposed</w:t>
            </w:r>
          </w:p>
        </w:tc>
      </w:tr>
      <w:tr>
        <w:tc>
          <w:tcPr>
            <w:tcW w:type="dxa" w:w="3600"/>
          </w:tcPr>
          <w:p>
            <w:pPr>
              <w:spacing w:after="0" w:before="0" w:line="240" w:lineRule="auto"/>
              <w:jc w:val="left"/>
            </w:pPr>
            <w:r>
              <w:t>Clarification</w:t>
            </w:r>
          </w:p>
        </w:tc>
        <w:tc>
          <w:tcPr>
            <w:tcW w:type="dxa" w:w="3600"/>
          </w:tcPr>
          <w:p>
            <w:pPr>
              <w:spacing w:after="0" w:before="0" w:line="240" w:lineRule="auto"/>
              <w:jc w:val="left"/>
            </w:pPr>
            <w:r>
              <w:t>Information is insufficient or ambiguous</w:t>
            </w:r>
          </w:p>
        </w:tc>
        <w:tc>
          <w:tcPr>
            <w:tcW w:type="dxa" w:w="3600"/>
          </w:tcPr>
          <w:p>
            <w:pPr>
              <w:spacing w:after="0" w:before="0" w:line="240" w:lineRule="auto"/>
              <w:jc w:val="left"/>
            </w:pPr>
            <w:r>
              <w:t>Number of analog channels not stated</w:t>
            </w:r>
          </w:p>
        </w:tc>
      </w:tr>
      <w:tr>
        <w:tc>
          <w:tcPr>
            <w:tcW w:type="dxa" w:w="3600"/>
          </w:tcPr>
          <w:p>
            <w:pPr>
              <w:spacing w:after="0" w:before="0" w:line="240" w:lineRule="auto"/>
              <w:jc w:val="left"/>
            </w:pPr>
            <w:r>
              <w:t>Exclusion</w:t>
            </w:r>
          </w:p>
        </w:tc>
        <w:tc>
          <w:tcPr>
            <w:tcW w:type="dxa" w:w="3600"/>
          </w:tcPr>
          <w:p>
            <w:pPr>
              <w:spacing w:after="0" w:before="0" w:line="240" w:lineRule="auto"/>
              <w:jc w:val="left"/>
            </w:pPr>
            <w:r>
              <w:t>Supplier explicitly leaves an item or activity out of its offer</w:t>
            </w:r>
          </w:p>
        </w:tc>
        <w:tc>
          <w:tcPr>
            <w:tcW w:type="dxa" w:w="3600"/>
          </w:tcPr>
          <w:p>
            <w:pPr>
              <w:spacing w:after="0" w:before="0" w:line="240" w:lineRule="auto"/>
              <w:jc w:val="left"/>
            </w:pPr>
            <w:r>
              <w:t>Site installation excluded</w:t>
            </w:r>
          </w:p>
        </w:tc>
      </w:tr>
      <w:tr>
        <w:tc>
          <w:tcPr>
            <w:tcW w:type="dxa" w:w="3600"/>
          </w:tcPr>
          <w:p>
            <w:pPr>
              <w:spacing w:after="0" w:before="0" w:line="240" w:lineRule="auto"/>
              <w:jc w:val="left"/>
            </w:pPr>
            <w:r>
              <w:t>Assumption</w:t>
            </w:r>
          </w:p>
        </w:tc>
        <w:tc>
          <w:tcPr>
            <w:tcW w:type="dxa" w:w="3600"/>
          </w:tcPr>
          <w:p>
            <w:pPr>
              <w:spacing w:after="0" w:before="0" w:line="240" w:lineRule="auto"/>
              <w:jc w:val="left"/>
            </w:pPr>
            <w:r>
              <w:t>Supplier bases its offer on an unconfirmed condition</w:t>
            </w:r>
          </w:p>
        </w:tc>
        <w:tc>
          <w:tcPr>
            <w:tcW w:type="dxa" w:w="3600"/>
          </w:tcPr>
          <w:p>
            <w:pPr>
              <w:spacing w:after="0" w:before="0" w:line="240" w:lineRule="auto"/>
              <w:jc w:val="left"/>
            </w:pPr>
            <w:r>
              <w:t>Existing network assumed to support the new device</w:t>
            </w:r>
          </w:p>
        </w:tc>
      </w:tr>
      <w:tr>
        <w:tc>
          <w:tcPr>
            <w:tcW w:type="dxa" w:w="3600"/>
          </w:tcPr>
          <w:p>
            <w:pPr>
              <w:spacing w:after="0" w:before="0" w:line="240" w:lineRule="auto"/>
              <w:jc w:val="left"/>
            </w:pPr>
            <w:r>
              <w:t>Alternative</w:t>
            </w:r>
          </w:p>
        </w:tc>
        <w:tc>
          <w:tcPr>
            <w:tcW w:type="dxa" w:w="3600"/>
          </w:tcPr>
          <w:p>
            <w:pPr>
              <w:spacing w:after="0" w:before="0" w:line="240" w:lineRule="auto"/>
              <w:jc w:val="left"/>
            </w:pPr>
            <w:r>
              <w:t>Supplier proposes another solution for consideration</w:t>
            </w:r>
          </w:p>
        </w:tc>
        <w:tc>
          <w:tcPr>
            <w:tcW w:type="dxa" w:w="3600"/>
          </w:tcPr>
          <w:p>
            <w:pPr>
              <w:spacing w:after="0" w:before="0" w:line="240" w:lineRule="auto"/>
              <w:jc w:val="left"/>
            </w:pPr>
            <w:r>
              <w:t>Different sensor technology proposed</w:t>
            </w:r>
          </w:p>
        </w:tc>
      </w:tr>
      <w:tr>
        <w:tc>
          <w:tcPr>
            <w:tcW w:type="dxa" w:w="3600"/>
          </w:tcPr>
          <w:p>
            <w:pPr>
              <w:spacing w:after="0" w:before="0" w:line="240" w:lineRule="auto"/>
              <w:jc w:val="left"/>
            </w:pPr>
            <w:r>
              <w:t>Error or omission</w:t>
            </w:r>
          </w:p>
        </w:tc>
        <w:tc>
          <w:tcPr>
            <w:tcW w:type="dxa" w:w="3600"/>
          </w:tcPr>
          <w:p>
            <w:pPr>
              <w:spacing w:after="0" w:before="0" w:line="240" w:lineRule="auto"/>
              <w:jc w:val="left"/>
            </w:pPr>
            <w:r>
              <w:t>Supplier offer fails to address a requirement adequately</w:t>
            </w:r>
          </w:p>
        </w:tc>
        <w:tc>
          <w:tcPr>
            <w:tcW w:type="dxa" w:w="3600"/>
          </w:tcPr>
          <w:p>
            <w:pPr>
              <w:spacing w:after="0" w:before="0" w:line="240" w:lineRule="auto"/>
              <w:jc w:val="left"/>
            </w:pPr>
            <w:r>
              <w:t>Required spare modules not listed</w:t>
            </w:r>
          </w:p>
        </w:tc>
      </w:tr>
      <w:tr>
        <w:tc>
          <w:tcPr>
            <w:tcW w:type="dxa" w:w="3600"/>
          </w:tcPr>
          <w:p>
            <w:pPr>
              <w:spacing w:after="0" w:before="0" w:line="240" w:lineRule="auto"/>
              <w:jc w:val="left"/>
            </w:pPr>
            <w:r>
              <w:t>Contractual exception</w:t>
            </w:r>
          </w:p>
        </w:tc>
        <w:tc>
          <w:tcPr>
            <w:tcW w:type="dxa" w:w="3600"/>
          </w:tcPr>
          <w:p>
            <w:pPr>
              <w:spacing w:after="0" w:before="0" w:line="240" w:lineRule="auto"/>
              <w:jc w:val="left"/>
            </w:pPr>
            <w:r>
              <w:t>Supplier seeks to modify a contractual obligation</w:t>
            </w:r>
          </w:p>
        </w:tc>
        <w:tc>
          <w:tcPr>
            <w:tcW w:type="dxa" w:w="3600"/>
          </w:tcPr>
          <w:p>
            <w:pPr>
              <w:spacing w:after="0" w:before="0" w:line="240" w:lineRule="auto"/>
              <w:jc w:val="left"/>
            </w:pPr>
            <w:r>
              <w:t>Different warranty duration proposed</w:t>
            </w:r>
          </w:p>
        </w:tc>
      </w:tr>
    </w:tbl>
    <w:p/>
    <w:p>
      <w:r>
        <w:t>One issue can belong to more than one category. For example, excluding the editable PLC project may be both a scope exclusion and a deviation from a mandatory handover requirement.</w:t>
      </w:r>
    </w:p>
    <w:p>
      <w:pPr>
        <w:pStyle w:val="Heading2"/>
      </w:pPr>
      <w:r>
        <w:t>6. Establish the deviation baseline</w:t>
      </w:r>
    </w:p>
    <w:p>
      <w:r>
        <w:t>Before assessing a supplier's deviation, identify exactly what the requirement says and where it comes from.</w:t>
      </w:r>
    </w:p>
    <w:p>
      <w:r>
        <w:t>Typical sources include:</w:t>
      </w:r>
    </w:p>
    <w:p>
      <w:pPr>
        <w:pStyle w:val="ListBullet"/>
      </w:pPr>
      <w:r>
        <w:t>Request for quotation (RFQ).</w:t>
      </w:r>
    </w:p>
    <w:p>
      <w:pPr>
        <w:pStyle w:val="ListBullet"/>
      </w:pPr>
      <w:r>
        <w:t>User requirement specification (URS).</w:t>
      </w:r>
    </w:p>
    <w:p>
      <w:pPr>
        <w:pStyle w:val="ListBullet"/>
      </w:pPr>
      <w:r>
        <w:t>Technical specification.</w:t>
      </w:r>
    </w:p>
    <w:p>
      <w:pPr>
        <w:pStyle w:val="ListBullet"/>
      </w:pPr>
      <w:r>
        <w:t>Functional specification.</w:t>
      </w:r>
    </w:p>
    <w:p>
      <w:pPr>
        <w:pStyle w:val="ListBullet"/>
      </w:pPr>
      <w:r>
        <w:t>Electrical and mechanical drawings.</w:t>
      </w:r>
    </w:p>
    <w:p>
      <w:pPr>
        <w:pStyle w:val="ListBullet"/>
      </w:pPr>
      <w:r>
        <w:t>Approved automation architecture.</w:t>
      </w:r>
    </w:p>
    <w:p>
      <w:pPr>
        <w:pStyle w:val="ListBullet"/>
      </w:pPr>
      <w:r>
        <w:t>Applicable standards and regulatory requirements.</w:t>
      </w:r>
    </w:p>
    <w:p>
      <w:pPr>
        <w:pStyle w:val="ListBullet"/>
      </w:pPr>
      <w:r>
        <w:t>Interface specifications.</w:t>
      </w:r>
    </w:p>
    <w:p>
      <w:pPr>
        <w:pStyle w:val="ListBullet"/>
      </w:pPr>
      <w:r>
        <w:t>FAT and SAT requirements.</w:t>
      </w:r>
    </w:p>
    <w:p>
      <w:pPr>
        <w:pStyle w:val="ListBullet"/>
      </w:pPr>
      <w:r>
        <w:t>Approved clarifications and revisions.</w:t>
      </w:r>
    </w:p>
    <w:p>
      <w:r>
        <w:t>Record the document revision and clause number. This prevents arguments caused by comparing the supplier's proposal with an obsolete or unofficial version of the requirement.</w:t>
      </w:r>
    </w:p>
    <w:p>
      <w:r>
        <w:t>If the requirement itself is ambiguous, resolve the ambiguity through the controlled clarification process before deciding whether the supplier has deviated from it.</w:t>
      </w:r>
    </w:p>
    <w:p>
      <w:pPr>
        <w:pStyle w:val="Heading2"/>
      </w:pPr>
      <w:r>
        <w:t>7. Technical deviation register</w:t>
      </w:r>
    </w:p>
    <w:p>
      <w:r>
        <w:t>The technical deviation register is the controlled record of proposed or identified departures from the requirement baseline.</w:t>
      </w:r>
    </w:p>
    <w:p>
      <w:r>
        <w:t>A practical register contains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Deviation ID</w:t>
            </w:r>
          </w:p>
        </w:tc>
        <w:tc>
          <w:tcPr>
            <w:tcW w:type="dxa" w:w="5400"/>
          </w:tcPr>
          <w:p>
            <w:pPr>
              <w:spacing w:after="0" w:before="0" w:line="240" w:lineRule="auto"/>
              <w:jc w:val="left"/>
            </w:pPr>
            <w:r>
              <w:t>Unique tracking identifier</w:t>
            </w:r>
          </w:p>
        </w:tc>
      </w:tr>
      <w:tr>
        <w:tc>
          <w:tcPr>
            <w:tcW w:type="dxa" w:w="5400"/>
          </w:tcPr>
          <w:p>
            <w:pPr>
              <w:spacing w:after="0" w:before="0" w:line="240" w:lineRule="auto"/>
              <w:jc w:val="left"/>
            </w:pPr>
            <w:r>
              <w:t>Supplier</w:t>
            </w:r>
          </w:p>
        </w:tc>
        <w:tc>
          <w:tcPr>
            <w:tcW w:type="dxa" w:w="5400"/>
          </w:tcPr>
          <w:p>
            <w:pPr>
              <w:spacing w:after="0" w:before="0" w:line="240" w:lineRule="auto"/>
              <w:jc w:val="left"/>
            </w:pPr>
            <w:r>
              <w:t>Supplier proposing or associated with the deviation</w:t>
            </w:r>
          </w:p>
        </w:tc>
      </w:tr>
      <w:tr>
        <w:tc>
          <w:tcPr>
            <w:tcW w:type="dxa" w:w="5400"/>
          </w:tcPr>
          <w:p>
            <w:pPr>
              <w:spacing w:after="0" w:before="0" w:line="240" w:lineRule="auto"/>
              <w:jc w:val="left"/>
            </w:pPr>
            <w:r>
              <w:t>Requirement ID</w:t>
            </w:r>
          </w:p>
        </w:tc>
        <w:tc>
          <w:tcPr>
            <w:tcW w:type="dxa" w:w="5400"/>
          </w:tcPr>
          <w:p>
            <w:pPr>
              <w:spacing w:after="0" w:before="0" w:line="240" w:lineRule="auto"/>
              <w:jc w:val="left"/>
            </w:pPr>
            <w:r>
              <w:t>Link to the original requirement</w:t>
            </w:r>
          </w:p>
        </w:tc>
      </w:tr>
      <w:tr>
        <w:tc>
          <w:tcPr>
            <w:tcW w:type="dxa" w:w="5400"/>
          </w:tcPr>
          <w:p>
            <w:pPr>
              <w:spacing w:after="0" w:before="0" w:line="240" w:lineRule="auto"/>
              <w:jc w:val="left"/>
            </w:pPr>
            <w:r>
              <w:t>Requirement reference</w:t>
            </w:r>
          </w:p>
        </w:tc>
        <w:tc>
          <w:tcPr>
            <w:tcW w:type="dxa" w:w="5400"/>
          </w:tcPr>
          <w:p>
            <w:pPr>
              <w:spacing w:after="0" w:before="0" w:line="240" w:lineRule="auto"/>
              <w:jc w:val="left"/>
            </w:pPr>
            <w:r>
              <w:t>Specification, clause, drawing, and revision</w:t>
            </w:r>
          </w:p>
        </w:tc>
      </w:tr>
      <w:tr>
        <w:tc>
          <w:tcPr>
            <w:tcW w:type="dxa" w:w="5400"/>
          </w:tcPr>
          <w:p>
            <w:pPr>
              <w:spacing w:after="0" w:before="0" w:line="240" w:lineRule="auto"/>
              <w:jc w:val="left"/>
            </w:pPr>
            <w:r>
              <w:t>Required condition</w:t>
            </w:r>
          </w:p>
        </w:tc>
        <w:tc>
          <w:tcPr>
            <w:tcW w:type="dxa" w:w="5400"/>
          </w:tcPr>
          <w:p>
            <w:pPr>
              <w:spacing w:after="0" w:before="0" w:line="240" w:lineRule="auto"/>
              <w:jc w:val="left"/>
            </w:pPr>
            <w:r>
              <w:t>What the customer specified</w:t>
            </w:r>
          </w:p>
        </w:tc>
      </w:tr>
      <w:tr>
        <w:tc>
          <w:tcPr>
            <w:tcW w:type="dxa" w:w="5400"/>
          </w:tcPr>
          <w:p>
            <w:pPr>
              <w:spacing w:after="0" w:before="0" w:line="240" w:lineRule="auto"/>
              <w:jc w:val="left"/>
            </w:pPr>
            <w:r>
              <w:t>Proposed condition</w:t>
            </w:r>
          </w:p>
        </w:tc>
        <w:tc>
          <w:tcPr>
            <w:tcW w:type="dxa" w:w="5400"/>
          </w:tcPr>
          <w:p>
            <w:pPr>
              <w:spacing w:after="0" w:before="0" w:line="240" w:lineRule="auto"/>
              <w:jc w:val="left"/>
            </w:pPr>
            <w:r>
              <w:t>What the supplier offers</w:t>
            </w:r>
          </w:p>
        </w:tc>
      </w:tr>
      <w:tr>
        <w:tc>
          <w:tcPr>
            <w:tcW w:type="dxa" w:w="5400"/>
          </w:tcPr>
          <w:p>
            <w:pPr>
              <w:spacing w:after="0" w:before="0" w:line="240" w:lineRule="auto"/>
              <w:jc w:val="left"/>
            </w:pPr>
            <w:r>
              <w:t>Deviation category</w:t>
            </w:r>
          </w:p>
        </w:tc>
        <w:tc>
          <w:tcPr>
            <w:tcW w:type="dxa" w:w="5400"/>
          </w:tcPr>
          <w:p>
            <w:pPr>
              <w:spacing w:after="0" w:before="0" w:line="240" w:lineRule="auto"/>
              <w:jc w:val="left"/>
            </w:pPr>
            <w:r>
              <w:t>Hardware, performance, safety, scope, etc.</w:t>
            </w:r>
          </w:p>
        </w:tc>
      </w:tr>
      <w:tr>
        <w:tc>
          <w:tcPr>
            <w:tcW w:type="dxa" w:w="5400"/>
          </w:tcPr>
          <w:p>
            <w:pPr>
              <w:spacing w:after="0" w:before="0" w:line="240" w:lineRule="auto"/>
              <w:jc w:val="left"/>
            </w:pPr>
            <w:r>
              <w:t>Reason</w:t>
            </w:r>
          </w:p>
        </w:tc>
        <w:tc>
          <w:tcPr>
            <w:tcW w:type="dxa" w:w="5400"/>
          </w:tcPr>
          <w:p>
            <w:pPr>
              <w:spacing w:after="0" w:before="0" w:line="240" w:lineRule="auto"/>
              <w:jc w:val="left"/>
            </w:pPr>
            <w:r>
              <w:t>Supplier's stated justification</w:t>
            </w:r>
          </w:p>
        </w:tc>
      </w:tr>
      <w:tr>
        <w:tc>
          <w:tcPr>
            <w:tcW w:type="dxa" w:w="5400"/>
          </w:tcPr>
          <w:p>
            <w:pPr>
              <w:spacing w:after="0" w:before="0" w:line="240" w:lineRule="auto"/>
              <w:jc w:val="left"/>
            </w:pPr>
            <w:r>
              <w:t>Technical impact</w:t>
            </w:r>
          </w:p>
        </w:tc>
        <w:tc>
          <w:tcPr>
            <w:tcW w:type="dxa" w:w="5400"/>
          </w:tcPr>
          <w:p>
            <w:pPr>
              <w:spacing w:after="0" w:before="0" w:line="240" w:lineRule="auto"/>
              <w:jc w:val="left"/>
            </w:pPr>
            <w:r>
              <w:t>Effect on functionality, integration, or performance</w:t>
            </w:r>
          </w:p>
        </w:tc>
      </w:tr>
      <w:tr>
        <w:tc>
          <w:tcPr>
            <w:tcW w:type="dxa" w:w="5400"/>
          </w:tcPr>
          <w:p>
            <w:pPr>
              <w:spacing w:after="0" w:before="0" w:line="240" w:lineRule="auto"/>
              <w:jc w:val="left"/>
            </w:pPr>
            <w:r>
              <w:t>Risk rating</w:t>
            </w:r>
          </w:p>
        </w:tc>
        <w:tc>
          <w:tcPr>
            <w:tcW w:type="dxa" w:w="5400"/>
          </w:tcPr>
          <w:p>
            <w:pPr>
              <w:spacing w:after="0" w:before="0" w:line="240" w:lineRule="auto"/>
              <w:jc w:val="left"/>
            </w:pPr>
            <w:r>
              <w:t>Assessed risk using the approved method</w:t>
            </w:r>
          </w:p>
        </w:tc>
      </w:tr>
      <w:tr>
        <w:tc>
          <w:tcPr>
            <w:tcW w:type="dxa" w:w="5400"/>
          </w:tcPr>
          <w:p>
            <w:pPr>
              <w:spacing w:after="0" w:before="0" w:line="240" w:lineRule="auto"/>
              <w:jc w:val="left"/>
            </w:pPr>
            <w:r>
              <w:t>Commercial impact</w:t>
            </w:r>
          </w:p>
        </w:tc>
        <w:tc>
          <w:tcPr>
            <w:tcW w:type="dxa" w:w="5400"/>
          </w:tcPr>
          <w:p>
            <w:pPr>
              <w:spacing w:after="0" w:before="0" w:line="240" w:lineRule="auto"/>
              <w:jc w:val="left"/>
            </w:pPr>
            <w:r>
              <w:t>Potential cost, license, or lifecycle implications</w:t>
            </w:r>
          </w:p>
        </w:tc>
      </w:tr>
      <w:tr>
        <w:tc>
          <w:tcPr>
            <w:tcW w:type="dxa" w:w="5400"/>
          </w:tcPr>
          <w:p>
            <w:pPr>
              <w:spacing w:after="0" w:before="0" w:line="240" w:lineRule="auto"/>
              <w:jc w:val="left"/>
            </w:pPr>
            <w:r>
              <w:t>Schedule impact</w:t>
            </w:r>
          </w:p>
        </w:tc>
        <w:tc>
          <w:tcPr>
            <w:tcW w:type="dxa" w:w="5400"/>
          </w:tcPr>
          <w:p>
            <w:pPr>
              <w:spacing w:after="0" w:before="0" w:line="240" w:lineRule="auto"/>
              <w:jc w:val="left"/>
            </w:pPr>
            <w:r>
              <w:t>Potential effect on delivery or commissioning</w:t>
            </w:r>
          </w:p>
        </w:tc>
      </w:tr>
      <w:tr>
        <w:tc>
          <w:tcPr>
            <w:tcW w:type="dxa" w:w="5400"/>
          </w:tcPr>
          <w:p>
            <w:pPr>
              <w:spacing w:after="0" w:before="0" w:line="240" w:lineRule="auto"/>
              <w:jc w:val="left"/>
            </w:pPr>
            <w:r>
              <w:t>Required action</w:t>
            </w:r>
          </w:p>
        </w:tc>
        <w:tc>
          <w:tcPr>
            <w:tcW w:type="dxa" w:w="5400"/>
          </w:tcPr>
          <w:p>
            <w:pPr>
              <w:spacing w:after="0" w:before="0" w:line="240" w:lineRule="auto"/>
              <w:jc w:val="left"/>
            </w:pPr>
            <w:r>
              <w:t>Clarification, redesign, test, or other action</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Person responsible for assessment or closure</w:t>
            </w:r>
          </w:p>
        </w:tc>
      </w:tr>
      <w:tr>
        <w:tc>
          <w:tcPr>
            <w:tcW w:type="dxa" w:w="5400"/>
          </w:tcPr>
          <w:p>
            <w:pPr>
              <w:spacing w:after="0" w:before="0" w:line="240" w:lineRule="auto"/>
              <w:jc w:val="left"/>
            </w:pPr>
            <w:r>
              <w:t>Disposition</w:t>
            </w:r>
          </w:p>
        </w:tc>
        <w:tc>
          <w:tcPr>
            <w:tcW w:type="dxa" w:w="5400"/>
          </w:tcPr>
          <w:p>
            <w:pPr>
              <w:spacing w:after="0" w:before="0" w:line="240" w:lineRule="auto"/>
              <w:jc w:val="left"/>
            </w:pPr>
            <w:r>
              <w:t>Pending, accepted, conditional, or rejected</w:t>
            </w:r>
          </w:p>
        </w:tc>
      </w:tr>
      <w:tr>
        <w:tc>
          <w:tcPr>
            <w:tcW w:type="dxa" w:w="5400"/>
          </w:tcPr>
          <w:p>
            <w:pPr>
              <w:spacing w:after="0" w:before="0" w:line="240" w:lineRule="auto"/>
              <w:jc w:val="left"/>
            </w:pPr>
            <w:r>
              <w:t>Approval reference</w:t>
            </w:r>
          </w:p>
        </w:tc>
        <w:tc>
          <w:tcPr>
            <w:tcW w:type="dxa" w:w="5400"/>
          </w:tcPr>
          <w:p>
            <w:pPr>
              <w:spacing w:after="0" w:before="0" w:line="240" w:lineRule="auto"/>
              <w:jc w:val="left"/>
            </w:pPr>
            <w:r>
              <w:t>Evidence of authorized approval</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Final drawing, test, document, or confirmation</w:t>
            </w:r>
          </w:p>
        </w:tc>
      </w:tr>
    </w:tbl>
    <w:p/>
    <w:p>
      <w:r>
        <w:t>Use one deviation ID for each independently assessable issue. A single supplier document may contain many deviations, and each should be tracked individually where separate decisions are required.</w:t>
      </w:r>
    </w:p>
    <w:p>
      <w:pPr>
        <w:pStyle w:val="Heading2"/>
      </w:pPr>
      <w:r>
        <w:t>8. Example technical deviation register</w:t>
      </w:r>
    </w:p>
    <w:p>
      <w:r>
        <w:t>Assume a supplier proposes an automated test bench for a manufacturing 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ID</w:t>
            </w:r>
          </w:p>
        </w:tc>
        <w:tc>
          <w:tcPr>
            <w:tcW w:type="dxa" w:w="2160"/>
            <w:shd w:val="clear" w:color="auto" w:fill="EEF2F7"/>
          </w:tcPr>
          <w:p>
            <w:pPr>
              <w:spacing w:after="0" w:before="0" w:line="240" w:lineRule="auto"/>
              <w:jc w:val="left"/>
            </w:pPr>
            <w:r>
              <w:rPr>
                <w:b/>
                <w:color w:val="1A2E4A"/>
              </w:rPr>
              <w:t>Requirement</w:t>
            </w:r>
          </w:p>
        </w:tc>
        <w:tc>
          <w:tcPr>
            <w:tcW w:type="dxa" w:w="2160"/>
            <w:shd w:val="clear" w:color="auto" w:fill="EEF2F7"/>
          </w:tcPr>
          <w:p>
            <w:pPr>
              <w:spacing w:after="0" w:before="0" w:line="240" w:lineRule="auto"/>
              <w:jc w:val="left"/>
            </w:pPr>
            <w:r>
              <w:rPr>
                <w:b/>
                <w:color w:val="1A2E4A"/>
              </w:rPr>
              <w:t>Supplier proposal</w:t>
            </w:r>
          </w:p>
        </w:tc>
        <w:tc>
          <w:tcPr>
            <w:tcW w:type="dxa" w:w="2160"/>
            <w:shd w:val="clear" w:color="auto" w:fill="EEF2F7"/>
          </w:tcPr>
          <w:p>
            <w:pPr>
              <w:spacing w:after="0" w:before="0" w:line="240" w:lineRule="auto"/>
              <w:jc w:val="left"/>
            </w:pPr>
            <w:r>
              <w:rPr>
                <w:b/>
                <w:color w:val="1A2E4A"/>
              </w:rPr>
              <w:t>Risk</w:t>
            </w:r>
          </w:p>
        </w:tc>
        <w:tc>
          <w:tcPr>
            <w:tcW w:type="dxa" w:w="2160"/>
            <w:shd w:val="clear" w:color="auto" w:fill="EEF2F7"/>
          </w:tcPr>
          <w:p>
            <w:pPr>
              <w:spacing w:after="0" w:before="0" w:line="240" w:lineRule="auto"/>
              <w:jc w:val="left"/>
            </w:pPr>
            <w:r>
              <w:rPr>
                <w:b/>
                <w:color w:val="1A2E4A"/>
              </w:rPr>
              <w:t>Initial disposition</w:t>
            </w:r>
          </w:p>
        </w:tc>
      </w:tr>
      <w:tr>
        <w:tc>
          <w:tcPr>
            <w:tcW w:type="dxa" w:w="2160"/>
          </w:tcPr>
          <w:p>
            <w:pPr>
              <w:spacing w:after="0" w:before="0" w:line="240" w:lineRule="auto"/>
              <w:jc w:val="left"/>
            </w:pPr>
            <w:r>
              <w:t>DEV-001</w:t>
            </w:r>
          </w:p>
        </w:tc>
        <w:tc>
          <w:tcPr>
            <w:tcW w:type="dxa" w:w="2160"/>
          </w:tcPr>
          <w:p>
            <w:pPr>
              <w:spacing w:after="0" w:before="0" w:line="240" w:lineRule="auto"/>
              <w:jc w:val="left"/>
            </w:pPr>
            <w:r>
              <w:t>Approved PLC platform required</w:t>
            </w:r>
          </w:p>
        </w:tc>
        <w:tc>
          <w:tcPr>
            <w:tcW w:type="dxa" w:w="2160"/>
          </w:tcPr>
          <w:p>
            <w:pPr>
              <w:spacing w:after="0" w:before="0" w:line="240" w:lineRule="auto"/>
              <w:jc w:val="left"/>
            </w:pPr>
            <w:r>
              <w:t>Different PLC family</w:t>
            </w:r>
          </w:p>
        </w:tc>
        <w:tc>
          <w:tcPr>
            <w:tcW w:type="dxa" w:w="2160"/>
          </w:tcPr>
          <w:p>
            <w:pPr>
              <w:spacing w:after="0" w:before="0" w:line="240" w:lineRule="auto"/>
              <w:jc w:val="left"/>
            </w:pPr>
            <w:r>
              <w:t>Medium to high</w:t>
            </w:r>
          </w:p>
        </w:tc>
        <w:tc>
          <w:tcPr>
            <w:tcW w:type="dxa" w:w="2160"/>
          </w:tcPr>
          <w:p>
            <w:pPr>
              <w:spacing w:after="0" w:before="0" w:line="240" w:lineRule="auto"/>
              <w:jc w:val="left"/>
            </w:pPr>
            <w:r>
              <w:t>Pending architecture review</w:t>
            </w:r>
          </w:p>
        </w:tc>
      </w:tr>
      <w:tr>
        <w:tc>
          <w:tcPr>
            <w:tcW w:type="dxa" w:w="2160"/>
          </w:tcPr>
          <w:p>
            <w:pPr>
              <w:spacing w:after="0" w:before="0" w:line="240" w:lineRule="auto"/>
              <w:jc w:val="left"/>
            </w:pPr>
            <w:r>
              <w:t>DEV-002</w:t>
            </w:r>
          </w:p>
        </w:tc>
        <w:tc>
          <w:tcPr>
            <w:tcW w:type="dxa" w:w="2160"/>
          </w:tcPr>
          <w:p>
            <w:pPr>
              <w:spacing w:after="0" w:before="0" w:line="240" w:lineRule="auto"/>
              <w:jc w:val="left"/>
            </w:pPr>
            <w:r>
              <w:t>Cycle time must not exceed 12 seconds</w:t>
            </w:r>
          </w:p>
        </w:tc>
        <w:tc>
          <w:tcPr>
            <w:tcW w:type="dxa" w:w="2160"/>
          </w:tcPr>
          <w:p>
            <w:pPr>
              <w:spacing w:after="0" w:before="0" w:line="240" w:lineRule="auto"/>
              <w:jc w:val="left"/>
            </w:pPr>
            <w:r>
              <w:t>Supplier estimates 14 seconds</w:t>
            </w:r>
          </w:p>
        </w:tc>
        <w:tc>
          <w:tcPr>
            <w:tcW w:type="dxa" w:w="2160"/>
          </w:tcPr>
          <w:p>
            <w:pPr>
              <w:spacing w:after="0" w:before="0" w:line="240" w:lineRule="auto"/>
              <w:jc w:val="left"/>
            </w:pPr>
            <w:r>
              <w:t>High</w:t>
            </w:r>
          </w:p>
        </w:tc>
        <w:tc>
          <w:tcPr>
            <w:tcW w:type="dxa" w:w="2160"/>
          </w:tcPr>
          <w:p>
            <w:pPr>
              <w:spacing w:after="0" w:before="0" w:line="240" w:lineRule="auto"/>
              <w:jc w:val="left"/>
            </w:pPr>
            <w:r>
              <w:t>Reject if limit is mandatory and confirmed</w:t>
            </w:r>
          </w:p>
        </w:tc>
      </w:tr>
      <w:tr>
        <w:tc>
          <w:tcPr>
            <w:tcW w:type="dxa" w:w="2160"/>
          </w:tcPr>
          <w:p>
            <w:pPr>
              <w:spacing w:after="0" w:before="0" w:line="240" w:lineRule="auto"/>
              <w:jc w:val="left"/>
            </w:pPr>
            <w:r>
              <w:t>DEV-003</w:t>
            </w:r>
          </w:p>
        </w:tc>
        <w:tc>
          <w:tcPr>
            <w:tcW w:type="dxa" w:w="2160"/>
          </w:tcPr>
          <w:p>
            <w:pPr>
              <w:spacing w:after="0" w:before="0" w:line="240" w:lineRule="auto"/>
              <w:jc w:val="left"/>
            </w:pPr>
            <w:r>
              <w:t>Editable PLC source project required</w:t>
            </w:r>
          </w:p>
        </w:tc>
        <w:tc>
          <w:tcPr>
            <w:tcW w:type="dxa" w:w="2160"/>
          </w:tcPr>
          <w:p>
            <w:pPr>
              <w:spacing w:after="0" w:before="0" w:line="240" w:lineRule="auto"/>
              <w:jc w:val="left"/>
            </w:pPr>
            <w:r>
              <w:t>Source project excluded</w:t>
            </w:r>
          </w:p>
        </w:tc>
        <w:tc>
          <w:tcPr>
            <w:tcW w:type="dxa" w:w="2160"/>
          </w:tcPr>
          <w:p>
            <w:pPr>
              <w:spacing w:after="0" w:before="0" w:line="240" w:lineRule="auto"/>
              <w:jc w:val="left"/>
            </w:pPr>
            <w:r>
              <w:t>High</w:t>
            </w:r>
          </w:p>
        </w:tc>
        <w:tc>
          <w:tcPr>
            <w:tcW w:type="dxa" w:w="2160"/>
          </w:tcPr>
          <w:p>
            <w:pPr>
              <w:spacing w:after="0" w:before="0" w:line="240" w:lineRule="auto"/>
              <w:jc w:val="left"/>
            </w:pPr>
            <w:r>
              <w:t>Reject or renegotiate before award</w:t>
            </w:r>
          </w:p>
        </w:tc>
      </w:tr>
      <w:tr>
        <w:tc>
          <w:tcPr>
            <w:tcW w:type="dxa" w:w="2160"/>
          </w:tcPr>
          <w:p>
            <w:pPr>
              <w:spacing w:after="0" w:before="0" w:line="240" w:lineRule="auto"/>
              <w:jc w:val="left"/>
            </w:pPr>
            <w:r>
              <w:t>DEV-004</w:t>
            </w:r>
          </w:p>
        </w:tc>
        <w:tc>
          <w:tcPr>
            <w:tcW w:type="dxa" w:w="2160"/>
          </w:tcPr>
          <w:p>
            <w:pPr>
              <w:spacing w:after="0" w:before="0" w:line="240" w:lineRule="auto"/>
              <w:jc w:val="left"/>
            </w:pPr>
            <w:r>
              <w:t>Required data retention is 12 months</w:t>
            </w:r>
          </w:p>
        </w:tc>
        <w:tc>
          <w:tcPr>
            <w:tcW w:type="dxa" w:w="2160"/>
          </w:tcPr>
          <w:p>
            <w:pPr>
              <w:spacing w:after="0" w:before="0" w:line="240" w:lineRule="auto"/>
              <w:jc w:val="left"/>
            </w:pPr>
            <w:r>
              <w:t>Supplier offers 3 months</w:t>
            </w:r>
          </w:p>
        </w:tc>
        <w:tc>
          <w:tcPr>
            <w:tcW w:type="dxa" w:w="2160"/>
          </w:tcPr>
          <w:p>
            <w:pPr>
              <w:spacing w:after="0" w:before="0" w:line="240" w:lineRule="auto"/>
              <w:jc w:val="left"/>
            </w:pPr>
            <w:r>
              <w:t>Medium to high</w:t>
            </w:r>
          </w:p>
        </w:tc>
        <w:tc>
          <w:tcPr>
            <w:tcW w:type="dxa" w:w="2160"/>
          </w:tcPr>
          <w:p>
            <w:pPr>
              <w:spacing w:after="0" w:before="0" w:line="240" w:lineRule="auto"/>
              <w:jc w:val="left"/>
            </w:pPr>
            <w:r>
              <w:t>Clarify storage architecture and compliance</w:t>
            </w:r>
          </w:p>
        </w:tc>
      </w:tr>
      <w:tr>
        <w:tc>
          <w:tcPr>
            <w:tcW w:type="dxa" w:w="2160"/>
          </w:tcPr>
          <w:p>
            <w:pPr>
              <w:spacing w:after="0" w:before="0" w:line="240" w:lineRule="auto"/>
              <w:jc w:val="left"/>
            </w:pPr>
            <w:r>
              <w:t>DEV-005</w:t>
            </w:r>
          </w:p>
        </w:tc>
        <w:tc>
          <w:tcPr>
            <w:tcW w:type="dxa" w:w="2160"/>
          </w:tcPr>
          <w:p>
            <w:pPr>
              <w:spacing w:after="0" w:before="0" w:line="240" w:lineRule="auto"/>
              <w:jc w:val="left"/>
            </w:pPr>
            <w:r>
              <w:t>FAT includes all specified sequences</w:t>
            </w:r>
          </w:p>
        </w:tc>
        <w:tc>
          <w:tcPr>
            <w:tcW w:type="dxa" w:w="2160"/>
          </w:tcPr>
          <w:p>
            <w:pPr>
              <w:spacing w:after="0" w:before="0" w:line="240" w:lineRule="auto"/>
              <w:jc w:val="left"/>
            </w:pPr>
            <w:r>
              <w:t>Some sequences excluded</w:t>
            </w:r>
          </w:p>
        </w:tc>
        <w:tc>
          <w:tcPr>
            <w:tcW w:type="dxa" w:w="2160"/>
          </w:tcPr>
          <w:p>
            <w:pPr>
              <w:spacing w:after="0" w:before="0" w:line="240" w:lineRule="auto"/>
              <w:jc w:val="left"/>
            </w:pPr>
            <w:r>
              <w:t>High</w:t>
            </w:r>
          </w:p>
        </w:tc>
        <w:tc>
          <w:tcPr>
            <w:tcW w:type="dxa" w:w="2160"/>
          </w:tcPr>
          <w:p>
            <w:pPr>
              <w:spacing w:after="0" w:before="0" w:line="240" w:lineRule="auto"/>
              <w:jc w:val="left"/>
            </w:pPr>
            <w:r>
              <w:t>Revise FAT scope before approval</w:t>
            </w:r>
          </w:p>
        </w:tc>
      </w:tr>
    </w:tbl>
    <w:p/>
    <w:p>
      <w:r>
        <w:t>These risk ratings and dispositions are illustrative. Actual decisions depend on the approved requirement, risk assessment, evidence, and procurement rules.</w:t>
      </w:r>
    </w:p>
    <w:p>
      <w:pPr>
        <w:pStyle w:val="Heading2"/>
      </w:pPr>
      <w:r>
        <w:t>9. How to assess a technical deviation</w:t>
      </w:r>
    </w:p>
    <w:p>
      <w:r>
        <w:t>A disciplined assessment should answer six questions.</w:t>
      </w:r>
    </w:p>
    <w:p>
      <w:pPr>
        <w:pStyle w:val="Heading3"/>
      </w:pPr>
      <w:r>
        <w:t>9.1 What exactly is different?</w:t>
      </w:r>
    </w:p>
    <w:p>
      <w:r>
        <w:t>State the requirement and the proposed condition precisely.</w:t>
      </w:r>
    </w:p>
    <w:p>
      <w:r>
        <w:t>Weak description: "PLC not matching."</w:t>
      </w:r>
    </w:p>
    <w:p>
      <w:r>
        <w:t>Better description: "RFQ clause PLC-001 specifies the approved controller family. Supplier proposes an alternative controller family in section 4.2 of the technical offer."</w:t>
      </w:r>
    </w:p>
    <w:p>
      <w:pPr>
        <w:pStyle w:val="Heading3"/>
      </w:pPr>
      <w:r>
        <w:t>9.2 Why is the supplier proposing the difference?</w:t>
      </w:r>
    </w:p>
    <w:p>
      <w:r>
        <w:t>Possible reasons include:</w:t>
      </w:r>
    </w:p>
    <w:p>
      <w:pPr>
        <w:pStyle w:val="ListBullet"/>
      </w:pPr>
      <w:r>
        <w:t>Required product is unavailable.</w:t>
      </w:r>
    </w:p>
    <w:p>
      <w:pPr>
        <w:pStyle w:val="ListBullet"/>
      </w:pPr>
      <w:r>
        <w:t>Proposed alternative provides a technical advantage.</w:t>
      </w:r>
    </w:p>
    <w:p>
      <w:pPr>
        <w:pStyle w:val="ListBullet"/>
      </w:pPr>
      <w:r>
        <w:t>Supplier uses a standard design platform.</w:t>
      </w:r>
    </w:p>
    <w:p>
      <w:pPr>
        <w:pStyle w:val="ListBullet"/>
      </w:pPr>
      <w:r>
        <w:t>Required specification is ambiguous.</w:t>
      </w:r>
    </w:p>
    <w:p>
      <w:pPr>
        <w:pStyle w:val="ListBullet"/>
      </w:pPr>
      <w:r>
        <w:t>Supplier has misunderstood the requirement.</w:t>
      </w:r>
    </w:p>
    <w:p>
      <w:pPr>
        <w:pStyle w:val="ListBullet"/>
      </w:pPr>
      <w:r>
        <w:t>Supplier is attempting to reduce cost.</w:t>
      </w:r>
    </w:p>
    <w:p>
      <w:pPr>
        <w:pStyle w:val="ListBullet"/>
      </w:pPr>
      <w:r>
        <w:t>Required performance cannot be achieved with the proposed design.</w:t>
      </w:r>
    </w:p>
    <w:p>
      <w:r>
        <w:t>The supplier's explanation is useful, but it is not proof that the alternative is suitable.</w:t>
      </w:r>
    </w:p>
    <w:p>
      <w:pPr>
        <w:pStyle w:val="Heading3"/>
      </w:pPr>
      <w:r>
        <w:t>9.3 Does it meet the intended function?</w:t>
      </w:r>
    </w:p>
    <w:p>
      <w:r>
        <w:t>Assess functional equivalence using evidence.</w:t>
      </w:r>
    </w:p>
    <w:p>
      <w:r>
        <w:t>For a PLC alternative, examine:</w:t>
      </w:r>
    </w:p>
    <w:p>
      <w:pPr>
        <w:pStyle w:val="ListBullet"/>
      </w:pPr>
      <w:r>
        <w:t>Program execution and memory requirements.</w:t>
      </w:r>
    </w:p>
    <w:p>
      <w:pPr>
        <w:pStyle w:val="ListBullet"/>
      </w:pPr>
      <w:r>
        <w:t>I/O capacity and expansion.</w:t>
      </w:r>
    </w:p>
    <w:p>
      <w:pPr>
        <w:pStyle w:val="ListBullet"/>
      </w:pPr>
      <w:r>
        <w:t>Required communication protocols.</w:t>
      </w:r>
    </w:p>
    <w:p>
      <w:pPr>
        <w:pStyle w:val="ListBullet"/>
      </w:pPr>
      <w:r>
        <w:t>Existing equipment integration.</w:t>
      </w:r>
    </w:p>
    <w:p>
      <w:pPr>
        <w:pStyle w:val="ListBullet"/>
      </w:pPr>
      <w:r>
        <w:t>Diagnostic capabilities.</w:t>
      </w:r>
    </w:p>
    <w:p>
      <w:pPr>
        <w:pStyle w:val="ListBullet"/>
      </w:pPr>
      <w:r>
        <w:t>Engineering software and licensing.</w:t>
      </w:r>
    </w:p>
    <w:p>
      <w:pPr>
        <w:pStyle w:val="ListBullet"/>
      </w:pPr>
      <w:r>
        <w:t>Safety architecture where relevant.</w:t>
      </w:r>
    </w:p>
    <w:p>
      <w:pPr>
        <w:pStyle w:val="ListBullet"/>
      </w:pPr>
      <w:r>
        <w:t>Maintenance skills and support.</w:t>
      </w:r>
    </w:p>
    <w:p>
      <w:pPr>
        <w:pStyle w:val="ListBullet"/>
      </w:pPr>
      <w:r>
        <w:t>Backup, restore, and source-project access.</w:t>
      </w:r>
    </w:p>
    <w:p>
      <w:r>
        <w:t>An alternative is not equivalent simply because it has similar headline specifications.</w:t>
      </w:r>
    </w:p>
    <w:p>
      <w:pPr>
        <w:pStyle w:val="Heading3"/>
      </w:pPr>
      <w:r>
        <w:t>9.4 What are the downstream impacts?</w:t>
      </w:r>
    </w:p>
    <w:p>
      <w:r>
        <w:t>Check whether the deviation affects other equipment or project activities.</w:t>
      </w:r>
    </w:p>
    <w:p>
      <w:r>
        <w:t>For example, a change in PLC family may affect:</w:t>
      </w:r>
    </w:p>
    <w:p>
      <w:pPr>
        <w:pStyle w:val="ListBullet"/>
      </w:pPr>
      <w:r>
        <w:t>Remote I/O compatibility.</w:t>
      </w:r>
    </w:p>
    <w:p>
      <w:pPr>
        <w:pStyle w:val="ListBullet"/>
      </w:pPr>
      <w:r>
        <w:t>HMI communication drivers.</w:t>
      </w:r>
    </w:p>
    <w:p>
      <w:pPr>
        <w:pStyle w:val="ListBullet"/>
      </w:pPr>
      <w:r>
        <w:t>Robot and CNC interfaces.</w:t>
      </w:r>
    </w:p>
    <w:p>
      <w:pPr>
        <w:pStyle w:val="ListBullet"/>
      </w:pPr>
      <w:r>
        <w:t>Programming tools and licenses.</w:t>
      </w:r>
    </w:p>
    <w:p>
      <w:pPr>
        <w:pStyle w:val="ListBullet"/>
      </w:pPr>
      <w:r>
        <w:t>Spare-parts inventory.</w:t>
      </w:r>
    </w:p>
    <w:p>
      <w:pPr>
        <w:pStyle w:val="ListBullet"/>
      </w:pPr>
      <w:r>
        <w:t>Technician training.</w:t>
      </w:r>
    </w:p>
    <w:p>
      <w:pPr>
        <w:pStyle w:val="ListBullet"/>
      </w:pPr>
      <w:r>
        <w:t>Existing standards and approved designs.</w:t>
      </w:r>
    </w:p>
    <w:p>
      <w:pPr>
        <w:pStyle w:val="ListBullet"/>
      </w:pPr>
      <w:r>
        <w:t>Cybersecurity and network configuration.</w:t>
      </w:r>
    </w:p>
    <w:p>
      <w:pPr>
        <w:pStyle w:val="ListBullet"/>
      </w:pPr>
      <w:r>
        <w:t>FAT and SAT procedures.</w:t>
      </w:r>
    </w:p>
    <w:p>
      <w:pPr>
        <w:pStyle w:val="Heading3"/>
      </w:pPr>
      <w:r>
        <w:t>9.5 Is the deviation acceptable under the rules?</w:t>
      </w:r>
    </w:p>
    <w:p>
      <w:r>
        <w:t>Determine whether the requirement is mandatory, whether alternatives are permitted, and who has the authority to approve the change.</w:t>
      </w:r>
    </w:p>
    <w:p>
      <w:r>
        <w:t>A procurement engineer cannot unilaterally waive a safety, statutory, contractual, or production-critical requirement outside their authority.</w:t>
      </w:r>
    </w:p>
    <w:p>
      <w:pPr>
        <w:pStyle w:val="Heading3"/>
      </w:pPr>
      <w:r>
        <w:t>9.6 What evidence is needed to close it?</w:t>
      </w:r>
    </w:p>
    <w:p>
      <w:r>
        <w:t>Closure evidence may include:</w:t>
      </w:r>
    </w:p>
    <w:p>
      <w:pPr>
        <w:pStyle w:val="ListBullet"/>
      </w:pPr>
      <w:r>
        <w:t>Revised technical offer.</w:t>
      </w:r>
    </w:p>
    <w:p>
      <w:pPr>
        <w:pStyle w:val="ListBullet"/>
      </w:pPr>
      <w:r>
        <w:t>Updated electrical drawings.</w:t>
      </w:r>
    </w:p>
    <w:p>
      <w:pPr>
        <w:pStyle w:val="ListBullet"/>
      </w:pPr>
      <w:r>
        <w:t>Approved architecture.</w:t>
      </w:r>
    </w:p>
    <w:p>
      <w:pPr>
        <w:pStyle w:val="ListBullet"/>
      </w:pPr>
      <w:r>
        <w:t>Performance calculations.</w:t>
      </w:r>
    </w:p>
    <w:p>
      <w:pPr>
        <w:pStyle w:val="ListBullet"/>
      </w:pPr>
      <w:r>
        <w:t>Test reports.</w:t>
      </w:r>
    </w:p>
    <w:p>
      <w:pPr>
        <w:pStyle w:val="ListBullet"/>
      </w:pPr>
      <w:r>
        <w:t>Compatibility demonstrations.</w:t>
      </w:r>
    </w:p>
    <w:p>
      <w:pPr>
        <w:pStyle w:val="ListBullet"/>
      </w:pPr>
      <w:r>
        <w:t>Revised FAT/SAT procedures.</w:t>
      </w:r>
    </w:p>
    <w:p>
      <w:pPr>
        <w:pStyle w:val="ListBullet"/>
      </w:pPr>
      <w:r>
        <w:t>Formal technical approval.</w:t>
      </w:r>
    </w:p>
    <w:p>
      <w:pPr>
        <w:pStyle w:val="ListBullet"/>
      </w:pPr>
      <w:r>
        <w:t>Updated purchase order or contract documentation.</w:t>
      </w:r>
    </w:p>
    <w:p>
      <w:pPr>
        <w:pStyle w:val="Heading2"/>
      </w:pPr>
      <w:r>
        <w:t>10. Risk assessment of technical deviations</w:t>
      </w:r>
    </w:p>
    <w:p>
      <w:r>
        <w:t>A deviation should be assessed according to its possible consequences, not just its apparent size.</w:t>
      </w:r>
    </w:p>
    <w:p>
      <w:r>
        <w:t>A simple risk model uses likelihood and consequence scores:</w:t>
      </w:r>
    </w:p>
    <w:p>
      <w:pPr>
        <w:spacing w:before="120" w:after="160"/>
        <w:jc w:val="center"/>
      </w:pPr>
      <m:oMathPara>
        <m:oMath>
          <m:r>
            <m:t>R=L×S</m:t>
          </m:r>
        </m:oMath>
      </m:oMathPara>
    </w:p>
    <w:p>
      <w:r>
        <w:t>Where:</w:t>
      </w:r>
    </w:p>
    <w:p>
      <w:pPr>
        <w:pStyle w:val="ListBullet"/>
      </w:pPr>
      <m:oMath>
        <m:r>
          <m:t>R</m:t>
        </m:r>
      </m:oMath>
      <w:r>
        <w:t xml:space="preserve"> = risk score.</w:t>
      </w:r>
    </w:p>
    <w:p>
      <w:pPr>
        <w:pStyle w:val="ListBullet"/>
      </w:pPr>
      <m:oMath>
        <m:r>
          <m:t>L</m:t>
        </m:r>
      </m:oMath>
      <w:r>
        <w:t xml:space="preserve"> = likelihood score.</w:t>
      </w:r>
    </w:p>
    <w:p>
      <w:pPr>
        <w:pStyle w:val="ListBullet"/>
      </w:pPr>
      <m:oMath>
        <m:r>
          <m:t>S</m:t>
        </m:r>
      </m:oMath>
      <w:r>
        <w:t xml:space="preserve"> = severity or consequence score.</w:t>
      </w:r>
    </w:p>
    <w:p>
      <w:r>
        <w:t>For example, if likelihood is rated 3 and severity is rated 4 on an approved five-point scale, the risk score is 12.</w:t>
      </w:r>
    </w:p>
    <w:p>
      <w:r>
        <w:t>The organization must define the score bands and required actions. A score of 12 has no universal meaning without that agreed method.</w:t>
      </w:r>
    </w:p>
    <w:p>
      <w:r>
        <w:t>Consider at least these risk dimensions: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Risk dimension</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Safety</w:t>
            </w:r>
          </w:p>
        </w:tc>
        <w:tc>
          <w:tcPr>
            <w:tcW w:type="dxa" w:w="5400"/>
          </w:tcPr>
          <w:p>
            <w:pPr>
              <w:spacing w:after="0" w:before="0" w:line="240" w:lineRule="auto"/>
              <w:jc w:val="left"/>
            </w:pPr>
            <w:r>
              <w:t>Alternative arrangement may not achieve required safety performance</w:t>
            </w:r>
          </w:p>
        </w:tc>
      </w:tr>
      <w:tr>
        <w:tc>
          <w:tcPr>
            <w:tcW w:type="dxa" w:w="5400"/>
          </w:tcPr>
          <w:p>
            <w:pPr>
              <w:spacing w:after="0" w:before="0" w:line="240" w:lineRule="auto"/>
              <w:jc w:val="left"/>
            </w:pPr>
            <w:r>
              <w:t>Functional</w:t>
            </w:r>
          </w:p>
        </w:tc>
        <w:tc>
          <w:tcPr>
            <w:tcW w:type="dxa" w:w="5400"/>
          </w:tcPr>
          <w:p>
            <w:pPr>
              <w:spacing w:after="0" w:before="0" w:line="240" w:lineRule="auto"/>
              <w:jc w:val="left"/>
            </w:pPr>
            <w:r>
              <w:t>Required sequence or fault recovery may fail</w:t>
            </w:r>
          </w:p>
        </w:tc>
      </w:tr>
      <w:tr>
        <w:tc>
          <w:tcPr>
            <w:tcW w:type="dxa" w:w="5400"/>
          </w:tcPr>
          <w:p>
            <w:pPr>
              <w:spacing w:after="0" w:before="0" w:line="240" w:lineRule="auto"/>
              <w:jc w:val="left"/>
            </w:pPr>
            <w:r>
              <w:t>Performance</w:t>
            </w:r>
          </w:p>
        </w:tc>
        <w:tc>
          <w:tcPr>
            <w:tcW w:type="dxa" w:w="5400"/>
          </w:tcPr>
          <w:p>
            <w:pPr>
              <w:spacing w:after="0" w:before="0" w:line="240" w:lineRule="auto"/>
              <w:jc w:val="left"/>
            </w:pPr>
            <w:r>
              <w:t>Cycle time or measurement accuracy may be insufficient</w:t>
            </w:r>
          </w:p>
        </w:tc>
      </w:tr>
      <w:tr>
        <w:tc>
          <w:tcPr>
            <w:tcW w:type="dxa" w:w="5400"/>
          </w:tcPr>
          <w:p>
            <w:pPr>
              <w:spacing w:after="0" w:before="0" w:line="240" w:lineRule="auto"/>
              <w:jc w:val="left"/>
            </w:pPr>
            <w:r>
              <w:t>Integration</w:t>
            </w:r>
          </w:p>
        </w:tc>
        <w:tc>
          <w:tcPr>
            <w:tcW w:type="dxa" w:w="5400"/>
          </w:tcPr>
          <w:p>
            <w:pPr>
              <w:spacing w:after="0" w:before="0" w:line="240" w:lineRule="auto"/>
              <w:jc w:val="left"/>
            </w:pPr>
            <w:r>
              <w:t>Proposed protocol cannot communicate with existing equipment</w:t>
            </w:r>
          </w:p>
        </w:tc>
      </w:tr>
      <w:tr>
        <w:tc>
          <w:tcPr>
            <w:tcW w:type="dxa" w:w="5400"/>
          </w:tcPr>
          <w:p>
            <w:pPr>
              <w:spacing w:after="0" w:before="0" w:line="240" w:lineRule="auto"/>
              <w:jc w:val="left"/>
            </w:pPr>
            <w:r>
              <w:t>Maintainability</w:t>
            </w:r>
          </w:p>
        </w:tc>
        <w:tc>
          <w:tcPr>
            <w:tcW w:type="dxa" w:w="5400"/>
          </w:tcPr>
          <w:p>
            <w:pPr>
              <w:spacing w:after="0" w:before="0" w:line="240" w:lineRule="auto"/>
              <w:jc w:val="left"/>
            </w:pPr>
            <w:r>
              <w:t>Plant technicians cannot support the proposed platform</w:t>
            </w:r>
          </w:p>
        </w:tc>
      </w:tr>
      <w:tr>
        <w:tc>
          <w:tcPr>
            <w:tcW w:type="dxa" w:w="5400"/>
          </w:tcPr>
          <w:p>
            <w:pPr>
              <w:spacing w:after="0" w:before="0" w:line="240" w:lineRule="auto"/>
              <w:jc w:val="left"/>
            </w:pPr>
            <w:r>
              <w:t>Lifecycle</w:t>
            </w:r>
          </w:p>
        </w:tc>
        <w:tc>
          <w:tcPr>
            <w:tcW w:type="dxa" w:w="5400"/>
          </w:tcPr>
          <w:p>
            <w:pPr>
              <w:spacing w:after="0" w:before="0" w:line="240" w:lineRule="auto"/>
              <w:jc w:val="left"/>
            </w:pPr>
            <w:r>
              <w:t>Product support or spare availability is uncertain</w:t>
            </w:r>
          </w:p>
        </w:tc>
      </w:tr>
      <w:tr>
        <w:tc>
          <w:tcPr>
            <w:tcW w:type="dxa" w:w="5400"/>
          </w:tcPr>
          <w:p>
            <w:pPr>
              <w:spacing w:after="0" w:before="0" w:line="240" w:lineRule="auto"/>
              <w:jc w:val="left"/>
            </w:pPr>
            <w:r>
              <w:t>Commercial</w:t>
            </w:r>
          </w:p>
        </w:tc>
        <w:tc>
          <w:tcPr>
            <w:tcW w:type="dxa" w:w="5400"/>
          </w:tcPr>
          <w:p>
            <w:pPr>
              <w:spacing w:after="0" w:before="0" w:line="240" w:lineRule="auto"/>
              <w:jc w:val="left"/>
            </w:pPr>
            <w:r>
              <w:t>Additional licenses or modifications create hidden costs</w:t>
            </w:r>
          </w:p>
        </w:tc>
      </w:tr>
      <w:tr>
        <w:tc>
          <w:tcPr>
            <w:tcW w:type="dxa" w:w="5400"/>
          </w:tcPr>
          <w:p>
            <w:pPr>
              <w:spacing w:after="0" w:before="0" w:line="240" w:lineRule="auto"/>
              <w:jc w:val="left"/>
            </w:pPr>
            <w:r>
              <w:t>Schedule</w:t>
            </w:r>
          </w:p>
        </w:tc>
        <w:tc>
          <w:tcPr>
            <w:tcW w:type="dxa" w:w="5400"/>
          </w:tcPr>
          <w:p>
            <w:pPr>
              <w:spacing w:after="0" w:before="0" w:line="240" w:lineRule="auto"/>
              <w:jc w:val="left"/>
            </w:pPr>
            <w:r>
              <w:t>Redesigned interfaces delay commissioning</w:t>
            </w:r>
          </w:p>
        </w:tc>
      </w:tr>
      <w:tr>
        <w:tc>
          <w:tcPr>
            <w:tcW w:type="dxa" w:w="5400"/>
          </w:tcPr>
          <w:p>
            <w:pPr>
              <w:spacing w:after="0" w:before="0" w:line="240" w:lineRule="auto"/>
              <w:jc w:val="left"/>
            </w:pPr>
            <w:r>
              <w:t>Quality</w:t>
            </w:r>
          </w:p>
        </w:tc>
        <w:tc>
          <w:tcPr>
            <w:tcW w:type="dxa" w:w="5400"/>
          </w:tcPr>
          <w:p>
            <w:pPr>
              <w:spacing w:after="0" w:before="0" w:line="240" w:lineRule="auto"/>
              <w:jc w:val="left"/>
            </w:pPr>
            <w:r>
              <w:t>Traceability or test evidence is incomplete</w:t>
            </w:r>
          </w:p>
        </w:tc>
      </w:tr>
      <w:tr>
        <w:tc>
          <w:tcPr>
            <w:tcW w:type="dxa" w:w="5400"/>
          </w:tcPr>
          <w:p>
            <w:pPr>
              <w:spacing w:after="0" w:before="0" w:line="240" w:lineRule="auto"/>
              <w:jc w:val="left"/>
            </w:pPr>
            <w:r>
              <w:t>Contractual</w:t>
            </w:r>
          </w:p>
        </w:tc>
        <w:tc>
          <w:tcPr>
            <w:tcW w:type="dxa" w:w="5400"/>
          </w:tcPr>
          <w:p>
            <w:pPr>
              <w:spacing w:after="0" w:before="0" w:line="240" w:lineRule="auto"/>
              <w:jc w:val="left"/>
            </w:pPr>
            <w:r>
              <w:t>Supplier's exclusion conflicts with the agreed scope</w:t>
            </w:r>
          </w:p>
        </w:tc>
      </w:tr>
    </w:tbl>
    <w:p/>
    <w:p>
      <w:r>
        <w:t>Safety-critical and legally mandatory requirements require the applicable formal review, regardless of a low numerical risk score.</w:t>
      </w:r>
    </w:p>
    <w:p>
      <w:pPr>
        <w:pStyle w:val="Heading2"/>
      </w:pPr>
      <w:r>
        <w:t>11. Deviation disposition categories</w:t>
      </w:r>
    </w:p>
    <w:p>
      <w:r>
        <w:t>Define the allowed dispositions in the procurement procedure.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Disposition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Required control</w:t>
            </w:r>
          </w:p>
        </w:tc>
      </w:tr>
      <w:tr>
        <w:tc>
          <w:tcPr>
            <w:tcW w:type="dxa" w:w="3600"/>
          </w:tcPr>
          <w:p>
            <w:pPr>
              <w:spacing w:after="0" w:before="0" w:line="240" w:lineRule="auto"/>
              <w:jc w:val="left"/>
            </w:pPr>
            <w:r>
              <w:t>Accepted</w:t>
            </w:r>
          </w:p>
        </w:tc>
        <w:tc>
          <w:tcPr>
            <w:tcW w:type="dxa" w:w="3600"/>
          </w:tcPr>
          <w:p>
            <w:pPr>
              <w:spacing w:after="0" w:before="0" w:line="240" w:lineRule="auto"/>
              <w:jc w:val="left"/>
            </w:pPr>
            <w:r>
              <w:t>Deviation approved as proposed</w:t>
            </w:r>
          </w:p>
        </w:tc>
        <w:tc>
          <w:tcPr>
            <w:tcW w:type="dxa" w:w="3600"/>
          </w:tcPr>
          <w:p>
            <w:pPr>
              <w:spacing w:after="0" w:before="0" w:line="240" w:lineRule="auto"/>
              <w:jc w:val="left"/>
            </w:pPr>
            <w:r>
              <w:t>Authorized approval and baseline update</w:t>
            </w:r>
          </w:p>
        </w:tc>
      </w:tr>
      <w:tr>
        <w:tc>
          <w:tcPr>
            <w:tcW w:type="dxa" w:w="3600"/>
          </w:tcPr>
          <w:p>
            <w:pPr>
              <w:spacing w:after="0" w:before="0" w:line="240" w:lineRule="auto"/>
              <w:jc w:val="left"/>
            </w:pPr>
            <w:r>
              <w:t>Accepted with conditions</w:t>
            </w:r>
          </w:p>
        </w:tc>
        <w:tc>
          <w:tcPr>
            <w:tcW w:type="dxa" w:w="3600"/>
          </w:tcPr>
          <w:p>
            <w:pPr>
              <w:spacing w:after="0" w:before="0" w:line="240" w:lineRule="auto"/>
              <w:jc w:val="left"/>
            </w:pPr>
            <w:r>
              <w:t>Approval depends on specific actions or evidence</w:t>
            </w:r>
          </w:p>
        </w:tc>
        <w:tc>
          <w:tcPr>
            <w:tcW w:type="dxa" w:w="3600"/>
          </w:tcPr>
          <w:p>
            <w:pPr>
              <w:spacing w:after="0" w:before="0" w:line="240" w:lineRule="auto"/>
              <w:jc w:val="left"/>
            </w:pPr>
            <w:r>
              <w:t>Conditions, owner, deadline, and closure verification</w:t>
            </w:r>
          </w:p>
        </w:tc>
      </w:tr>
      <w:tr>
        <w:tc>
          <w:tcPr>
            <w:tcW w:type="dxa" w:w="3600"/>
          </w:tcPr>
          <w:p>
            <w:pPr>
              <w:spacing w:after="0" w:before="0" w:line="240" w:lineRule="auto"/>
              <w:jc w:val="left"/>
            </w:pPr>
            <w:r>
              <w:t>Rejected</w:t>
            </w:r>
          </w:p>
        </w:tc>
        <w:tc>
          <w:tcPr>
            <w:tcW w:type="dxa" w:w="3600"/>
          </w:tcPr>
          <w:p>
            <w:pPr>
              <w:spacing w:after="0" w:before="0" w:line="240" w:lineRule="auto"/>
              <w:jc w:val="left"/>
            </w:pPr>
            <w:r>
              <w:t>Proposal does not meet acceptable requirements</w:t>
            </w:r>
          </w:p>
        </w:tc>
        <w:tc>
          <w:tcPr>
            <w:tcW w:type="dxa" w:w="3600"/>
          </w:tcPr>
          <w:p>
            <w:pPr>
              <w:spacing w:after="0" w:before="0" w:line="240" w:lineRule="auto"/>
              <w:jc w:val="left"/>
            </w:pPr>
            <w:r>
              <w:t>Supplier must comply or bid is handled under the rules</w:t>
            </w:r>
          </w:p>
        </w:tc>
      </w:tr>
      <w:tr>
        <w:tc>
          <w:tcPr>
            <w:tcW w:type="dxa" w:w="3600"/>
          </w:tcPr>
          <w:p>
            <w:pPr>
              <w:spacing w:after="0" w:before="0" w:line="240" w:lineRule="auto"/>
              <w:jc w:val="left"/>
            </w:pPr>
            <w:r>
              <w:t>Clarification required</w:t>
            </w:r>
          </w:p>
        </w:tc>
        <w:tc>
          <w:tcPr>
            <w:tcW w:type="dxa" w:w="3600"/>
          </w:tcPr>
          <w:p>
            <w:pPr>
              <w:spacing w:after="0" w:before="0" w:line="240" w:lineRule="auto"/>
              <w:jc w:val="left"/>
            </w:pPr>
            <w:r>
              <w:t>Facts or impacts remain uncertain</w:t>
            </w:r>
          </w:p>
        </w:tc>
        <w:tc>
          <w:tcPr>
            <w:tcW w:type="dxa" w:w="3600"/>
          </w:tcPr>
          <w:p>
            <w:pPr>
              <w:spacing w:after="0" w:before="0" w:line="240" w:lineRule="auto"/>
              <w:jc w:val="left"/>
            </w:pPr>
            <w:r>
              <w:t>Written question and documented response</w:t>
            </w:r>
          </w:p>
        </w:tc>
      </w:tr>
      <w:tr>
        <w:tc>
          <w:tcPr>
            <w:tcW w:type="dxa" w:w="3600"/>
          </w:tcPr>
          <w:p>
            <w:pPr>
              <w:spacing w:after="0" w:before="0" w:line="240" w:lineRule="auto"/>
              <w:jc w:val="left"/>
            </w:pPr>
            <w:r>
              <w:t>Pending review</w:t>
            </w:r>
          </w:p>
        </w:tc>
        <w:tc>
          <w:tcPr>
            <w:tcW w:type="dxa" w:w="3600"/>
          </w:tcPr>
          <w:p>
            <w:pPr>
              <w:spacing w:after="0" w:before="0" w:line="240" w:lineRule="auto"/>
              <w:jc w:val="left"/>
            </w:pPr>
            <w:r>
              <w:t>Evaluation is incomplete</w:t>
            </w:r>
          </w:p>
        </w:tc>
        <w:tc>
          <w:tcPr>
            <w:tcW w:type="dxa" w:w="3600"/>
          </w:tcPr>
          <w:p>
            <w:pPr>
              <w:spacing w:after="0" w:before="0" w:line="240" w:lineRule="auto"/>
              <w:jc w:val="left"/>
            </w:pPr>
            <w:r>
              <w:t>Assigned owner and due date</w:t>
            </w:r>
          </w:p>
        </w:tc>
      </w:tr>
      <w:tr>
        <w:tc>
          <w:tcPr>
            <w:tcW w:type="dxa" w:w="3600"/>
          </w:tcPr>
          <w:p>
            <w:pPr>
              <w:spacing w:after="0" w:before="0" w:line="240" w:lineRule="auto"/>
              <w:jc w:val="left"/>
            </w:pPr>
            <w:r>
              <w:t>Withdrawn</w:t>
            </w:r>
          </w:p>
        </w:tc>
        <w:tc>
          <w:tcPr>
            <w:tcW w:type="dxa" w:w="3600"/>
          </w:tcPr>
          <w:p>
            <w:pPr>
              <w:spacing w:after="0" w:before="0" w:line="240" w:lineRule="auto"/>
              <w:jc w:val="left"/>
            </w:pPr>
            <w:r>
              <w:t>Supplier has removed the deviation</w:t>
            </w:r>
          </w:p>
        </w:tc>
        <w:tc>
          <w:tcPr>
            <w:tcW w:type="dxa" w:w="3600"/>
          </w:tcPr>
          <w:p>
            <w:pPr>
              <w:spacing w:after="0" w:before="0" w:line="240" w:lineRule="auto"/>
              <w:jc w:val="left"/>
            </w:pPr>
            <w:r>
              <w:t>Revised offer and confirmation</w:t>
            </w:r>
          </w:p>
        </w:tc>
      </w:tr>
      <w:tr>
        <w:tc>
          <w:tcPr>
            <w:tcW w:type="dxa" w:w="3600"/>
          </w:tcPr>
          <w:p>
            <w:pPr>
              <w:spacing w:after="0" w:before="0" w:line="240" w:lineRule="auto"/>
              <w:jc w:val="left"/>
            </w:pPr>
            <w:r>
              <w:t>Superseded</w:t>
            </w:r>
          </w:p>
        </w:tc>
        <w:tc>
          <w:tcPr>
            <w:tcW w:type="dxa" w:w="3600"/>
          </w:tcPr>
          <w:p>
            <w:pPr>
              <w:spacing w:after="0" w:before="0" w:line="240" w:lineRule="auto"/>
              <w:jc w:val="left"/>
            </w:pPr>
            <w:r>
              <w:t>A newer approved revision replaces the earlier proposal</w:t>
            </w:r>
          </w:p>
        </w:tc>
        <w:tc>
          <w:tcPr>
            <w:tcW w:type="dxa" w:w="3600"/>
          </w:tcPr>
          <w:p>
            <w:pPr>
              <w:spacing w:after="0" w:before="0" w:line="240" w:lineRule="auto"/>
              <w:jc w:val="left"/>
            </w:pPr>
            <w:r>
              <w:t>Preserve history and link revisions</w:t>
            </w:r>
          </w:p>
        </w:tc>
      </w:tr>
    </w:tbl>
    <w:p/>
    <w:p>
      <w:r>
        <w:t>Avoid using "accepted with conditions" as a way to postpone a decision indefinitely. Conditions must be explicit, verifiable, assigned, and closed before the relevant contractual or operational milestone.</w:t>
      </w:r>
    </w:p>
    <w:p>
      <w:pPr>
        <w:pStyle w:val="Heading2"/>
      </w:pPr>
      <w:r>
        <w:t>12. Handling mandatory requirements</w:t>
      </w:r>
    </w:p>
    <w:p>
      <w:r>
        <w:t>Mandatory requirements need special treatment.</w:t>
      </w:r>
    </w:p>
    <w:p>
      <w:r>
        <w:t>Examples may include:</w:t>
      </w:r>
    </w:p>
    <w:p>
      <w:pPr>
        <w:pStyle w:val="ListBullet"/>
      </w:pPr>
      <w:r>
        <w:t>Essential safety functions.</w:t>
      </w:r>
    </w:p>
    <w:p>
      <w:pPr>
        <w:pStyle w:val="ListBullet"/>
      </w:pPr>
      <w:r>
        <w:t>Legally required certifications.</w:t>
      </w:r>
    </w:p>
    <w:p>
      <w:pPr>
        <w:pStyle w:val="ListBullet"/>
      </w:pPr>
      <w:r>
        <w:t>Mandatory electrical supply compatibility.</w:t>
      </w:r>
    </w:p>
    <w:p>
      <w:pPr>
        <w:pStyle w:val="ListBullet"/>
      </w:pPr>
      <w:r>
        <w:t>Minimum production performance.</w:t>
      </w:r>
    </w:p>
    <w:p>
      <w:pPr>
        <w:pStyle w:val="ListBullet"/>
      </w:pPr>
      <w:r>
        <w:t>Essential interfaces with existing machines.</w:t>
      </w:r>
    </w:p>
    <w:p>
      <w:pPr>
        <w:pStyle w:val="ListBullet"/>
      </w:pPr>
      <w:r>
        <w:t>Required quality traceability.</w:t>
      </w:r>
    </w:p>
    <w:p>
      <w:pPr>
        <w:pStyle w:val="ListBullet"/>
      </w:pPr>
      <w:r>
        <w:t>Mandatory handover deliverables.</w:t>
      </w:r>
    </w:p>
    <w:p>
      <w:r>
        <w:t>If a supplier cannot meet a mandatory requirement, the evaluator should follow the RFQ and procurement procedure. Possible outcomes include requesting a compliant alternative, rejecting the deviation, or determining that the offer is technically unacceptable.</w:t>
      </w:r>
    </w:p>
    <w:p>
      <w:r>
        <w:t>Do not silently convert a mandatory requirement into a desirable one to accommodate a preferred supplier.</w:t>
      </w:r>
    </w:p>
    <w:p>
      <w:r>
        <w:t>If the requirement needs to change for legitimate business reasons, use the formal change-control process and apply the approved rules to all affected bidders.</w:t>
      </w:r>
    </w:p>
    <w:p>
      <w:pPr>
        <w:pStyle w:val="Heading2"/>
      </w:pPr>
      <w:r>
        <w:t>13. Technical deviation and cost impact</w:t>
      </w:r>
    </w:p>
    <w:p>
      <w:r>
        <w:t>Technical deviations can shift costs away from the supplier's quotation and into the plant's future operating budget.</w:t>
      </w:r>
    </w:p>
    <w:p>
      <w:r>
        <w:t>Examples include:</w:t>
      </w:r>
    </w:p>
    <w:p>
      <w:pPr>
        <w:pStyle w:val="ListBullet"/>
      </w:pPr>
      <w:r>
        <w:t>Different PLC platform requiring new programming licenses.</w:t>
      </w:r>
    </w:p>
    <w:p>
      <w:pPr>
        <w:pStyle w:val="ListBullet"/>
      </w:pPr>
      <w:r>
        <w:t>Missing installation scope requiring a separate contractor.</w:t>
      </w:r>
    </w:p>
    <w:p>
      <w:pPr>
        <w:pStyle w:val="ListBullet"/>
      </w:pPr>
      <w:r>
        <w:t>Reduced diagnostic functionality increasing maintenance effort.</w:t>
      </w:r>
    </w:p>
    <w:p>
      <w:pPr>
        <w:pStyle w:val="ListBullet"/>
      </w:pPr>
      <w:r>
        <w:t>Nonstandard sensors requiring additional spare-parts inventory.</w:t>
      </w:r>
    </w:p>
    <w:p>
      <w:pPr>
        <w:pStyle w:val="ListBullet"/>
      </w:pPr>
      <w:r>
        <w:t>Reduced data retention requiring separate storage infrastructure.</w:t>
      </w:r>
    </w:p>
    <w:p>
      <w:pPr>
        <w:pStyle w:val="ListBullet"/>
      </w:pPr>
      <w:r>
        <w:t>Omitted training increasing commissioning support costs.</w:t>
      </w:r>
    </w:p>
    <w:p>
      <w:pPr>
        <w:pStyle w:val="ListBullet"/>
      </w:pPr>
      <w:r>
        <w:t>Proprietary software restricting future modifications.</w:t>
      </w:r>
    </w:p>
    <w:p>
      <w:r>
        <w:t>Evaluate the total impact, not only the quoted purchase price.</w:t>
      </w:r>
    </w:p>
    <w:p>
      <w:r>
        <w:t>Where appropriate, estimate lifecycle cost:</w:t>
      </w:r>
    </w:p>
    <w:p>
      <w:pPr>
        <w:spacing w:before="120" w:after="160"/>
        <w:jc w:val="center"/>
      </w:pPr>
      <m:oMathPara>
        <m:oMath>
          <m:sSub>
            <m:e>
              <m:r>
                <m:t>C</m:t>
              </m:r>
            </m:e>
            <m:sub>
              <m:r>
                <m:rPr>
                  <m:nor/>
                </m:rPr>
                <m:t>total</m:t>
              </m:r>
            </m:sub>
          </m:sSub>
          <m:r>
            <m:t>=</m:t>
          </m:r>
          <m:sSub>
            <m:e>
              <m:r>
                <m:t>C</m:t>
              </m:r>
            </m:e>
            <m:sub>
              <m:r>
                <m:rPr>
                  <m:nor/>
                </m:rPr>
                <m:t>purchase</m:t>
              </m:r>
            </m:sub>
          </m:sSub>
          <m:r>
            <m:t>+</m:t>
          </m:r>
          <m:sSub>
            <m:e>
              <m:r>
                <m:t>C</m:t>
              </m:r>
            </m:e>
            <m:sub>
              <m:r>
                <m:rPr>
                  <m:nor/>
                </m:rPr>
                <m:t>integration</m:t>
              </m:r>
            </m:sub>
          </m:sSub>
          <m:r>
            <m:t>+</m:t>
          </m:r>
          <m:sSub>
            <m:e>
              <m:r>
                <m:t>C</m:t>
              </m:r>
            </m:e>
            <m:sub>
              <m:r>
                <m:rPr>
                  <m:nor/>
                </m:rPr>
                <m:t>operation</m:t>
              </m:r>
            </m:sub>
          </m:sSub>
          <m:r>
            <m:t>+</m:t>
          </m:r>
          <m:sSub>
            <m:e>
              <m:r>
                <m:t>C</m:t>
              </m:r>
            </m:e>
            <m:sub>
              <m:r>
                <m:rPr>
                  <m:nor/>
                </m:rPr>
                <m:t>maintenance</m:t>
              </m:r>
            </m:sub>
          </m:sSub>
          <m:r>
            <m:t>+</m:t>
          </m:r>
          <m:sSub>
            <m:e>
              <m:r>
                <m:t>C</m:t>
              </m:r>
            </m:e>
            <m:sub>
              <m:r>
                <m:rPr>
                  <m:nor/>
                </m:rPr>
                <m:t>risk</m:t>
              </m:r>
            </m:sub>
          </m:sSub>
        </m:oMath>
      </m:oMathPara>
    </w:p>
    <w:p>
      <w:r>
        <w:t>This is a simplified model. Each component must be defined carefully to avoid double counting, and the risk component should be quantified only using an approved methodology.</w:t>
      </w:r>
    </w:p>
    <w:p>
      <w:r>
        <w:t>A cheaper alternative may be justified if its lifecycle benefits are demonstrable. A cheaper offer with hidden integration or support costs may not be economical.</w:t>
      </w:r>
    </w:p>
    <w:p>
      <w:pPr>
        <w:pStyle w:val="Heading2"/>
      </w:pPr>
      <w:r>
        <w:t>14. Technical deviation and schedule impact</w:t>
      </w:r>
    </w:p>
    <w:p>
      <w:r>
        <w:t>Assess the effect on the critical path, not just the supplier's promised delivery date.</w:t>
      </w:r>
    </w:p>
    <w:p>
      <w:r>
        <w:t>Check whether the deviation requires:</w:t>
      </w:r>
    </w:p>
    <w:p>
      <w:pPr>
        <w:pStyle w:val="ListBullet"/>
      </w:pPr>
      <w:r>
        <w:t>Engineering redesign.</w:t>
      </w:r>
    </w:p>
    <w:p>
      <w:pPr>
        <w:pStyle w:val="ListBullet"/>
      </w:pPr>
      <w:r>
        <w:t>New component procurement.</w:t>
      </w:r>
    </w:p>
    <w:p>
      <w:pPr>
        <w:pStyle w:val="ListBullet"/>
      </w:pPr>
      <w:r>
        <w:t>Software changes.</w:t>
      </w:r>
    </w:p>
    <w:p>
      <w:pPr>
        <w:pStyle w:val="ListBullet"/>
      </w:pPr>
      <w:r>
        <w:t>Interface testing.</w:t>
      </w:r>
    </w:p>
    <w:p>
      <w:pPr>
        <w:pStyle w:val="ListBullet"/>
      </w:pPr>
      <w:r>
        <w:t>Updated drawings.</w:t>
      </w:r>
    </w:p>
    <w:p>
      <w:pPr>
        <w:pStyle w:val="ListBullet"/>
      </w:pPr>
      <w:r>
        <w:t>Revised risk assessment.</w:t>
      </w:r>
    </w:p>
    <w:p>
      <w:pPr>
        <w:pStyle w:val="ListBullet"/>
      </w:pPr>
      <w:r>
        <w:t>Additional FAT tests.</w:t>
      </w:r>
    </w:p>
    <w:p>
      <w:pPr>
        <w:pStyle w:val="ListBullet"/>
      </w:pPr>
      <w:r>
        <w:t>Additional SAT tests.</w:t>
      </w:r>
    </w:p>
    <w:p>
      <w:pPr>
        <w:pStyle w:val="ListBullet"/>
      </w:pPr>
      <w:r>
        <w:t>Technician training.</w:t>
      </w:r>
    </w:p>
    <w:p>
      <w:pPr>
        <w:pStyle w:val="ListBullet"/>
      </w:pPr>
      <w:r>
        <w:t>Regulatory or safety review.</w:t>
      </w:r>
    </w:p>
    <w:p>
      <w:pPr>
        <w:pStyle w:val="ListBullet"/>
      </w:pPr>
      <w:r>
        <w:t>Reapproval of the project baseline.</w:t>
      </w:r>
    </w:p>
    <w:p>
      <w:r>
        <w:t>For example, a proposed replacement for an obsolete drive may be technically feasible but require different control signals, parameterization, EMC measures, or mechanical dimensions. The replacement can therefore affect both design and commissioning.</w:t>
      </w:r>
    </w:p>
    <w:p>
      <w:r>
        <w:t>Record schedule impact as an estimate with assumptions, responsible owner, and required mitigation.</w:t>
      </w:r>
    </w:p>
    <w:p>
      <w:pPr>
        <w:pStyle w:val="Heading2"/>
      </w:pPr>
      <w:r>
        <w:t>15. Managing technical clarifications</w:t>
      </w:r>
    </w:p>
    <w:p>
      <w:r>
        <w:t>Clarifications are often necessary before the final disposition can be determined.</w:t>
      </w:r>
    </w:p>
    <w:p>
      <w:r>
        <w:t>A good clarification request should:</w:t>
      </w:r>
    </w:p>
    <w:p>
      <w:pPr>
        <w:tabs>
          <w:tab w:pos="403" w:val="left"/>
        </w:tabs>
        <w:spacing w:after="40" w:line="276" w:lineRule="auto"/>
        <w:ind w:left="403" w:hanging="403"/>
        <w:jc w:val="left"/>
      </w:pPr>
      <w:r>
        <w:rPr>
          <w:color w:val="1A2E4A"/>
        </w:rPr>
        <w:t>1.</w:t>
        <w:tab/>
      </w:r>
      <w:r>
        <w:t>Reference the requirement ID and document clause.</w:t>
      </w:r>
    </w:p>
    <w:p>
      <w:pPr>
        <w:tabs>
          <w:tab w:pos="403" w:val="left"/>
        </w:tabs>
        <w:spacing w:after="40" w:line="276" w:lineRule="auto"/>
        <w:ind w:left="403" w:hanging="403"/>
        <w:jc w:val="left"/>
      </w:pPr>
      <w:r>
        <w:rPr>
          <w:color w:val="1A2E4A"/>
        </w:rPr>
        <w:t>2.</w:t>
        <w:tab/>
      </w:r>
      <w:r>
        <w:t>Describe the specific ambiguity or deviation.</w:t>
      </w:r>
    </w:p>
    <w:p>
      <w:pPr>
        <w:tabs>
          <w:tab w:pos="403" w:val="left"/>
        </w:tabs>
        <w:spacing w:after="40" w:line="276" w:lineRule="auto"/>
        <w:ind w:left="403" w:hanging="403"/>
        <w:jc w:val="left"/>
      </w:pPr>
      <w:r>
        <w:rPr>
          <w:color w:val="1A2E4A"/>
        </w:rPr>
        <w:t>3.</w:t>
        <w:tab/>
      </w:r>
      <w:r>
        <w:t>Ask a focused, answerable question.</w:t>
      </w:r>
    </w:p>
    <w:p>
      <w:pPr>
        <w:tabs>
          <w:tab w:pos="403" w:val="left"/>
        </w:tabs>
        <w:spacing w:after="40" w:line="276" w:lineRule="auto"/>
        <w:ind w:left="403" w:hanging="403"/>
        <w:jc w:val="left"/>
      </w:pPr>
      <w:r>
        <w:rPr>
          <w:color w:val="1A2E4A"/>
        </w:rPr>
        <w:t>4.</w:t>
        <w:tab/>
      </w:r>
      <w:r>
        <w:t>Request supporting evidence.</w:t>
      </w:r>
    </w:p>
    <w:p>
      <w:pPr>
        <w:tabs>
          <w:tab w:pos="403" w:val="left"/>
        </w:tabs>
        <w:spacing w:after="40" w:line="276" w:lineRule="auto"/>
        <w:ind w:left="403" w:hanging="403"/>
        <w:jc w:val="left"/>
      </w:pPr>
      <w:r>
        <w:rPr>
          <w:color w:val="1A2E4A"/>
        </w:rPr>
        <w:t>5.</w:t>
        <w:tab/>
      </w:r>
      <w:r>
        <w:t>Set a response deadline.</w:t>
      </w:r>
    </w:p>
    <w:p>
      <w:pPr>
        <w:tabs>
          <w:tab w:pos="403" w:val="left"/>
        </w:tabs>
        <w:spacing w:after="40" w:line="276" w:lineRule="auto"/>
        <w:ind w:left="403" w:hanging="403"/>
        <w:jc w:val="left"/>
      </w:pPr>
      <w:r>
        <w:rPr>
          <w:color w:val="1A2E4A"/>
        </w:rPr>
        <w:t>6.</w:t>
        <w:tab/>
      </w:r>
      <w:r>
        <w:t>Identify the responsible evaluator.</w:t>
      </w:r>
    </w:p>
    <w:p>
      <w:pPr>
        <w:tabs>
          <w:tab w:pos="403" w:val="left"/>
        </w:tabs>
        <w:spacing w:after="40" w:line="276" w:lineRule="auto"/>
        <w:ind w:left="403" w:hanging="403"/>
        <w:jc w:val="left"/>
      </w:pPr>
      <w:r>
        <w:rPr>
          <w:color w:val="1A2E4A"/>
        </w:rPr>
        <w:t>7.</w:t>
        <w:tab/>
      </w:r>
      <w:r>
        <w:t>Record the supplier's response.</w:t>
      </w:r>
    </w:p>
    <w:p>
      <w:pPr>
        <w:tabs>
          <w:tab w:pos="403" w:val="left"/>
        </w:tabs>
        <w:spacing w:after="40" w:line="276" w:lineRule="auto"/>
        <w:ind w:left="403" w:hanging="403"/>
        <w:jc w:val="left"/>
      </w:pPr>
      <w:r>
        <w:rPr>
          <w:color w:val="1A2E4A"/>
        </w:rPr>
        <w:t>8.</w:t>
        <w:tab/>
      </w:r>
      <w:r>
        <w:t>Update the compliance matrix and deviation register.</w:t>
      </w:r>
    </w:p>
    <w:p>
      <w:r>
        <w:t>Example:</w:t>
      </w:r>
    </w:p>
    <w:p>
      <w:pPr>
        <w:shd w:val="clear" w:color="auto" w:fill="F4F4F4"/>
        <w:spacing w:before="0" w:after="0" w:line="240" w:lineRule="auto"/>
        <w:ind w:left="216" w:right="216"/>
        <w:jc w:val="left"/>
      </w:pPr>
      <w:r>
        <w:rPr>
          <w:rFonts w:ascii="Consolas" w:hAnsi="Consolas"/>
          <w:color w:val="202020"/>
          <w:sz w:val="18"/>
        </w:rPr>
        <w:t>Clarification ID: TQ-014</w:t>
      </w:r>
    </w:p>
    <w:p>
      <w:pPr>
        <w:shd w:val="clear" w:color="auto" w:fill="F4F4F4"/>
        <w:spacing w:before="0" w:after="0" w:line="240" w:lineRule="auto"/>
        <w:ind w:left="216" w:right="216"/>
        <w:jc w:val="left"/>
      </w:pPr>
      <w:r>
        <w:rPr>
          <w:rFonts w:ascii="Consolas" w:hAnsi="Consolas"/>
          <w:color w:val="202020"/>
          <w:sz w:val="18"/>
        </w:rPr>
        <w:t>Requirement ID: NET-003</w:t>
      </w:r>
    </w:p>
    <w:p>
      <w:pPr>
        <w:shd w:val="clear" w:color="auto" w:fill="F4F4F4"/>
        <w:spacing w:before="0" w:after="0" w:line="240" w:lineRule="auto"/>
        <w:ind w:left="216" w:right="216"/>
        <w:jc w:val="left"/>
      </w:pPr>
      <w:r>
        <w:rPr>
          <w:rFonts w:ascii="Consolas" w:hAnsi="Consolas"/>
          <w:color w:val="202020"/>
          <w:sz w:val="18"/>
        </w:rPr>
        <w:t>Requirement: The controller shall support the specified industrial protocol.</w:t>
      </w:r>
    </w:p>
    <w:p>
      <w:pPr>
        <w:shd w:val="clear" w:color="auto" w:fill="F4F4F4"/>
        <w:spacing w:before="0" w:after="0" w:line="240" w:lineRule="auto"/>
        <w:ind w:left="216" w:right="216"/>
        <w:jc w:val="left"/>
      </w:pPr>
      <w:r>
        <w:rPr>
          <w:rFonts w:ascii="Consolas" w:hAnsi="Consolas"/>
          <w:color w:val="202020"/>
          <w:sz w:val="18"/>
        </w:rPr>
        <w:t>Observation: The offer lists an Ethernet interface but does not identify protocol support.</w:t>
      </w:r>
    </w:p>
    <w:p>
      <w:pPr>
        <w:shd w:val="clear" w:color="auto" w:fill="F4F4F4"/>
        <w:spacing w:before="0" w:after="0" w:line="240" w:lineRule="auto"/>
        <w:ind w:left="216" w:right="216"/>
        <w:jc w:val="left"/>
      </w:pPr>
      <w:r>
        <w:rPr>
          <w:rFonts w:ascii="Consolas" w:hAnsi="Consolas"/>
          <w:color w:val="202020"/>
          <w:sz w:val="18"/>
        </w:rPr>
        <w:t>Question: Confirm the exact protocol, supported role, required module, and offered configuration.</w:t>
      </w:r>
    </w:p>
    <w:p>
      <w:pPr>
        <w:shd w:val="clear" w:color="auto" w:fill="F4F4F4"/>
        <w:spacing w:before="0" w:after="0" w:line="240" w:lineRule="auto"/>
        <w:ind w:left="216" w:right="216"/>
        <w:jc w:val="left"/>
      </w:pPr>
      <w:r>
        <w:rPr>
          <w:rFonts w:ascii="Consolas" w:hAnsi="Consolas"/>
          <w:color w:val="202020"/>
          <w:sz w:val="18"/>
        </w:rPr>
        <w:t>Evidence requested: Manufacturer datasheet and proposed network architecture.</w:t>
      </w:r>
    </w:p>
    <w:p>
      <w:pPr>
        <w:shd w:val="clear" w:color="auto" w:fill="F4F4F4"/>
        <w:spacing w:before="0" w:after="0" w:line="240" w:lineRule="auto"/>
        <w:ind w:left="216" w:right="216"/>
        <w:jc w:val="left"/>
      </w:pPr>
      <w:r>
        <w:rPr>
          <w:rFonts w:ascii="Consolas" w:hAnsi="Consolas"/>
          <w:color w:val="202020"/>
          <w:sz w:val="18"/>
        </w:rPr>
        <w:t>Disposition: Pending supplier response.</w:t>
      </w:r>
    </w:p>
    <w:p/>
    <w:p>
      <w:r>
        <w:t>A general answer such as "the PLC supports Ethernet" does not resolve a requirement for a particular protocol.</w:t>
      </w:r>
    </w:p>
    <w:p>
      <w:pPr>
        <w:pStyle w:val="Heading2"/>
      </w:pPr>
      <w:r>
        <w:t>16. Deviation approval and authority</w:t>
      </w:r>
    </w:p>
    <w:p>
      <w:r>
        <w:t>Not every stakeholder has authority to approve every type of deviation.</w:t>
      </w:r>
    </w:p>
    <w:p>
      <w:r>
        <w:t>Typical participants include:</w:t>
      </w:r>
    </w:p>
    <w:p>
      <w:pPr>
        <w:pStyle w:val="ListBullet"/>
      </w:pPr>
      <w:r>
        <w:t>Automation engineering.</w:t>
      </w:r>
    </w:p>
    <w:p>
      <w:pPr>
        <w:pStyle w:val="ListBullet"/>
      </w:pPr>
      <w:r>
        <w:t>Electrical engineering.</w:t>
      </w:r>
    </w:p>
    <w:p>
      <w:pPr>
        <w:pStyle w:val="ListBullet"/>
      </w:pPr>
      <w:r>
        <w:t>Mechanical engineering.</w:t>
      </w:r>
    </w:p>
    <w:p>
      <w:pPr>
        <w:pStyle w:val="ListBullet"/>
      </w:pPr>
      <w:r>
        <w:t>Production or process engineering.</w:t>
      </w:r>
    </w:p>
    <w:p>
      <w:pPr>
        <w:pStyle w:val="ListBullet"/>
      </w:pPr>
      <w:r>
        <w:t>Maintenance.</w:t>
      </w:r>
    </w:p>
    <w:p>
      <w:pPr>
        <w:pStyle w:val="ListBullet"/>
      </w:pPr>
      <w:r>
        <w:t>Quality.</w:t>
      </w:r>
    </w:p>
    <w:p>
      <w:pPr>
        <w:pStyle w:val="ListBullet"/>
      </w:pPr>
      <w:r>
        <w:t>Safety or EHS.</w:t>
      </w:r>
    </w:p>
    <w:p>
      <w:pPr>
        <w:pStyle w:val="ListBullet"/>
      </w:pPr>
      <w:r>
        <w:t>IT/OT cybersecurity.</w:t>
      </w:r>
    </w:p>
    <w:p>
      <w:pPr>
        <w:pStyle w:val="ListBullet"/>
      </w:pPr>
      <w:r>
        <w:t>Procurement.</w:t>
      </w:r>
    </w:p>
    <w:p>
      <w:pPr>
        <w:pStyle w:val="ListBullet"/>
      </w:pPr>
      <w:r>
        <w:t>Project management.</w:t>
      </w:r>
    </w:p>
    <w:p>
      <w:pPr>
        <w:pStyle w:val="ListBullet"/>
      </w:pPr>
      <w:r>
        <w:t>Authorized commercial or contractual approvers.</w:t>
      </w:r>
    </w:p>
    <w:p>
      <w:r>
        <w:t>Assign approval responsibility according to the type and consequence of the deviation.</w:t>
      </w:r>
    </w:p>
    <w:p>
      <w:r>
        <w:t>For example, a minor documentation-format change may need engineering approval, while a change to a safety-related control architecture may require specialist safety review and formal validation. Commercial acceptance may require separate authorization.</w:t>
      </w:r>
    </w:p>
    <w:p>
      <w:r>
        <w:t>Technical approval and commercial approval are distinct. A technically acceptable change may still require a formal contract amendment.</w:t>
      </w:r>
    </w:p>
    <w:p>
      <w:pPr>
        <w:pStyle w:val="Heading2"/>
      </w:pPr>
      <w:r>
        <w:t>17. Revision control and audit trail</w:t>
      </w:r>
    </w:p>
    <w:p>
      <w:r>
        <w:t>Every significant change must be traceable.</w:t>
      </w:r>
    </w:p>
    <w:p>
      <w:r>
        <w:t>Record:</w:t>
      </w:r>
    </w:p>
    <w:p>
      <w:pPr>
        <w:pStyle w:val="ListBullet"/>
      </w:pPr>
      <w:r>
        <w:t>Original requirement and revision.</w:t>
      </w:r>
    </w:p>
    <w:p>
      <w:pPr>
        <w:pStyle w:val="ListBullet"/>
      </w:pPr>
      <w:r>
        <w:t>Original supplier offer and revision.</w:t>
      </w:r>
    </w:p>
    <w:p>
      <w:pPr>
        <w:pStyle w:val="ListBullet"/>
      </w:pPr>
      <w:r>
        <w:t>Deviation ID and date raised.</w:t>
      </w:r>
    </w:p>
    <w:p>
      <w:pPr>
        <w:pStyle w:val="ListBullet"/>
      </w:pPr>
      <w:r>
        <w:t>Clarification history.</w:t>
      </w:r>
    </w:p>
    <w:p>
      <w:pPr>
        <w:pStyle w:val="ListBullet"/>
      </w:pPr>
      <w:r>
        <w:t>Revised supplier proposal.</w:t>
      </w:r>
    </w:p>
    <w:p>
      <w:pPr>
        <w:pStyle w:val="ListBullet"/>
      </w:pPr>
      <w:r>
        <w:t>Technical evaluation and risk assessment.</w:t>
      </w:r>
    </w:p>
    <w:p>
      <w:pPr>
        <w:pStyle w:val="ListBullet"/>
      </w:pPr>
      <w:r>
        <w:t>Approval or rejection.</w:t>
      </w:r>
    </w:p>
    <w:p>
      <w:pPr>
        <w:pStyle w:val="ListBullet"/>
      </w:pPr>
      <w:r>
        <w:t>Final accepted condition.</w:t>
      </w:r>
    </w:p>
    <w:p>
      <w:pPr>
        <w:pStyle w:val="ListBullet"/>
      </w:pPr>
      <w:r>
        <w:t>Updated drawings and specifications.</w:t>
      </w:r>
    </w:p>
    <w:p>
      <w:pPr>
        <w:pStyle w:val="ListBullet"/>
      </w:pPr>
      <w:r>
        <w:t>Purchase order or contract reference.</w:t>
      </w:r>
    </w:p>
    <w:p>
      <w:pPr>
        <w:pStyle w:val="ListBullet"/>
      </w:pPr>
      <w:r>
        <w:t>Closure evidence.</w:t>
      </w:r>
    </w:p>
    <w:p>
      <w:r>
        <w:t>Do not overwrite the original record so that the history disappears. Preserve superseded versions and make the current approved state easy to identify.</w:t>
      </w:r>
    </w:p>
    <w:p>
      <w:r>
        <w:t>For an Excel-based process, maintain controlled revision fields and an audit trail. For a document-controlled engineering environment, use the approved document-management system.</w:t>
      </w:r>
    </w:p>
    <w:p>
      <w:pPr>
        <w:pStyle w:val="Heading2"/>
      </w:pPr>
      <w:r>
        <w:t>18. Practical example: Replacing an obsolete drive</w:t>
      </w:r>
    </w:p>
    <w:p>
      <w:r>
        <w:t>Assume an existing automated machine uses a drive that is no longer available. A supplier proposes a successor drive.</w:t>
      </w:r>
    </w:p>
    <w:p>
      <w:r>
        <w:t>The replacement may appear equivalent because it has the same nominal power rating. However, the review should include:</w:t>
      </w:r>
    </w:p>
    <w:p>
      <w:pPr>
        <w:pStyle w:val="ListBullet"/>
      </w:pPr>
      <w:r>
        <w:t>Supply voltage and motor compatibility.</w:t>
      </w:r>
    </w:p>
    <w:p>
      <w:pPr>
        <w:pStyle w:val="ListBullet"/>
      </w:pPr>
      <w:r>
        <w:t>Continuous and overload current ratings.</w:t>
      </w:r>
    </w:p>
    <w:p>
      <w:pPr>
        <w:pStyle w:val="ListBullet"/>
      </w:pPr>
      <w:r>
        <w:t>Control mode and speed regulation.</w:t>
      </w:r>
    </w:p>
    <w:p>
      <w:pPr>
        <w:pStyle w:val="ListBullet"/>
      </w:pPr>
      <w:r>
        <w:t>Motor encoder or feedback compatibility.</w:t>
      </w:r>
    </w:p>
    <w:p>
      <w:pPr>
        <w:pStyle w:val="ListBullet"/>
      </w:pPr>
      <w:r>
        <w:t>Control-word and status-word mapping.</w:t>
      </w:r>
    </w:p>
    <w:p>
      <w:pPr>
        <w:pStyle w:val="ListBullet"/>
      </w:pPr>
      <w:r>
        <w:t>Speed-reference scaling.</w:t>
      </w:r>
    </w:p>
    <w:p>
      <w:pPr>
        <w:pStyle w:val="ListBullet"/>
      </w:pPr>
      <w:r>
        <w:t>Fieldbus or industrial Ethernet protocol.</w:t>
      </w:r>
    </w:p>
    <w:p>
      <w:pPr>
        <w:pStyle w:val="ListBullet"/>
      </w:pPr>
      <w:r>
        <w:t>Fault codes and reset behavior.</w:t>
      </w:r>
    </w:p>
    <w:p>
      <w:pPr>
        <w:pStyle w:val="ListBullet"/>
      </w:pPr>
      <w:r>
        <w:t>Safe torque off or other safety functions, where required.</w:t>
      </w:r>
    </w:p>
    <w:p>
      <w:pPr>
        <w:pStyle w:val="ListBullet"/>
      </w:pPr>
      <w:r>
        <w:t>Parameter backup and restoration.</w:t>
      </w:r>
    </w:p>
    <w:p>
      <w:pPr>
        <w:pStyle w:val="ListBullet"/>
      </w:pPr>
      <w:r>
        <w:t>EMC and installation requirements.</w:t>
      </w:r>
    </w:p>
    <w:p>
      <w:pPr>
        <w:pStyle w:val="ListBullet"/>
      </w:pPr>
      <w:r>
        <w:t>Physical dimensions and cooling.</w:t>
      </w:r>
    </w:p>
    <w:p>
      <w:pPr>
        <w:pStyle w:val="ListBullet"/>
      </w:pPr>
      <w:r>
        <w:t>HMI diagnostics and PLC program changes.</w:t>
      </w:r>
    </w:p>
    <w:p>
      <w:pPr>
        <w:pStyle w:val="ListBullet"/>
      </w:pPr>
      <w:r>
        <w:t>Spare-parts availability and product support.</w:t>
      </w:r>
    </w:p>
    <w:p>
      <w:r>
        <w:t>The supplier should identify all required changes and provide evidence of compatibility.</w:t>
      </w:r>
    </w:p>
    <w:p>
      <w:r>
        <w:t>The deviation may be accepted if the replacement meets the requirements and the affected interfaces are verified. It should not be accepted based solely on equal kilowatt ratings.</w:t>
      </w:r>
    </w:p>
    <w:p>
      <w:pPr>
        <w:pStyle w:val="Heading2"/>
      </w:pPr>
      <w:r>
        <w:t>19. Practical example: Missing editable source code</w:t>
      </w:r>
    </w:p>
    <w:p>
      <w:r>
        <w:t>Assume the RFQ requires the complete editable PLC and HMI project, including required libraries and documentation, at handover.</w:t>
      </w:r>
    </w:p>
    <w:p>
      <w:r>
        <w:t>The supplier states that executable programs will be provided but editable source projects are excluded.</w:t>
      </w:r>
    </w:p>
    <w:p>
      <w:r>
        <w:t>This is a deviation if editable source delivery is part of the mandatory scope.</w:t>
      </w:r>
    </w:p>
    <w:p>
      <w:r>
        <w:t>The assessment should establish:</w:t>
      </w:r>
    </w:p>
    <w:p>
      <w:pPr>
        <w:pStyle w:val="ListBullet"/>
      </w:pPr>
      <w:r>
        <w:t>Whether source access is mandatory under the RFQ.</w:t>
      </w:r>
    </w:p>
    <w:p>
      <w:pPr>
        <w:pStyle w:val="ListBullet"/>
      </w:pPr>
      <w:r>
        <w:t>Whether the supplier's exclusion is explicit.</w:t>
      </w:r>
    </w:p>
    <w:p>
      <w:pPr>
        <w:pStyle w:val="ListBullet"/>
      </w:pPr>
      <w:r>
        <w:t>Whether the proposed arrangement restricts maintenance or future modifications.</w:t>
      </w:r>
    </w:p>
    <w:p>
      <w:pPr>
        <w:pStyle w:val="ListBullet"/>
      </w:pPr>
      <w:r>
        <w:t>Whether licensing or third-party libraries impose restrictions.</w:t>
      </w:r>
    </w:p>
    <w:p>
      <w:pPr>
        <w:pStyle w:val="ListBullet"/>
      </w:pPr>
      <w:r>
        <w:t>Whether backups, passwords, and restoration procedures are included.</w:t>
      </w:r>
    </w:p>
    <w:p>
      <w:pPr>
        <w:pStyle w:val="ListBullet"/>
      </w:pPr>
      <w:r>
        <w:t>Whether the plant can support the solution after warranty expiration.</w:t>
      </w:r>
    </w:p>
    <w:p>
      <w:r>
        <w:t>Possible resolution includes requiring source delivery, negotiating an acceptable documented licensing arrangement where permitted, or rejecting the offer if the requirement cannot be satisfied.</w:t>
      </w:r>
    </w:p>
    <w:p>
      <w:r>
        <w:t>Do not assume that ownership of the physical machine automatically provides unrestricted rights to all third-party software or intellectual property. The contractual terms matter.</w:t>
      </w:r>
    </w:p>
    <w:p>
      <w:pPr>
        <w:pStyle w:val="Heading2"/>
      </w:pPr>
      <w:r>
        <w:t>20. Technical deviation register in Excel</w:t>
      </w:r>
    </w:p>
    <w:p>
      <w:r>
        <w:t>A practical workbook can use the following sheets:</w:t>
      </w:r>
    </w:p>
    <w:p>
      <w:pPr>
        <w:pStyle w:val="ListBullet"/>
      </w:pPr>
      <w:r>
        <w:rPr>
          <w:rFonts w:ascii="Consolas" w:hAnsi="Consolas"/>
          <w:color w:val="333333"/>
          <w:sz w:val="19"/>
          <w:shd w:val="clear" w:color="auto" w:fill="EFEFEF"/>
        </w:rPr>
        <w:t>00_README</w:t>
      </w:r>
      <w:r>
        <w:t>: process, definitions, responsibilities, and status rules.</w:t>
      </w:r>
    </w:p>
    <w:p>
      <w:pPr>
        <w:pStyle w:val="ListBullet"/>
      </w:pPr>
      <w:r>
        <w:rPr>
          <w:rFonts w:ascii="Consolas" w:hAnsi="Consolas"/>
          <w:color w:val="333333"/>
          <w:sz w:val="19"/>
          <w:shd w:val="clear" w:color="auto" w:fill="EFEFEF"/>
        </w:rPr>
        <w:t>01_REQUIREMENTS</w:t>
      </w:r>
      <w:r>
        <w:t>: controlled requirement baseline.</w:t>
      </w:r>
    </w:p>
    <w:p>
      <w:pPr>
        <w:pStyle w:val="ListBullet"/>
      </w:pPr>
      <w:r>
        <w:rPr>
          <w:rFonts w:ascii="Consolas" w:hAnsi="Consolas"/>
          <w:color w:val="333333"/>
          <w:sz w:val="19"/>
          <w:shd w:val="clear" w:color="auto" w:fill="EFEFEF"/>
        </w:rPr>
        <w:t>02_DEVIATION_REGISTER</w:t>
      </w:r>
      <w:r>
        <w:t>: individual deviations and dispositions.</w:t>
      </w:r>
    </w:p>
    <w:p>
      <w:pPr>
        <w:pStyle w:val="ListBullet"/>
      </w:pPr>
      <w:r>
        <w:rPr>
          <w:rFonts w:ascii="Consolas" w:hAnsi="Consolas"/>
          <w:color w:val="333333"/>
          <w:sz w:val="19"/>
          <w:shd w:val="clear" w:color="auto" w:fill="EFEFEF"/>
        </w:rPr>
        <w:t>03_RISK_ASSESSMENT</w:t>
      </w:r>
      <w:r>
        <w:t>: likelihood, consequence, controls, and residual risk.</w:t>
      </w:r>
    </w:p>
    <w:p>
      <w:pPr>
        <w:pStyle w:val="ListBullet"/>
      </w:pPr>
      <w:r>
        <w:rPr>
          <w:rFonts w:ascii="Consolas" w:hAnsi="Consolas"/>
          <w:color w:val="333333"/>
          <w:sz w:val="19"/>
          <w:shd w:val="clear" w:color="auto" w:fill="EFEFEF"/>
        </w:rPr>
        <w:t>04_CLARIFICATIONS</w:t>
      </w:r>
      <w:r>
        <w:t>: supplier questions and responses.</w:t>
      </w:r>
    </w:p>
    <w:p>
      <w:pPr>
        <w:pStyle w:val="ListBullet"/>
      </w:pPr>
      <w:r>
        <w:rPr>
          <w:rFonts w:ascii="Consolas" w:hAnsi="Consolas"/>
          <w:color w:val="333333"/>
          <w:sz w:val="19"/>
          <w:shd w:val="clear" w:color="auto" w:fill="EFEFEF"/>
        </w:rPr>
        <w:t>05_APPROVALS</w:t>
      </w:r>
      <w:r>
        <w:t>: approval records and authorization references.</w:t>
      </w:r>
    </w:p>
    <w:p>
      <w:pPr>
        <w:pStyle w:val="ListBullet"/>
      </w:pPr>
      <w:r>
        <w:rPr>
          <w:rFonts w:ascii="Consolas" w:hAnsi="Consolas"/>
          <w:color w:val="333333"/>
          <w:sz w:val="19"/>
          <w:shd w:val="clear" w:color="auto" w:fill="EFEFEF"/>
        </w:rPr>
        <w:t>06_CLOSURE</w:t>
      </w:r>
      <w:r>
        <w:t>: verification evidence and closure status.</w:t>
      </w:r>
    </w:p>
    <w:p>
      <w:pPr>
        <w:pStyle w:val="ListBullet"/>
      </w:pPr>
      <w:r>
        <w:rPr>
          <w:rFonts w:ascii="Consolas" w:hAnsi="Consolas"/>
          <w:color w:val="333333"/>
          <w:sz w:val="19"/>
          <w:shd w:val="clear" w:color="auto" w:fill="EFEFEF"/>
        </w:rPr>
        <w:t>07_SUMMARY</w:t>
      </w:r>
      <w:r>
        <w:t>: open deviations, high risks, overdue actions, and final decisions.</w:t>
      </w:r>
    </w:p>
    <w:p>
      <w:r>
        <w:t>Recommended controls:</w:t>
      </w:r>
    </w:p>
    <w:p>
      <w:pPr>
        <w:pStyle w:val="ListBullet"/>
      </w:pPr>
      <w:r>
        <w:t xml:space="preserve">Unique IDs such as </w:t>
      </w:r>
      <w:r>
        <w:rPr>
          <w:rFonts w:ascii="Consolas" w:hAnsi="Consolas"/>
          <w:color w:val="333333"/>
          <w:sz w:val="19"/>
          <w:shd w:val="clear" w:color="auto" w:fill="EFEFEF"/>
        </w:rPr>
        <w:t>DEV-001</w:t>
      </w:r>
      <w:r>
        <w:t xml:space="preserve"> and </w:t>
      </w:r>
      <w:r>
        <w:rPr>
          <w:rFonts w:ascii="Consolas" w:hAnsi="Consolas"/>
          <w:color w:val="333333"/>
          <w:sz w:val="19"/>
          <w:shd w:val="clear" w:color="auto" w:fill="EFEFEF"/>
        </w:rPr>
        <w:t>TQ-001</w:t>
      </w:r>
      <w:r>
        <w:t>.</w:t>
      </w:r>
    </w:p>
    <w:p>
      <w:pPr>
        <w:pStyle w:val="ListBullet"/>
      </w:pPr>
      <w:r>
        <w:t>Dropdown lists for categories, risk bands, and dispositions.</w:t>
      </w:r>
    </w:p>
    <w:p>
      <w:pPr>
        <w:pStyle w:val="ListBullet"/>
      </w:pPr>
      <w:r>
        <w:t>Conditional formatting for rejected, high-risk, overdue, and pending items.</w:t>
      </w:r>
    </w:p>
    <w:p>
      <w:pPr>
        <w:pStyle w:val="ListBullet"/>
      </w:pPr>
      <w:r>
        <w:t>Links to controlled documents.</w:t>
      </w:r>
    </w:p>
    <w:p>
      <w:pPr>
        <w:pStyle w:val="ListBullet"/>
      </w:pPr>
      <w:r>
        <w:t>Separate technical and commercial approval fields.</w:t>
      </w:r>
    </w:p>
    <w:p>
      <w:pPr>
        <w:pStyle w:val="ListBullet"/>
      </w:pPr>
      <w:r>
        <w:t>Protected formulas and controlled baselines.</w:t>
      </w:r>
    </w:p>
    <w:p>
      <w:pPr>
        <w:pStyle w:val="ListBullet"/>
      </w:pPr>
      <w:r>
        <w:t>A named action owner and due date for every open item.</w:t>
      </w:r>
    </w:p>
    <w:p>
      <w:pPr>
        <w:pStyle w:val="ListBullet"/>
      </w:pPr>
      <w:r>
        <w:t>A summary that distinguishes unresolved issues from approved deviations.</w:t>
      </w:r>
    </w:p>
    <w:p>
      <w:r>
        <w:t>Do not use a single "closed" flag for every situation. A deviation can be technically approved but still awaiting implementation or verification. Track approval, implementation, and closure separately when the project requires it.</w:t>
      </w:r>
    </w:p>
    <w:p>
      <w:pPr>
        <w:pStyle w:val="Heading2"/>
      </w:pPr>
      <w:r>
        <w:t>21. Common mistakes in deviation management</w:t>
      </w:r>
    </w:p>
    <w:p>
      <w:pPr>
        <w:pStyle w:val="ListBullet"/>
      </w:pPr>
      <w:r>
        <w:t>Treating a supplier's exclusion as a harmless note.</w:t>
      </w:r>
    </w:p>
    <w:p>
      <w:pPr>
        <w:pStyle w:val="ListBullet"/>
      </w:pPr>
      <w:r>
        <w:t>Approving alternatives without checking system interfaces.</w:t>
      </w:r>
    </w:p>
    <w:p>
      <w:pPr>
        <w:pStyle w:val="ListBullet"/>
      </w:pPr>
      <w:r>
        <w:t>Evaluating deviations without the approved requirement baseline.</w:t>
      </w:r>
    </w:p>
    <w:p>
      <w:pPr>
        <w:pStyle w:val="ListBullet"/>
      </w:pPr>
      <w:r>
        <w:t>Accepting verbal commitments without written evidence.</w:t>
      </w:r>
    </w:p>
    <w:p>
      <w:pPr>
        <w:pStyle w:val="ListBullet"/>
      </w:pPr>
      <w:r>
        <w:t>Allowing unresolved safety issues to proceed into procurement.</w:t>
      </w:r>
    </w:p>
    <w:p>
      <w:pPr>
        <w:pStyle w:val="ListBullet"/>
      </w:pPr>
      <w:r>
        <w:t>Assuming that a similar product is automatically equivalent.</w:t>
      </w:r>
    </w:p>
    <w:p>
      <w:pPr>
        <w:pStyle w:val="ListBullet"/>
      </w:pPr>
      <w:r>
        <w:t>Ignoring lifecycle support and spare-parts implications.</w:t>
      </w:r>
    </w:p>
    <w:p>
      <w:pPr>
        <w:pStyle w:val="ListBullet"/>
      </w:pPr>
      <w:r>
        <w:t>Failing to assess the cost of software licenses and engineering changes.</w:t>
      </w:r>
    </w:p>
    <w:p>
      <w:pPr>
        <w:pStyle w:val="ListBullet"/>
      </w:pPr>
      <w:r>
        <w:t>Recording multiple unrelated issues under one deviation ID.</w:t>
      </w:r>
    </w:p>
    <w:p>
      <w:pPr>
        <w:pStyle w:val="ListBullet"/>
      </w:pPr>
      <w:r>
        <w:t>Closing deviations without verification evidence.</w:t>
      </w:r>
    </w:p>
    <w:p>
      <w:pPr>
        <w:pStyle w:val="ListBullet"/>
      </w:pPr>
      <w:r>
        <w:t>Updating the compliance matrix but not the purchase order.</w:t>
      </w:r>
    </w:p>
    <w:p>
      <w:pPr>
        <w:pStyle w:val="ListBullet"/>
      </w:pPr>
      <w:r>
        <w:t>Failing to preserve revision history.</w:t>
      </w:r>
    </w:p>
    <w:p>
      <w:pPr>
        <w:pStyle w:val="ListBullet"/>
      </w:pPr>
      <w:r>
        <w:t>Allowing conditional approval to remain open indefinitely.</w:t>
      </w:r>
    </w:p>
    <w:p>
      <w:pPr>
        <w:pStyle w:val="ListBullet"/>
      </w:pPr>
      <w:r>
        <w:t>Letting a technical approval bypass required contractual authorization.</w:t>
      </w:r>
    </w:p>
    <w:p>
      <w:pPr>
        <w:pStyle w:val="ListBullet"/>
      </w:pPr>
      <w:r>
        <w:t>Treating every deviation as unacceptable without evaluating permitted alternatives.</w:t>
      </w:r>
    </w:p>
    <w:p>
      <w:pPr>
        <w:pStyle w:val="Heading2"/>
      </w:pPr>
      <w:r>
        <w:t>22. Technical deviation management checklist</w:t>
      </w:r>
    </w:p>
    <w:p>
      <w:pPr>
        <w:pStyle w:val="ListBullet"/>
      </w:pPr>
      <w:r>
        <w:t>The applicable requirement baseline and revision are identified.</w:t>
      </w:r>
    </w:p>
    <w:p>
      <w:pPr>
        <w:pStyle w:val="ListBullet"/>
      </w:pPr>
      <w:r>
        <w:t>The deviation has a unique ID.</w:t>
      </w:r>
    </w:p>
    <w:p>
      <w:pPr>
        <w:pStyle w:val="ListBullet"/>
      </w:pPr>
      <w:r>
        <w:t>The required and proposed conditions are clearly stated.</w:t>
      </w:r>
    </w:p>
    <w:p>
      <w:pPr>
        <w:pStyle w:val="ListBullet"/>
      </w:pPr>
      <w:r>
        <w:t>The supplier's justification is documented.</w:t>
      </w:r>
    </w:p>
    <w:p>
      <w:pPr>
        <w:pStyle w:val="ListBullet"/>
      </w:pPr>
      <w:r>
        <w:t>The compliance matrix is updated.</w:t>
      </w:r>
    </w:p>
    <w:p>
      <w:pPr>
        <w:pStyle w:val="ListBullet"/>
      </w:pPr>
      <w:r>
        <w:t>Technical, safety, integration, lifecycle, cost, and schedule impacts are assessed as applicable.</w:t>
      </w:r>
    </w:p>
    <w:p>
      <w:pPr>
        <w:pStyle w:val="ListBullet"/>
      </w:pPr>
      <w:r>
        <w:t>Mandatory requirements are identified.</w:t>
      </w:r>
    </w:p>
    <w:p>
      <w:pPr>
        <w:pStyle w:val="ListBullet"/>
      </w:pPr>
      <w:r>
        <w:t>Clarifications and supporting evidence are recorded.</w:t>
      </w:r>
    </w:p>
    <w:p>
      <w:pPr>
        <w:pStyle w:val="ListBullet"/>
      </w:pPr>
      <w:r>
        <w:t>The responsible evaluator and approving authority are identified.</w:t>
      </w:r>
    </w:p>
    <w:p>
      <w:pPr>
        <w:pStyle w:val="ListBullet"/>
      </w:pPr>
      <w:r>
        <w:t>Conditions of acceptance are specific and measurable.</w:t>
      </w:r>
    </w:p>
    <w:p>
      <w:pPr>
        <w:pStyle w:val="ListBullet"/>
      </w:pPr>
      <w:r>
        <w:t>Rejected deviations are communicated and handled under procurement rules.</w:t>
      </w:r>
    </w:p>
    <w:p>
      <w:pPr>
        <w:pStyle w:val="ListBullet"/>
      </w:pPr>
      <w:r>
        <w:t>Accepted deviations are reflected in controlled project documents.</w:t>
      </w:r>
    </w:p>
    <w:p>
      <w:pPr>
        <w:pStyle w:val="ListBullet"/>
      </w:pPr>
      <w:r>
        <w:t>Implementation and verification are tracked.</w:t>
      </w:r>
    </w:p>
    <w:p>
      <w:pPr>
        <w:pStyle w:val="ListBullet"/>
      </w:pPr>
      <w:r>
        <w:t>The final disposition is supported by evidence.</w:t>
      </w:r>
    </w:p>
    <w:p>
      <w:pPr>
        <w:pStyle w:val="ListBullet"/>
      </w:pPr>
      <w:r>
        <w:t>The complete revision and approval history is retained.</w:t>
      </w:r>
    </w:p>
    <w:p>
      <w:pPr>
        <w:pStyle w:val="Heading2"/>
      </w:pPr>
      <w:r>
        <w:t>23. Interview questions and answers</w:t>
      </w:r>
    </w:p>
    <w:p>
      <w:r>
        <w:t>1\. What is a technical deviation?</w:t>
      </w:r>
    </w:p>
    <w:p>
      <w:r>
        <w:t>A technical deviation is a difference between an approved requirement and the supplier's proposed solution, performance, configuration, or deliverables.</w:t>
      </w:r>
    </w:p>
    <w:p>
      <w:r>
        <w:t>2\. Is every technical deviation unacceptable?</w:t>
      </w:r>
    </w:p>
    <w:p>
      <w:r>
        <w:t>No. It may be accepted if alternatives are permitted, the impact is evaluated, required evidence is satisfactory, and authorized approval is obtained.</w:t>
      </w:r>
    </w:p>
    <w:p>
      <w:r>
        <w:t>3\. What is a technical deviation register?</w:t>
      </w:r>
    </w:p>
    <w:p>
      <w:r>
        <w:t>It is a controlled record used to track deviations, technical impacts, risks, clarifications, approval decisions, and closure evidence.</w:t>
      </w:r>
    </w:p>
    <w:p>
      <w:r>
        <w:t>4\. What is the difference between a deviation and a clarification?</w:t>
      </w:r>
    </w:p>
    <w:p>
      <w:r>
        <w:t>A deviation is a known difference from a requirement. A clarification resolves missing, ambiguous, or insufficient information.</w:t>
      </w:r>
    </w:p>
    <w:p>
      <w:r>
        <w:t>5\. Who should approve a technical deviation?</w:t>
      </w:r>
    </w:p>
    <w:p>
      <w:r>
        <w:t>The authorized person or review group defined by the organization's approval process, involving relevant engineering and specialist functions. Safety and contractual changes may require additional approvals.</w:t>
      </w:r>
    </w:p>
    <w:p>
      <w:r>
        <w:t>6\. Can a mandatory safety requirement be waived because a supplier proposes an equivalent product?</w:t>
      </w:r>
    </w:p>
    <w:p>
      <w:r>
        <w:t>Not merely on the supplier's assertion. The proposed solution must meet applicable safety and regulatory requirements, undergo the required assessment and validation, and receive the required approvals. Some legal requirements cannot be waived.</w:t>
      </w:r>
    </w:p>
    <w:p>
      <w:r>
        <w:t>7\. Why is deviation management important for PLC and drive replacements?</w:t>
      </w:r>
    </w:p>
    <w:p>
      <w:r>
        <w:t>A replacement can change communication, control-word mapping, scaling, diagnostics, safety functions, software configuration, and commissioning requirements even when the nominal hardware rating appears similar.</w:t>
      </w:r>
    </w:p>
    <w:p>
      <w:r>
        <w:t>8\. How should a deviation with commercial impact be evaluated?</w:t>
      </w:r>
    </w:p>
    <w:p>
      <w:r>
        <w:t>Assess its technical suitability first under the approved process, then determine the commercial and lifecycle implications, including integration, licensing, maintenance, and schedule costs.</w:t>
      </w:r>
    </w:p>
    <w:p>
      <w:r>
        <w:t>9\. What does conditional acceptance mean?</w:t>
      </w:r>
    </w:p>
    <w:p>
      <w:r>
        <w:t>The deviation is approved subject to explicitly documented actions or evidence, with assigned owners and deadlines. Closure must be verified before the applicable milestone.</w:t>
      </w:r>
    </w:p>
    <w:p>
      <w:r>
        <w:t>10\. When is a deviation considered closed?</w:t>
      </w:r>
    </w:p>
    <w:p>
      <w:r>
        <w:t>When the required decision has been approved, necessary changes have been implemented, and the required verification evidence has been recorded according to the project procedure.</w:t>
      </w:r>
    </w:p>
    <w:p>
      <w:r>
        <w:t>11\. What happens if a supplier introduces a deviation after the purchase order?</w:t>
      </w:r>
    </w:p>
    <w:p>
      <w:r>
        <w:t>The change should be managed through the contractual and engineering change-control process. It must not be implemented solely because the supplier considers it equivalent.</w:t>
      </w:r>
    </w:p>
    <w:p>
      <w:r>
        <w:t>12\. What is the most important principle of deviation management?</w:t>
      </w:r>
    </w:p>
    <w:p>
      <w:r>
        <w:t>Every deviation must be visible, assessed against the approved baseline, decided by the proper authority, and traceable through implementation and acceptance.</w:t>
      </w:r>
    </w:p>
    <w:p>
      <w:pPr>
        <w:pStyle w:val="Heading2"/>
      </w:pPr>
      <w:r>
        <w:t>24. Final engineering principle</w:t>
      </w:r>
    </w:p>
    <w:p>
      <w:r>
        <w:t>Technical deviation management protects the integrity of the approved technical solution. It ensures that substitutions, exclusions, performance differences, and design changes are evaluated before they affect production, safety, cost, or maintainability.</w:t>
      </w:r>
    </w:p>
    <w:p>
      <w:r>
        <w:t>The key is to maintain a clear chain from requirement to deviation, from deviation to approved decision, and from decision to implementation and verification.</w:t>
      </w:r>
    </w:p>
    <w:p>
      <w:r>
        <w:t>An undocumented deviation is an uncontrolled change. An approved deviation without implementation verification is an unfinished engineering action.</w:t>
      </w:r>
    </w:p>
    <w:p>
      <w:pPr>
        <w:pStyle w:val="Heading2"/>
      </w:pPr>
      <w:r>
        <w:t>NEXT TOPIC</w:t>
      </w:r>
    </w:p>
    <w:p>
      <w:r>
        <w:rPr>
          <w:rFonts w:ascii="Consolas" w:hAnsi="Consolas"/>
          <w:color w:val="333333"/>
          <w:sz w:val="19"/>
          <w:shd w:val="clear" w:color="auto" w:fill="EFEFEF"/>
        </w:rPr>
        <w:t>02_PLAN_WISE_2026\02_INDUSTRY3_0\09_Procurement\02_Technical_Bid_Evaluation\03_Make_Comparison - Make comparison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02_PLAN_WISE_2026\02_INDUSTRY3_0\09_Procurement\02_Technical_Bid_Evaluation\02_Technical_Deviations - Technical deviations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