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02_PLAN_WISE_2026\02_INDUSTRY3_0\09_Procurement\02_Technical_Bid_Evaluation\03_Make_Comparison - Make comparison</w:t>
      </w:r>
    </w:p>
    <w:p>
      <w:pPr>
        <w:pStyle w:val="Heading2"/>
      </w:pPr>
      <w:r>
        <w:t>1. What is make comparison?</w:t>
      </w:r>
    </w:p>
    <w:p>
      <w:r>
        <w:t>Make comparison is the structured evaluation of different manufacturers or brands offering equipment that is intended to perform the same function.</w:t>
      </w:r>
    </w:p>
    <w:p>
      <w:r>
        <w:t>In industrial procurement, a "make" generally means the manufacturer or brand, while a "model" identifies a specific product, series, or configuration from that manufacturer.</w:t>
      </w:r>
    </w:p>
    <w:p>
      <w:r>
        <w:t>For example, an RFQ may permit PLCs from Siemens, Rockwell Automation, and Mitsubishi Electric. A make comparison evaluates their suitability for the intended application, considering technical compatibility, performance, reliability, lifecycle support, maintainability, and total cost.</w:t>
      </w:r>
    </w:p>
    <w:p>
      <w:r>
        <w:t>Make comparison does not mean choosing whichever brand is most famous or cheapest. It means determining whether the proposed manufacturer and its specific product are suitable for the actual application and plant environment.</w:t>
      </w:r>
    </w:p>
    <w:p>
      <w:pPr>
        <w:pStyle w:val="Heading2"/>
      </w:pPr>
      <w:r>
        <w:t>2. Why make comparison is necessary</w:t>
      </w:r>
    </w:p>
    <w:p>
      <w:r>
        <w:t>Make comparison helps an engineering and procurement team to:</w:t>
      </w:r>
    </w:p>
    <w:p>
      <w:pPr>
        <w:pStyle w:val="ListBullet"/>
      </w:pPr>
      <w:r>
        <w:t>Verify compliance with the approved make or approved-manufacturer list.</w:t>
      </w:r>
    </w:p>
    <w:p>
      <w:pPr>
        <w:pStyle w:val="ListBullet"/>
      </w:pPr>
      <w:r>
        <w:t>Identify technically acceptable alternatives.</w:t>
      </w:r>
    </w:p>
    <w:p>
      <w:pPr>
        <w:pStyle w:val="ListBullet"/>
      </w:pPr>
      <w:r>
        <w:t>Compare product capability and compatibility.</w:t>
      </w:r>
    </w:p>
    <w:p>
      <w:pPr>
        <w:pStyle w:val="ListBullet"/>
      </w:pPr>
      <w:r>
        <w:t>Maintain standardization across machines and production lines.</w:t>
      </w:r>
    </w:p>
    <w:p>
      <w:pPr>
        <w:pStyle w:val="ListBullet"/>
      </w:pPr>
      <w:r>
        <w:t>Reduce spare-parts variety and maintenance complexity.</w:t>
      </w:r>
    </w:p>
    <w:p>
      <w:pPr>
        <w:pStyle w:val="ListBullet"/>
      </w:pPr>
      <w:r>
        <w:t>Evaluate product lifecycle, obsolescence, and support.</w:t>
      </w:r>
    </w:p>
    <w:p>
      <w:pPr>
        <w:pStyle w:val="ListBullet"/>
      </w:pPr>
      <w:r>
        <w:t>Assess engineering software and licensing requirements.</w:t>
      </w:r>
    </w:p>
    <w:p>
      <w:pPr>
        <w:pStyle w:val="ListBullet"/>
      </w:pPr>
      <w:r>
        <w:t>Compare installation, commissioning, and integration effort.</w:t>
      </w:r>
    </w:p>
    <w:p>
      <w:pPr>
        <w:pStyle w:val="ListBullet"/>
      </w:pPr>
      <w:r>
        <w:t>Evaluate long-term operating and maintenance costs.</w:t>
      </w:r>
    </w:p>
    <w:p>
      <w:pPr>
        <w:pStyle w:val="ListBullet"/>
      </w:pPr>
      <w:r>
        <w:t>Document the technical justification for manufacturer selection.</w:t>
      </w:r>
    </w:p>
    <w:p>
      <w:r>
        <w:t>A manufacturer may offer a technically capable product that is still unsuitable for a particular plant because the product does not integrate with existing equipment, requires unfamiliar software, or has limited local support.</w:t>
      </w:r>
    </w:p>
    <w:p>
      <w:pPr>
        <w:pStyle w:val="Heading2"/>
      </w:pPr>
      <w:r>
        <w:t>3. Make, model, series, and configuration</w:t>
      </w:r>
    </w:p>
    <w:p>
      <w:r>
        <w:t>These terms must be distinguished during procurement.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Make</w:t>
            </w:r>
          </w:p>
        </w:tc>
        <w:tc>
          <w:tcPr>
            <w:tcW w:type="dxa" w:w="3600"/>
          </w:tcPr>
          <w:p>
            <w:pPr>
              <w:spacing w:after="0" w:before="0" w:line="240" w:lineRule="auto"/>
              <w:jc w:val="left"/>
            </w:pPr>
            <w:r>
              <w:t>Manufacturer or brand</w:t>
            </w:r>
          </w:p>
        </w:tc>
        <w:tc>
          <w:tcPr>
            <w:tcW w:type="dxa" w:w="3600"/>
          </w:tcPr>
          <w:p>
            <w:pPr>
              <w:spacing w:after="0" w:before="0" w:line="240" w:lineRule="auto"/>
              <w:jc w:val="left"/>
            </w:pPr>
            <w:r>
              <w:t>Siemens</w:t>
            </w:r>
          </w:p>
        </w:tc>
      </w:tr>
      <w:tr>
        <w:tc>
          <w:tcPr>
            <w:tcW w:type="dxa" w:w="3600"/>
          </w:tcPr>
          <w:p>
            <w:pPr>
              <w:spacing w:after="0" w:before="0" w:line="240" w:lineRule="auto"/>
              <w:jc w:val="left"/>
            </w:pPr>
            <w:r>
              <w:t>Model</w:t>
            </w:r>
          </w:p>
        </w:tc>
        <w:tc>
          <w:tcPr>
            <w:tcW w:type="dxa" w:w="3600"/>
          </w:tcPr>
          <w:p>
            <w:pPr>
              <w:spacing w:after="0" w:before="0" w:line="240" w:lineRule="auto"/>
              <w:jc w:val="left"/>
            </w:pPr>
            <w:r>
              <w:t>Specific product designation</w:t>
            </w:r>
          </w:p>
        </w:tc>
        <w:tc>
          <w:tcPr>
            <w:tcW w:type="dxa" w:w="3600"/>
          </w:tcPr>
          <w:p>
            <w:pPr>
              <w:spacing w:after="0" w:before="0" w:line="240" w:lineRule="auto"/>
              <w:jc w:val="left"/>
            </w:pPr>
            <w:r>
              <w:t>S7-1500 CPU model</w:t>
            </w:r>
          </w:p>
        </w:tc>
      </w:tr>
      <w:tr>
        <w:tc>
          <w:tcPr>
            <w:tcW w:type="dxa" w:w="3600"/>
          </w:tcPr>
          <w:p>
            <w:pPr>
              <w:spacing w:after="0" w:before="0" w:line="240" w:lineRule="auto"/>
              <w:jc w:val="left"/>
            </w:pPr>
            <w:r>
              <w:t>Series or family</w:t>
            </w:r>
          </w:p>
        </w:tc>
        <w:tc>
          <w:tcPr>
            <w:tcW w:type="dxa" w:w="3600"/>
          </w:tcPr>
          <w:p>
            <w:pPr>
              <w:spacing w:after="0" w:before="0" w:line="240" w:lineRule="auto"/>
              <w:jc w:val="left"/>
            </w:pPr>
            <w:r>
              <w:t>Product group with shared characteristics</w:t>
            </w:r>
          </w:p>
        </w:tc>
        <w:tc>
          <w:tcPr>
            <w:tcW w:type="dxa" w:w="3600"/>
          </w:tcPr>
          <w:p>
            <w:pPr>
              <w:spacing w:after="0" w:before="0" w:line="240" w:lineRule="auto"/>
              <w:jc w:val="left"/>
            </w:pPr>
            <w:r>
              <w:t>SIMATIC S7-1500</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Complete combination of selected components</w:t>
            </w:r>
          </w:p>
        </w:tc>
        <w:tc>
          <w:tcPr>
            <w:tcW w:type="dxa" w:w="3600"/>
          </w:tcPr>
          <w:p>
            <w:pPr>
              <w:spacing w:after="0" w:before="0" w:line="240" w:lineRule="auto"/>
              <w:jc w:val="left"/>
            </w:pPr>
            <w:r>
              <w:t>CPU, power supply, I/O modules, communication modules</w:t>
            </w:r>
          </w:p>
        </w:tc>
      </w:tr>
      <w:tr>
        <w:tc>
          <w:tcPr>
            <w:tcW w:type="dxa" w:w="3600"/>
          </w:tcPr>
          <w:p>
            <w:pPr>
              <w:spacing w:after="0" w:before="0" w:line="240" w:lineRule="auto"/>
              <w:jc w:val="left"/>
            </w:pPr>
            <w:r>
              <w:t>Firmware</w:t>
            </w:r>
          </w:p>
        </w:tc>
        <w:tc>
          <w:tcPr>
            <w:tcW w:type="dxa" w:w="3600"/>
          </w:tcPr>
          <w:p>
            <w:pPr>
              <w:spacing w:after="0" w:before="0" w:line="240" w:lineRule="auto"/>
              <w:jc w:val="left"/>
            </w:pPr>
            <w:r>
              <w:t>Software version running on the device</w:t>
            </w:r>
          </w:p>
        </w:tc>
        <w:tc>
          <w:tcPr>
            <w:tcW w:type="dxa" w:w="3600"/>
          </w:tcPr>
          <w:p>
            <w:pPr>
              <w:spacing w:after="0" w:before="0" w:line="240" w:lineRule="auto"/>
              <w:jc w:val="left"/>
            </w:pPr>
            <w:r>
              <w:t>Specific supported CPU firmware revision</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Tool used to configure or program the equipment</w:t>
            </w:r>
          </w:p>
        </w:tc>
        <w:tc>
          <w:tcPr>
            <w:tcW w:type="dxa" w:w="3600"/>
          </w:tcPr>
          <w:p>
            <w:pPr>
              <w:spacing w:after="0" w:before="0" w:line="240" w:lineRule="auto"/>
              <w:jc w:val="left"/>
            </w:pPr>
            <w:r>
              <w:t>TIA Portal</w:t>
            </w:r>
          </w:p>
        </w:tc>
      </w:tr>
      <w:tr>
        <w:tc>
          <w:tcPr>
            <w:tcW w:type="dxa" w:w="3600"/>
          </w:tcPr>
          <w:p>
            <w:pPr>
              <w:spacing w:after="0" w:before="0" w:line="240" w:lineRule="auto"/>
              <w:jc w:val="left"/>
            </w:pPr>
            <w:r>
              <w:t>Accessory</w:t>
            </w:r>
          </w:p>
        </w:tc>
        <w:tc>
          <w:tcPr>
            <w:tcW w:type="dxa" w:w="3600"/>
          </w:tcPr>
          <w:p>
            <w:pPr>
              <w:spacing w:after="0" w:before="0" w:line="240" w:lineRule="auto"/>
              <w:jc w:val="left"/>
            </w:pPr>
            <w:r>
              <w:t>Additional component required for operation</w:t>
            </w:r>
          </w:p>
        </w:tc>
        <w:tc>
          <w:tcPr>
            <w:tcW w:type="dxa" w:w="3600"/>
          </w:tcPr>
          <w:p>
            <w:pPr>
              <w:spacing w:after="0" w:before="0" w:line="240" w:lineRule="auto"/>
              <w:jc w:val="left"/>
            </w:pPr>
            <w:r>
              <w:t>Connector, communication adapter, mounting accessory</w:t>
            </w:r>
          </w:p>
        </w:tc>
      </w:tr>
    </w:tbl>
    <w:p/>
    <w:p>
      <w:r>
        <w:t>A make comparison based only on the manufacturer name is insufficient. Two products from the same manufacturer can have different capabilities, interfaces, performance limits, and lifecycle status.</w:t>
      </w:r>
    </w:p>
    <w:p>
      <w:r>
        <w:t>For procurement purposes, compare the actual proposed model and configuration.</w:t>
      </w:r>
    </w:p>
    <w:p>
      <w:pPr>
        <w:pStyle w:val="Heading2"/>
      </w:pPr>
      <w:r>
        <w:t>4. Where make comparison fits in procurement</w:t>
      </w:r>
    </w:p>
    <w:p>
      <w:pPr>
        <w:shd w:val="clear" w:color="auto" w:fill="F4F4F4"/>
        <w:spacing w:before="0" w:after="0" w:line="240" w:lineRule="auto"/>
        <w:ind w:left="216" w:right="216"/>
        <w:jc w:val="left"/>
      </w:pPr>
      <w:r>
        <w:rPr>
          <w:rFonts w:ascii="Consolas" w:hAnsi="Consolas"/>
          <w:color w:val="202020"/>
          <w:sz w:val="18"/>
        </w:rPr>
        <w:t>Approved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Offers and Proposed Makes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Compliance Matrix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Deviation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and Model Comparison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Specification and Interface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Recommendation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and Final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 SAT / Final Acceptance</w:t>
      </w:r>
    </w:p>
    <w:p/>
    <w:p>
      <w:r>
        <w:t>The exact sequence can vary by organization, but the comparison must be based on the approved requirement baseline and the actual products being offered.</w:t>
      </w:r>
    </w:p>
    <w:p>
      <w:r>
        <w:t>A technically acceptable make comparison does not replace the detailed specification comparison. The former evaluates manufacturer and product suitability; the latter verifies individual technical parameters.</w:t>
      </w:r>
    </w:p>
    <w:p>
      <w:pPr>
        <w:pStyle w:val="Heading2"/>
      </w:pPr>
      <w:r>
        <w:t>5. Make comparison versus related evaluations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Evaluation</w:t>
            </w:r>
          </w:p>
        </w:tc>
        <w:tc>
          <w:tcPr>
            <w:tcW w:type="dxa" w:w="5400"/>
            <w:shd w:val="clear" w:color="auto" w:fill="EEF2F7"/>
          </w:tcPr>
          <w:p>
            <w:pPr>
              <w:spacing w:after="0" w:before="0" w:line="240" w:lineRule="auto"/>
              <w:jc w:val="left"/>
            </w:pPr>
            <w:r>
              <w:rPr>
                <w:b/>
                <w:color w:val="1A2E4A"/>
              </w:rPr>
              <w:t>Main question</w:t>
            </w:r>
          </w:p>
        </w:tc>
      </w:tr>
      <w:tr>
        <w:tc>
          <w:tcPr>
            <w:tcW w:type="dxa" w:w="5400"/>
          </w:tcPr>
          <w:p>
            <w:pPr>
              <w:spacing w:after="0" w:before="0" w:line="240" w:lineRule="auto"/>
              <w:jc w:val="left"/>
            </w:pPr>
            <w:r>
              <w:t>Make comparison</w:t>
            </w:r>
          </w:p>
        </w:tc>
        <w:tc>
          <w:tcPr>
            <w:tcW w:type="dxa" w:w="5400"/>
          </w:tcPr>
          <w:p>
            <w:pPr>
              <w:spacing w:after="0" w:before="0" w:line="240" w:lineRule="auto"/>
              <w:jc w:val="left"/>
            </w:pPr>
            <w:r>
              <w:t>Which manufacturer or product family is suitable?</w:t>
            </w:r>
          </w:p>
        </w:tc>
      </w:tr>
      <w:tr>
        <w:tc>
          <w:tcPr>
            <w:tcW w:type="dxa" w:w="5400"/>
          </w:tcPr>
          <w:p>
            <w:pPr>
              <w:spacing w:after="0" w:before="0" w:line="240" w:lineRule="auto"/>
              <w:jc w:val="left"/>
            </w:pPr>
            <w:r>
              <w:t>Model comparison</w:t>
            </w:r>
          </w:p>
        </w:tc>
        <w:tc>
          <w:tcPr>
            <w:tcW w:type="dxa" w:w="5400"/>
          </w:tcPr>
          <w:p>
            <w:pPr>
              <w:spacing w:after="0" w:before="0" w:line="240" w:lineRule="auto"/>
              <w:jc w:val="left"/>
            </w:pPr>
            <w:r>
              <w:t>Which specific product model meets the requirements?</w:t>
            </w:r>
          </w:p>
        </w:tc>
      </w:tr>
      <w:tr>
        <w:tc>
          <w:tcPr>
            <w:tcW w:type="dxa" w:w="5400"/>
          </w:tcPr>
          <w:p>
            <w:pPr>
              <w:spacing w:after="0" w:before="0" w:line="240" w:lineRule="auto"/>
              <w:jc w:val="left"/>
            </w:pPr>
            <w:r>
              <w:t>Specification comparison</w:t>
            </w:r>
          </w:p>
        </w:tc>
        <w:tc>
          <w:tcPr>
            <w:tcW w:type="dxa" w:w="5400"/>
          </w:tcPr>
          <w:p>
            <w:pPr>
              <w:spacing w:after="0" w:before="0" w:line="240" w:lineRule="auto"/>
              <w:jc w:val="left"/>
            </w:pPr>
            <w:r>
              <w:t>Which product meets each required technical parameter?</w:t>
            </w:r>
          </w:p>
        </w:tc>
      </w:tr>
      <w:tr>
        <w:tc>
          <w:tcPr>
            <w:tcW w:type="dxa" w:w="5400"/>
          </w:tcPr>
          <w:p>
            <w:pPr>
              <w:spacing w:after="0" w:before="0" w:line="240" w:lineRule="auto"/>
              <w:jc w:val="left"/>
            </w:pPr>
            <w:r>
              <w:t>Compliance matrix</w:t>
            </w:r>
          </w:p>
        </w:tc>
        <w:tc>
          <w:tcPr>
            <w:tcW w:type="dxa" w:w="5400"/>
          </w:tcPr>
          <w:p>
            <w:pPr>
              <w:spacing w:after="0" w:before="0" w:line="240" w:lineRule="auto"/>
              <w:jc w:val="left"/>
            </w:pPr>
            <w:r>
              <w:t>Does the supplier meet each stated requirement?</w:t>
            </w:r>
          </w:p>
        </w:tc>
      </w:tr>
      <w:tr>
        <w:tc>
          <w:tcPr>
            <w:tcW w:type="dxa" w:w="5400"/>
          </w:tcPr>
          <w:p>
            <w:pPr>
              <w:spacing w:after="0" w:before="0" w:line="240" w:lineRule="auto"/>
              <w:jc w:val="left"/>
            </w:pPr>
            <w:r>
              <w:t>Technical deviation review</w:t>
            </w:r>
          </w:p>
        </w:tc>
        <w:tc>
          <w:tcPr>
            <w:tcW w:type="dxa" w:w="5400"/>
          </w:tcPr>
          <w:p>
            <w:pPr>
              <w:spacing w:after="0" w:before="0" w:line="240" w:lineRule="auto"/>
              <w:jc w:val="left"/>
            </w:pPr>
            <w:r>
              <w:t>What differences or exceptions have been proposed?</w:t>
            </w:r>
          </w:p>
        </w:tc>
      </w:tr>
      <w:tr>
        <w:tc>
          <w:tcPr>
            <w:tcW w:type="dxa" w:w="5400"/>
          </w:tcPr>
          <w:p>
            <w:pPr>
              <w:spacing w:after="0" w:before="0" w:line="240" w:lineRule="auto"/>
              <w:jc w:val="left"/>
            </w:pPr>
            <w:r>
              <w:t>Commercial comparison</w:t>
            </w:r>
          </w:p>
        </w:tc>
        <w:tc>
          <w:tcPr>
            <w:tcW w:type="dxa" w:w="5400"/>
          </w:tcPr>
          <w:p>
            <w:pPr>
              <w:spacing w:after="0" w:before="0" w:line="240" w:lineRule="auto"/>
              <w:jc w:val="left"/>
            </w:pPr>
            <w:r>
              <w:t>Which offer has the acceptable commercial terms and cost?</w:t>
            </w:r>
          </w:p>
        </w:tc>
      </w:tr>
      <w:tr>
        <w:tc>
          <w:tcPr>
            <w:tcW w:type="dxa" w:w="5400"/>
          </w:tcPr>
          <w:p>
            <w:pPr>
              <w:spacing w:after="0" w:before="0" w:line="240" w:lineRule="auto"/>
              <w:jc w:val="left"/>
            </w:pPr>
            <w:r>
              <w:t>Lifecycle cost evaluation</w:t>
            </w:r>
          </w:p>
        </w:tc>
        <w:tc>
          <w:tcPr>
            <w:tcW w:type="dxa" w:w="5400"/>
          </w:tcPr>
          <w:p>
            <w:pPr>
              <w:spacing w:after="0" w:before="0" w:line="240" w:lineRule="auto"/>
              <w:jc w:val="left"/>
            </w:pPr>
            <w:r>
              <w:t>What will the solution cost over its useful life?</w:t>
            </w:r>
          </w:p>
        </w:tc>
      </w:tr>
      <w:tr>
        <w:tc>
          <w:tcPr>
            <w:tcW w:type="dxa" w:w="5400"/>
          </w:tcPr>
          <w:p>
            <w:pPr>
              <w:spacing w:after="0" w:before="0" w:line="240" w:lineRule="auto"/>
              <w:jc w:val="left"/>
            </w:pPr>
            <w:r>
              <w:t>Standardization review</w:t>
            </w:r>
          </w:p>
        </w:tc>
        <w:tc>
          <w:tcPr>
            <w:tcW w:type="dxa" w:w="5400"/>
          </w:tcPr>
          <w:p>
            <w:pPr>
              <w:spacing w:after="0" w:before="0" w:line="240" w:lineRule="auto"/>
              <w:jc w:val="left"/>
            </w:pPr>
            <w:r>
              <w:t>Does the proposed solution fit the plant's approved standards?</w:t>
            </w:r>
          </w:p>
        </w:tc>
      </w:tr>
    </w:tbl>
    <w:p/>
    <w:p>
      <w:r>
        <w:t>These evaluations overlap, but each has a distinct purpose.</w:t>
      </w:r>
    </w:p>
    <w:p>
      <w:pPr>
        <w:pStyle w:val="Heading2"/>
      </w:pPr>
      <w:r>
        <w:t>6. Establish the comparison criteria before reviewing brands</w:t>
      </w:r>
    </w:p>
    <w:p>
      <w:r>
        <w:t>The criteria should be defined before the evaluation is finalized, and preferably before bids are received.</w:t>
      </w:r>
    </w:p>
    <w:p>
      <w:r>
        <w:t>Typical criteria include:</w:t>
      </w:r>
    </w:p>
    <w:p>
      <w:pPr>
        <w:pStyle w:val="ListBullet"/>
      </w:pPr>
      <w:r>
        <w:t>Mandatory technical requirements.</w:t>
      </w:r>
    </w:p>
    <w:p>
      <w:pPr>
        <w:pStyle w:val="ListBullet"/>
      </w:pPr>
      <w:r>
        <w:t>Approved manufacturer or make restrictions.</w:t>
      </w:r>
    </w:p>
    <w:p>
      <w:pPr>
        <w:pStyle w:val="ListBullet"/>
      </w:pPr>
      <w:r>
        <w:t>Required operating performance.</w:t>
      </w:r>
    </w:p>
    <w:p>
      <w:pPr>
        <w:pStyle w:val="ListBullet"/>
      </w:pPr>
      <w:r>
        <w:t>Electrical and mechanical compatibility.</w:t>
      </w:r>
    </w:p>
    <w:p>
      <w:pPr>
        <w:pStyle w:val="ListBullet"/>
      </w:pPr>
      <w:r>
        <w:t>Industrial communication compatibility.</w:t>
      </w:r>
    </w:p>
    <w:p>
      <w:pPr>
        <w:pStyle w:val="ListBullet"/>
      </w:pPr>
      <w:r>
        <w:t>Environmental suitability.</w:t>
      </w:r>
    </w:p>
    <w:p>
      <w:pPr>
        <w:pStyle w:val="ListBullet"/>
      </w:pPr>
      <w:r>
        <w:t>Safety and regulatory requirements.</w:t>
      </w:r>
    </w:p>
    <w:p>
      <w:pPr>
        <w:pStyle w:val="ListBullet"/>
      </w:pPr>
      <w:r>
        <w:t>Product lifecycle and obsolescence status.</w:t>
      </w:r>
    </w:p>
    <w:p>
      <w:pPr>
        <w:pStyle w:val="ListBullet"/>
      </w:pPr>
      <w:r>
        <w:t>Spare-parts availability.</w:t>
      </w:r>
    </w:p>
    <w:p>
      <w:pPr>
        <w:pStyle w:val="ListBullet"/>
      </w:pPr>
      <w:r>
        <w:t>Engineering software and licensing.</w:t>
      </w:r>
    </w:p>
    <w:p>
      <w:pPr>
        <w:pStyle w:val="ListBullet"/>
      </w:pPr>
      <w:r>
        <w:t>Maintenance skill requirements.</w:t>
      </w:r>
    </w:p>
    <w:p>
      <w:pPr>
        <w:pStyle w:val="ListBullet"/>
      </w:pPr>
      <w:r>
        <w:t>Local technical support.</w:t>
      </w:r>
    </w:p>
    <w:p>
      <w:pPr>
        <w:pStyle w:val="ListBullet"/>
      </w:pPr>
      <w:r>
        <w:t>Warranty and service arrangements.</w:t>
      </w:r>
    </w:p>
    <w:p>
      <w:pPr>
        <w:pStyle w:val="ListBullet"/>
      </w:pPr>
      <w:r>
        <w:t>Initial purchase cost.</w:t>
      </w:r>
    </w:p>
    <w:p>
      <w:pPr>
        <w:pStyle w:val="ListBullet"/>
      </w:pPr>
      <w:r>
        <w:t>Integration and commissioning cost.</w:t>
      </w:r>
    </w:p>
    <w:p>
      <w:pPr>
        <w:pStyle w:val="ListBullet"/>
      </w:pPr>
      <w:r>
        <w:t>Long-term operating and maintenance cost.</w:t>
      </w:r>
    </w:p>
    <w:p>
      <w:r>
        <w:t>Not every criterion should receive equal weight. Safety, regulatory compliance, and mandatory functionality may be pass/fail conditions rather than weighted preferences.</w:t>
      </w:r>
    </w:p>
    <w:p>
      <w:pPr>
        <w:pStyle w:val="Heading2"/>
      </w:pPr>
      <w:r>
        <w:t>7. Example: PLC make comparison</w:t>
      </w:r>
    </w:p>
    <w:p>
      <w:r>
        <w:t>Suppose a manufacturing plant needs a PLC for a new automated station that must communicate with existing machines, drives, and an HMI.</w:t>
      </w:r>
    </w:p>
    <w:p>
      <w:r>
        <w:t>Potential manufacturers include Siemens, Rockwell Automation, and Mitsubishi Electric. Their suitability depends on the specific models and application requirements, not simply their brand names.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Criterion</w:t>
            </w:r>
          </w:p>
        </w:tc>
        <w:tc>
          <w:tcPr>
            <w:tcW w:type="dxa" w:w="2700"/>
            <w:shd w:val="clear" w:color="auto" w:fill="EEF2F7"/>
          </w:tcPr>
          <w:p>
            <w:pPr>
              <w:spacing w:after="0" w:before="0" w:line="240" w:lineRule="auto"/>
              <w:jc w:val="left"/>
            </w:pPr>
            <w:r>
              <w:rPr>
                <w:b/>
                <w:color w:val="1A2E4A"/>
              </w:rPr>
              <w:t>Siemens</w:t>
            </w:r>
          </w:p>
        </w:tc>
        <w:tc>
          <w:tcPr>
            <w:tcW w:type="dxa" w:w="2700"/>
            <w:shd w:val="clear" w:color="auto" w:fill="EEF2F7"/>
          </w:tcPr>
          <w:p>
            <w:pPr>
              <w:spacing w:after="0" w:before="0" w:line="240" w:lineRule="auto"/>
              <w:jc w:val="left"/>
            </w:pPr>
            <w:r>
              <w:rPr>
                <w:b/>
                <w:color w:val="1A2E4A"/>
              </w:rPr>
              <w:t>Rockwell Automation</w:t>
            </w:r>
          </w:p>
        </w:tc>
        <w:tc>
          <w:tcPr>
            <w:tcW w:type="dxa" w:w="2700"/>
            <w:shd w:val="clear" w:color="auto" w:fill="EEF2F7"/>
          </w:tcPr>
          <w:p>
            <w:pPr>
              <w:spacing w:after="0" w:before="0" w:line="240" w:lineRule="auto"/>
              <w:jc w:val="left"/>
            </w:pPr>
            <w:r>
              <w:rPr>
                <w:b/>
                <w:color w:val="1A2E4A"/>
              </w:rPr>
              <w:t>Mitsubishi Electric</w:t>
            </w:r>
          </w:p>
        </w:tc>
      </w:tr>
      <w:tr>
        <w:tc>
          <w:tcPr>
            <w:tcW w:type="dxa" w:w="2700"/>
          </w:tcPr>
          <w:p>
            <w:pPr>
              <w:spacing w:after="0" w:before="0" w:line="240" w:lineRule="auto"/>
              <w:jc w:val="left"/>
            </w:pPr>
            <w:r>
              <w:t>Required application performance</w:t>
            </w:r>
          </w:p>
        </w:tc>
        <w:tc>
          <w:tcPr>
            <w:tcW w:type="dxa" w:w="2700"/>
          </w:tcPr>
          <w:p>
            <w:pPr>
              <w:spacing w:after="0" w:before="0" w:line="240" w:lineRule="auto"/>
              <w:jc w:val="left"/>
            </w:pPr>
            <w:r>
              <w:t>Verify selected CPU</w:t>
            </w:r>
          </w:p>
        </w:tc>
        <w:tc>
          <w:tcPr>
            <w:tcW w:type="dxa" w:w="2700"/>
          </w:tcPr>
          <w:p>
            <w:pPr>
              <w:spacing w:after="0" w:before="0" w:line="240" w:lineRule="auto"/>
              <w:jc w:val="left"/>
            </w:pPr>
            <w:r>
              <w:t>Verify selected controller</w:t>
            </w:r>
          </w:p>
        </w:tc>
        <w:tc>
          <w:tcPr>
            <w:tcW w:type="dxa" w:w="2700"/>
          </w:tcPr>
          <w:p>
            <w:pPr>
              <w:spacing w:after="0" w:before="0" w:line="240" w:lineRule="auto"/>
              <w:jc w:val="left"/>
            </w:pPr>
            <w:r>
              <w:t>Verify selected CPU</w:t>
            </w:r>
          </w:p>
        </w:tc>
      </w:tr>
      <w:tr>
        <w:tc>
          <w:tcPr>
            <w:tcW w:type="dxa" w:w="2700"/>
          </w:tcPr>
          <w:p>
            <w:pPr>
              <w:spacing w:after="0" w:before="0" w:line="240" w:lineRule="auto"/>
              <w:jc w:val="left"/>
            </w:pPr>
            <w:r>
              <w:t>Existing plant compatibility</w:t>
            </w:r>
          </w:p>
        </w:tc>
        <w:tc>
          <w:tcPr>
            <w:tcW w:type="dxa" w:w="2700"/>
          </w:tcPr>
          <w:p>
            <w:pPr>
              <w:spacing w:after="0" w:before="0" w:line="240" w:lineRule="auto"/>
              <w:jc w:val="left"/>
            </w:pPr>
            <w:r>
              <w:t>Check installed architecture</w:t>
            </w:r>
          </w:p>
        </w:tc>
        <w:tc>
          <w:tcPr>
            <w:tcW w:type="dxa" w:w="2700"/>
          </w:tcPr>
          <w:p>
            <w:pPr>
              <w:spacing w:after="0" w:before="0" w:line="240" w:lineRule="auto"/>
              <w:jc w:val="left"/>
            </w:pPr>
            <w:r>
              <w:t>Check installed architecture</w:t>
            </w:r>
          </w:p>
        </w:tc>
        <w:tc>
          <w:tcPr>
            <w:tcW w:type="dxa" w:w="2700"/>
          </w:tcPr>
          <w:p>
            <w:pPr>
              <w:spacing w:after="0" w:before="0" w:line="240" w:lineRule="auto"/>
              <w:jc w:val="left"/>
            </w:pPr>
            <w:r>
              <w:t>Check installed architecture</w:t>
            </w:r>
          </w:p>
        </w:tc>
      </w:tr>
      <w:tr>
        <w:tc>
          <w:tcPr>
            <w:tcW w:type="dxa" w:w="2700"/>
          </w:tcPr>
          <w:p>
            <w:pPr>
              <w:spacing w:after="0" w:before="0" w:line="240" w:lineRule="auto"/>
              <w:jc w:val="left"/>
            </w:pPr>
            <w:r>
              <w:t>Required protocol support</w:t>
            </w:r>
          </w:p>
        </w:tc>
        <w:tc>
          <w:tcPr>
            <w:tcW w:type="dxa" w:w="2700"/>
          </w:tcPr>
          <w:p>
            <w:pPr>
              <w:spacing w:after="0" w:before="0" w:line="240" w:lineRule="auto"/>
              <w:jc w:val="left"/>
            </w:pPr>
            <w:r>
              <w:t>Verify exact model and modules</w:t>
            </w:r>
          </w:p>
        </w:tc>
        <w:tc>
          <w:tcPr>
            <w:tcW w:type="dxa" w:w="2700"/>
          </w:tcPr>
          <w:p>
            <w:pPr>
              <w:spacing w:after="0" w:before="0" w:line="240" w:lineRule="auto"/>
              <w:jc w:val="left"/>
            </w:pPr>
            <w:r>
              <w:t>Verify exact model and modules</w:t>
            </w:r>
          </w:p>
        </w:tc>
        <w:tc>
          <w:tcPr>
            <w:tcW w:type="dxa" w:w="2700"/>
          </w:tcPr>
          <w:p>
            <w:pPr>
              <w:spacing w:after="0" w:before="0" w:line="240" w:lineRule="auto"/>
              <w:jc w:val="left"/>
            </w:pPr>
            <w:r>
              <w:t>Verify exact model and modules</w:t>
            </w:r>
          </w:p>
        </w:tc>
      </w:tr>
      <w:tr>
        <w:tc>
          <w:tcPr>
            <w:tcW w:type="dxa" w:w="2700"/>
          </w:tcPr>
          <w:p>
            <w:pPr>
              <w:spacing w:after="0" w:before="0" w:line="240" w:lineRule="auto"/>
              <w:jc w:val="left"/>
            </w:pPr>
            <w:r>
              <w:t>Engineering software</w:t>
            </w:r>
          </w:p>
        </w:tc>
        <w:tc>
          <w:tcPr>
            <w:tcW w:type="dxa" w:w="2700"/>
          </w:tcPr>
          <w:p>
            <w:pPr>
              <w:spacing w:after="0" w:before="0" w:line="240" w:lineRule="auto"/>
              <w:jc w:val="left"/>
            </w:pPr>
            <w:r>
              <w:t>Verify required TIA Portal version</w:t>
            </w:r>
          </w:p>
        </w:tc>
        <w:tc>
          <w:tcPr>
            <w:tcW w:type="dxa" w:w="2700"/>
          </w:tcPr>
          <w:p>
            <w:pPr>
              <w:spacing w:after="0" w:before="0" w:line="240" w:lineRule="auto"/>
              <w:jc w:val="left"/>
            </w:pPr>
            <w:r>
              <w:t>Verify required Studio 5000 version</w:t>
            </w:r>
          </w:p>
        </w:tc>
        <w:tc>
          <w:tcPr>
            <w:tcW w:type="dxa" w:w="2700"/>
          </w:tcPr>
          <w:p>
            <w:pPr>
              <w:spacing w:after="0" w:before="0" w:line="240" w:lineRule="auto"/>
              <w:jc w:val="left"/>
            </w:pPr>
            <w:r>
              <w:t>Verify required GX Works version</w:t>
            </w:r>
          </w:p>
        </w:tc>
      </w:tr>
      <w:tr>
        <w:tc>
          <w:tcPr>
            <w:tcW w:type="dxa" w:w="2700"/>
          </w:tcPr>
          <w:p>
            <w:pPr>
              <w:spacing w:after="0" w:before="0" w:line="240" w:lineRule="auto"/>
              <w:jc w:val="left"/>
            </w:pPr>
            <w:r>
              <w:t>Remote I/O compatibility</w:t>
            </w:r>
          </w:p>
        </w:tc>
        <w:tc>
          <w:tcPr>
            <w:tcW w:type="dxa" w:w="2700"/>
          </w:tcPr>
          <w:p>
            <w:pPr>
              <w:spacing w:after="0" w:before="0" w:line="240" w:lineRule="auto"/>
              <w:jc w:val="left"/>
            </w:pPr>
            <w:r>
              <w:t>Verify complete configuration</w:t>
            </w:r>
          </w:p>
        </w:tc>
        <w:tc>
          <w:tcPr>
            <w:tcW w:type="dxa" w:w="2700"/>
          </w:tcPr>
          <w:p>
            <w:pPr>
              <w:spacing w:after="0" w:before="0" w:line="240" w:lineRule="auto"/>
              <w:jc w:val="left"/>
            </w:pPr>
            <w:r>
              <w:t>Verify complete configuration</w:t>
            </w:r>
          </w:p>
        </w:tc>
        <w:tc>
          <w:tcPr>
            <w:tcW w:type="dxa" w:w="2700"/>
          </w:tcPr>
          <w:p>
            <w:pPr>
              <w:spacing w:after="0" w:before="0" w:line="240" w:lineRule="auto"/>
              <w:jc w:val="left"/>
            </w:pPr>
            <w:r>
              <w:t>Verify complete configuration</w:t>
            </w:r>
          </w:p>
        </w:tc>
      </w:tr>
      <w:tr>
        <w:tc>
          <w:tcPr>
            <w:tcW w:type="dxa" w:w="2700"/>
          </w:tcPr>
          <w:p>
            <w:pPr>
              <w:spacing w:after="0" w:before="0" w:line="240" w:lineRule="auto"/>
              <w:jc w:val="left"/>
            </w:pPr>
            <w:r>
              <w:t>Maintenance skills</w:t>
            </w:r>
          </w:p>
        </w:tc>
        <w:tc>
          <w:tcPr>
            <w:tcW w:type="dxa" w:w="2700"/>
          </w:tcPr>
          <w:p>
            <w:pPr>
              <w:spacing w:after="0" w:before="0" w:line="240" w:lineRule="auto"/>
              <w:jc w:val="left"/>
            </w:pPr>
            <w:r>
              <w:t>Assess local capability</w:t>
            </w:r>
          </w:p>
        </w:tc>
        <w:tc>
          <w:tcPr>
            <w:tcW w:type="dxa" w:w="2700"/>
          </w:tcPr>
          <w:p>
            <w:pPr>
              <w:spacing w:after="0" w:before="0" w:line="240" w:lineRule="auto"/>
              <w:jc w:val="left"/>
            </w:pPr>
            <w:r>
              <w:t>Assess local capability</w:t>
            </w:r>
          </w:p>
        </w:tc>
        <w:tc>
          <w:tcPr>
            <w:tcW w:type="dxa" w:w="2700"/>
          </w:tcPr>
          <w:p>
            <w:pPr>
              <w:spacing w:after="0" w:before="0" w:line="240" w:lineRule="auto"/>
              <w:jc w:val="left"/>
            </w:pPr>
            <w:r>
              <w:t>Assess local capability</w:t>
            </w:r>
          </w:p>
        </w:tc>
      </w:tr>
      <w:tr>
        <w:tc>
          <w:tcPr>
            <w:tcW w:type="dxa" w:w="2700"/>
          </w:tcPr>
          <w:p>
            <w:pPr>
              <w:spacing w:after="0" w:before="0" w:line="240" w:lineRule="auto"/>
              <w:jc w:val="left"/>
            </w:pPr>
            <w:r>
              <w:t>Spare availability</w:t>
            </w:r>
          </w:p>
        </w:tc>
        <w:tc>
          <w:tcPr>
            <w:tcW w:type="dxa" w:w="2700"/>
          </w:tcPr>
          <w:p>
            <w:pPr>
              <w:spacing w:after="0" w:before="0" w:line="240" w:lineRule="auto"/>
              <w:jc w:val="left"/>
            </w:pPr>
            <w:r>
              <w:t>Verify local supply and lead time</w:t>
            </w:r>
          </w:p>
        </w:tc>
        <w:tc>
          <w:tcPr>
            <w:tcW w:type="dxa" w:w="2700"/>
          </w:tcPr>
          <w:p>
            <w:pPr>
              <w:spacing w:after="0" w:before="0" w:line="240" w:lineRule="auto"/>
              <w:jc w:val="left"/>
            </w:pPr>
            <w:r>
              <w:t>Verify local supply and lead time</w:t>
            </w:r>
          </w:p>
        </w:tc>
        <w:tc>
          <w:tcPr>
            <w:tcW w:type="dxa" w:w="2700"/>
          </w:tcPr>
          <w:p>
            <w:pPr>
              <w:spacing w:after="0" w:before="0" w:line="240" w:lineRule="auto"/>
              <w:jc w:val="left"/>
            </w:pPr>
            <w:r>
              <w:t>Verify local supply and lead time</w:t>
            </w:r>
          </w:p>
        </w:tc>
      </w:tr>
      <w:tr>
        <w:tc>
          <w:tcPr>
            <w:tcW w:type="dxa" w:w="2700"/>
          </w:tcPr>
          <w:p>
            <w:pPr>
              <w:spacing w:after="0" w:before="0" w:line="240" w:lineRule="auto"/>
              <w:jc w:val="left"/>
            </w:pPr>
            <w:r>
              <w:t>Lifecycle support</w:t>
            </w:r>
          </w:p>
        </w:tc>
        <w:tc>
          <w:tcPr>
            <w:tcW w:type="dxa" w:w="2700"/>
          </w:tcPr>
          <w:p>
            <w:pPr>
              <w:spacing w:after="0" w:before="0" w:line="240" w:lineRule="auto"/>
              <w:jc w:val="left"/>
            </w:pPr>
            <w:r>
              <w:t>Verify current product status</w:t>
            </w:r>
          </w:p>
        </w:tc>
        <w:tc>
          <w:tcPr>
            <w:tcW w:type="dxa" w:w="2700"/>
          </w:tcPr>
          <w:p>
            <w:pPr>
              <w:spacing w:after="0" w:before="0" w:line="240" w:lineRule="auto"/>
              <w:jc w:val="left"/>
            </w:pPr>
            <w:r>
              <w:t>Verify current product status</w:t>
            </w:r>
          </w:p>
        </w:tc>
        <w:tc>
          <w:tcPr>
            <w:tcW w:type="dxa" w:w="2700"/>
          </w:tcPr>
          <w:p>
            <w:pPr>
              <w:spacing w:after="0" w:before="0" w:line="240" w:lineRule="auto"/>
              <w:jc w:val="left"/>
            </w:pPr>
            <w:r>
              <w:t>Verify current product status</w:t>
            </w:r>
          </w:p>
        </w:tc>
      </w:tr>
      <w:tr>
        <w:tc>
          <w:tcPr>
            <w:tcW w:type="dxa" w:w="2700"/>
          </w:tcPr>
          <w:p>
            <w:pPr>
              <w:spacing w:after="0" w:before="0" w:line="240" w:lineRule="auto"/>
              <w:jc w:val="left"/>
            </w:pPr>
            <w:r>
              <w:t>Total cost</w:t>
            </w:r>
          </w:p>
        </w:tc>
        <w:tc>
          <w:tcPr>
            <w:tcW w:type="dxa" w:w="2700"/>
          </w:tcPr>
          <w:p>
            <w:pPr>
              <w:spacing w:after="0" w:before="0" w:line="240" w:lineRule="auto"/>
              <w:jc w:val="left"/>
            </w:pPr>
            <w:r>
              <w:t>Evaluate complete solution</w:t>
            </w:r>
          </w:p>
        </w:tc>
        <w:tc>
          <w:tcPr>
            <w:tcW w:type="dxa" w:w="2700"/>
          </w:tcPr>
          <w:p>
            <w:pPr>
              <w:spacing w:after="0" w:before="0" w:line="240" w:lineRule="auto"/>
              <w:jc w:val="left"/>
            </w:pPr>
            <w:r>
              <w:t>Evaluate complete solution</w:t>
            </w:r>
          </w:p>
        </w:tc>
        <w:tc>
          <w:tcPr>
            <w:tcW w:type="dxa" w:w="2700"/>
          </w:tcPr>
          <w:p>
            <w:pPr>
              <w:spacing w:after="0" w:before="0" w:line="240" w:lineRule="auto"/>
              <w:jc w:val="left"/>
            </w:pPr>
            <w:r>
              <w:t>Evaluate complete solution</w:t>
            </w:r>
          </w:p>
        </w:tc>
      </w:tr>
    </w:tbl>
    <w:p/>
    <w:p>
      <w:r>
        <w:t>The table intentionally does not declare one manufacturer universally superior. The actual product configurations, plant standards, and current support arrangements determine the result.</w:t>
      </w:r>
    </w:p>
    <w:p>
      <w:pPr>
        <w:pStyle w:val="Heading2"/>
      </w:pPr>
      <w:r>
        <w:t>8. Existing plant standardization</w:t>
      </w:r>
    </w:p>
    <w:p>
      <w:r>
        <w:t>Standardization is an important consideration in manufacturing environments.</w:t>
      </w:r>
    </w:p>
    <w:p>
      <w:r>
        <w:t>A plant may already have an established ecosystem of PLCs, HMIs, drives, servo systems, engineering tools, and spare modules. Choosing a compatible make can reduce the number of platforms maintenance technicians must support.</w:t>
      </w:r>
    </w:p>
    <w:p>
      <w:r>
        <w:t>Potential benefits include:</w:t>
      </w:r>
    </w:p>
    <w:p>
      <w:pPr>
        <w:pStyle w:val="ListBullet"/>
      </w:pPr>
      <w:r>
        <w:t>Fewer engineering software packages.</w:t>
      </w:r>
    </w:p>
    <w:p>
      <w:pPr>
        <w:pStyle w:val="ListBullet"/>
      </w:pPr>
      <w:r>
        <w:t>Reduced spare-parts inventory.</w:t>
      </w:r>
    </w:p>
    <w:p>
      <w:pPr>
        <w:pStyle w:val="ListBullet"/>
      </w:pPr>
      <w:r>
        <w:t>Familiar diagnostic methods.</w:t>
      </w:r>
    </w:p>
    <w:p>
      <w:pPr>
        <w:pStyle w:val="ListBullet"/>
      </w:pPr>
      <w:r>
        <w:t>Reusable programming standards.</w:t>
      </w:r>
    </w:p>
    <w:p>
      <w:pPr>
        <w:pStyle w:val="ListBullet"/>
      </w:pPr>
      <w:r>
        <w:t>Easier technician training.</w:t>
      </w:r>
    </w:p>
    <w:p>
      <w:pPr>
        <w:pStyle w:val="ListBullet"/>
      </w:pPr>
      <w:r>
        <w:t>More consistent documentation.</w:t>
      </w:r>
    </w:p>
    <w:p>
      <w:pPr>
        <w:pStyle w:val="ListBullet"/>
      </w:pPr>
      <w:r>
        <w:t>Faster fault diagnosis.</w:t>
      </w:r>
    </w:p>
    <w:p>
      <w:pPr>
        <w:pStyle w:val="ListBullet"/>
      </w:pPr>
      <w:r>
        <w:t>Simpler backup and restoration procedures.</w:t>
      </w:r>
    </w:p>
    <w:p>
      <w:pPr>
        <w:pStyle w:val="ListBullet"/>
      </w:pPr>
      <w:r>
        <w:t>Improved lifecycle and migration planning.</w:t>
      </w:r>
    </w:p>
    <w:p>
      <w:r>
        <w:t>However, standardization must not become an excuse to ignore technical suitability.</w:t>
      </w:r>
    </w:p>
    <w:p>
      <w:r>
        <w:t>An existing approved make may lack the capability required by a new application. In such cases, a justified alternative may be better than forcing the project into an unsuitable platform.</w:t>
      </w:r>
    </w:p>
    <w:p>
      <w:pPr>
        <w:pStyle w:val="Heading2"/>
      </w:pPr>
      <w:r>
        <w:t>9. Application compatibility</w:t>
      </w:r>
    </w:p>
    <w:p>
      <w:r>
        <w:t>The suitability of a make depends on the equipment it must interact with.</w:t>
      </w:r>
    </w:p>
    <w:p>
      <w:r>
        <w:t>For a PLC, evaluate compatibility with:</w:t>
      </w:r>
    </w:p>
    <w:p>
      <w:pPr>
        <w:pStyle w:val="ListBullet"/>
      </w:pPr>
      <w:r>
        <w:t>Existing remote I/O.</w:t>
      </w:r>
    </w:p>
    <w:p>
      <w:pPr>
        <w:pStyle w:val="ListBullet"/>
      </w:pPr>
      <w:r>
        <w:t>HMI and SCADA systems.</w:t>
      </w:r>
    </w:p>
    <w:p>
      <w:pPr>
        <w:pStyle w:val="ListBullet"/>
      </w:pPr>
      <w:r>
        <w:t>VFDs and servo drives.</w:t>
      </w:r>
    </w:p>
    <w:p>
      <w:pPr>
        <w:pStyle w:val="ListBullet"/>
      </w:pPr>
      <w:r>
        <w:t>Robots and robot controllers.</w:t>
      </w:r>
    </w:p>
    <w:p>
      <w:pPr>
        <w:pStyle w:val="ListBullet"/>
      </w:pPr>
      <w:r>
        <w:t>CNC and PMC interfaces.</w:t>
      </w:r>
    </w:p>
    <w:p>
      <w:pPr>
        <w:pStyle w:val="ListBullet"/>
      </w:pPr>
      <w:r>
        <w:t>Barcode scanners and printers.</w:t>
      </w:r>
    </w:p>
    <w:p>
      <w:pPr>
        <w:pStyle w:val="ListBullet"/>
      </w:pPr>
      <w:r>
        <w:t>Industrial switches and gateways.</w:t>
      </w:r>
    </w:p>
    <w:p>
      <w:pPr>
        <w:pStyle w:val="ListBullet"/>
      </w:pPr>
      <w:r>
        <w:t>OPC UA or other required integration layers.</w:t>
      </w:r>
    </w:p>
    <w:p>
      <w:pPr>
        <w:pStyle w:val="ListBullet"/>
      </w:pPr>
      <w:r>
        <w:t>Safety controllers and devices.</w:t>
      </w:r>
    </w:p>
    <w:p>
      <w:pPr>
        <w:pStyle w:val="ListBullet"/>
      </w:pPr>
      <w:r>
        <w:t>Plant historian and production databases.</w:t>
      </w:r>
    </w:p>
    <w:p>
      <w:r>
        <w:t>Check exact protocol support, required hardware, licensing, firmware, data types, performance, and supported connection limits.</w:t>
      </w:r>
    </w:p>
    <w:p>
      <w:r>
        <w:t>Two devices having Ethernet ports does not establish that they can exchange the required industrial data.</w:t>
      </w:r>
    </w:p>
    <w:p>
      <w:pPr>
        <w:pStyle w:val="Heading2"/>
      </w:pPr>
      <w:r>
        <w:t>10. Make comparison for VFDs</w:t>
      </w:r>
    </w:p>
    <w:p>
      <w:r>
        <w:t>When comparing drive manufacturers, evaluate the specific drive models and required application functions.</w:t>
      </w:r>
    </w:p>
    <w:p>
      <w:r>
        <w:t>Important criteria include:</w:t>
      </w:r>
    </w:p>
    <w:p>
      <w:pPr>
        <w:pStyle w:val="ListBullet"/>
      </w:pPr>
      <w:r>
        <w:t>Rated supply voltage and frequency.</w:t>
      </w:r>
    </w:p>
    <w:p>
      <w:pPr>
        <w:pStyle w:val="ListBullet"/>
      </w:pPr>
      <w:r>
        <w:t>Motor rated current and power.</w:t>
      </w:r>
    </w:p>
    <w:p>
      <w:pPr>
        <w:pStyle w:val="ListBullet"/>
      </w:pPr>
      <w:r>
        <w:t>Overload capability and duration.</w:t>
      </w:r>
    </w:p>
    <w:p>
      <w:pPr>
        <w:pStyle w:val="ListBullet"/>
      </w:pPr>
      <w:r>
        <w:t>Control modes.</w:t>
      </w:r>
    </w:p>
    <w:p>
      <w:pPr>
        <w:pStyle w:val="ListBullet"/>
      </w:pPr>
      <w:r>
        <w:t>Speed regulation and dynamic response.</w:t>
      </w:r>
    </w:p>
    <w:p>
      <w:pPr>
        <w:pStyle w:val="ListBullet"/>
      </w:pPr>
      <w:r>
        <w:t>Motor compatibility.</w:t>
      </w:r>
    </w:p>
    <w:p>
      <w:pPr>
        <w:pStyle w:val="ListBullet"/>
      </w:pPr>
      <w:r>
        <w:t>Encoder and feedback support.</w:t>
      </w:r>
    </w:p>
    <w:p>
      <w:pPr>
        <w:pStyle w:val="ListBullet"/>
      </w:pPr>
      <w:r>
        <w:t>Required fieldbus or industrial Ethernet protocol.</w:t>
      </w:r>
    </w:p>
    <w:p>
      <w:pPr>
        <w:pStyle w:val="ListBullet"/>
      </w:pPr>
      <w:r>
        <w:t>Control-word and status-word functionality.</w:t>
      </w:r>
    </w:p>
    <w:p>
      <w:pPr>
        <w:pStyle w:val="ListBullet"/>
      </w:pPr>
      <w:r>
        <w:t>Safe Torque Off (STO) or other required safety functions.</w:t>
      </w:r>
    </w:p>
    <w:p>
      <w:pPr>
        <w:pStyle w:val="ListBullet"/>
      </w:pPr>
      <w:r>
        <w:t>EMC requirements.</w:t>
      </w:r>
    </w:p>
    <w:p>
      <w:pPr>
        <w:pStyle w:val="ListBullet"/>
      </w:pPr>
      <w:r>
        <w:t>Harmonic performance where specified.</w:t>
      </w:r>
    </w:p>
    <w:p>
      <w:pPr>
        <w:pStyle w:val="ListBullet"/>
      </w:pPr>
      <w:r>
        <w:t>Environmental and enclosure ratings.</w:t>
      </w:r>
    </w:p>
    <w:p>
      <w:pPr>
        <w:pStyle w:val="ListBullet"/>
      </w:pPr>
      <w:r>
        <w:t>Parameter backup and restoration.</w:t>
      </w:r>
    </w:p>
    <w:p>
      <w:pPr>
        <w:pStyle w:val="ListBullet"/>
      </w:pPr>
      <w:r>
        <w:t>Diagnostics and fault history.</w:t>
      </w:r>
    </w:p>
    <w:p>
      <w:pPr>
        <w:pStyle w:val="ListBullet"/>
      </w:pPr>
      <w:r>
        <w:t>Commissioning software and license requirements.</w:t>
      </w:r>
    </w:p>
    <w:p>
      <w:pPr>
        <w:pStyle w:val="ListBullet"/>
      </w:pPr>
      <w:r>
        <w:t>Spares, warranty, and lifecycle support.</w:t>
      </w:r>
    </w:p>
    <w:p>
      <w:r>
        <w:t>For example, two drives with the same nominal motor power may have different current ratings, overload characteristics, communication options, and braking capabilities. Compare the actual operating duty rather than only the kilowatt rating.</w:t>
      </w:r>
    </w:p>
    <w:p>
      <w:pPr>
        <w:pStyle w:val="Heading2"/>
      </w:pPr>
      <w:r>
        <w:t>11. Make comparison for sensors and instrumentation</w:t>
      </w:r>
    </w:p>
    <w:p>
      <w:r>
        <w:t>Sensors require application-specific evaluation because similar-looking products can have different sensing principles and electrical characteristics.</w:t>
      </w:r>
    </w:p>
    <w:p>
      <w:r>
        <w:t>Compare:</w:t>
      </w:r>
    </w:p>
    <w:p>
      <w:pPr>
        <w:pStyle w:val="ListBullet"/>
      </w:pPr>
      <w:r>
        <w:t>Measurement principle.</w:t>
      </w:r>
    </w:p>
    <w:p>
      <w:pPr>
        <w:pStyle w:val="ListBullet"/>
      </w:pPr>
      <w:r>
        <w:t>Sensing range.</w:t>
      </w:r>
    </w:p>
    <w:p>
      <w:pPr>
        <w:pStyle w:val="ListBullet"/>
      </w:pPr>
      <w:r>
        <w:t>Accuracy and repeatability.</w:t>
      </w:r>
    </w:p>
    <w:p>
      <w:pPr>
        <w:pStyle w:val="ListBullet"/>
      </w:pPr>
      <w:r>
        <w:t>Response time.</w:t>
      </w:r>
    </w:p>
    <w:p>
      <w:pPr>
        <w:pStyle w:val="ListBullet"/>
      </w:pPr>
      <w:r>
        <w:t>Switching frequency.</w:t>
      </w:r>
    </w:p>
    <w:p>
      <w:pPr>
        <w:pStyle w:val="ListBullet"/>
      </w:pPr>
      <w:r>
        <w:t>Output type, such as PNP, NPN, analog, or IO-Link.</w:t>
      </w:r>
    </w:p>
    <w:p>
      <w:pPr>
        <w:pStyle w:val="ListBullet"/>
      </w:pPr>
      <w:r>
        <w:t>Supply voltage.</w:t>
      </w:r>
    </w:p>
    <w:p>
      <w:pPr>
        <w:pStyle w:val="ListBullet"/>
      </w:pPr>
      <w:r>
        <w:t>Connection type and pinout.</w:t>
      </w:r>
    </w:p>
    <w:p>
      <w:pPr>
        <w:pStyle w:val="ListBullet"/>
      </w:pPr>
      <w:r>
        <w:t>Mounting dimensions.</w:t>
      </w:r>
    </w:p>
    <w:p>
      <w:pPr>
        <w:pStyle w:val="ListBullet"/>
      </w:pPr>
      <w:r>
        <w:t>Environmental protection.</w:t>
      </w:r>
    </w:p>
    <w:p>
      <w:pPr>
        <w:pStyle w:val="ListBullet"/>
      </w:pPr>
      <w:r>
        <w:t>Resistance to vibration, oil, coolant, dust, or electromagnetic interference.</w:t>
      </w:r>
    </w:p>
    <w:p>
      <w:pPr>
        <w:pStyle w:val="ListBullet"/>
      </w:pPr>
      <w:r>
        <w:t>Teach-in and parameterization methods.</w:t>
      </w:r>
    </w:p>
    <w:p>
      <w:pPr>
        <w:pStyle w:val="ListBullet"/>
      </w:pPr>
      <w:r>
        <w:t>Diagnostic features.</w:t>
      </w:r>
    </w:p>
    <w:p>
      <w:pPr>
        <w:pStyle w:val="ListBullet"/>
      </w:pPr>
      <w:r>
        <w:t>Required accessories.</w:t>
      </w:r>
    </w:p>
    <w:p>
      <w:pPr>
        <w:pStyle w:val="ListBullet"/>
      </w:pPr>
      <w:r>
        <w:t>Calibration and traceability requirements.</w:t>
      </w:r>
    </w:p>
    <w:p>
      <w:pPr>
        <w:pStyle w:val="ListBullet"/>
      </w:pPr>
      <w:r>
        <w:t>Availability of replacements and compatible successors.</w:t>
      </w:r>
    </w:p>
    <w:p>
      <w:r>
        <w:t>A sensor with a longer sensing distance may still be unsuitable if its response time, target material sensitivity, output type, or mounting arrangement does not meet the application requirements.</w:t>
      </w:r>
    </w:p>
    <w:p>
      <w:pPr>
        <w:pStyle w:val="Heading2"/>
      </w:pPr>
      <w:r>
        <w:t>12. Make comparison for industrial safety equipment</w:t>
      </w:r>
    </w:p>
    <w:p>
      <w:r>
        <w:t>Safety equipment requires additional scrutiny because a general-purpose equivalent may not provide the required safety performance.</w:t>
      </w:r>
    </w:p>
    <w:p>
      <w:r>
        <w:t>For safety relays, safety PLCs, interlocks, scanners, and light curtains, verify:</w:t>
      </w:r>
    </w:p>
    <w:p>
      <w:pPr>
        <w:pStyle w:val="ListBullet"/>
      </w:pPr>
      <w:r>
        <w:t>Required safety function.</w:t>
      </w:r>
    </w:p>
    <w:p>
      <w:pPr>
        <w:pStyle w:val="ListBullet"/>
      </w:pPr>
      <w:r>
        <w:t>Required performance level or safety integrity level, where applicable.</w:t>
      </w:r>
    </w:p>
    <w:p>
      <w:pPr>
        <w:pStyle w:val="ListBullet"/>
      </w:pPr>
      <w:r>
        <w:t>Compatibility with the risk assessment.</w:t>
      </w:r>
    </w:p>
    <w:p>
      <w:pPr>
        <w:pStyle w:val="ListBullet"/>
      </w:pPr>
      <w:r>
        <w:t>Manufacturer's safety data and restrictions.</w:t>
      </w:r>
    </w:p>
    <w:p>
      <w:pPr>
        <w:pStyle w:val="ListBullet"/>
      </w:pPr>
      <w:r>
        <w:t>Supported reset and restart behavior.</w:t>
      </w:r>
    </w:p>
    <w:p>
      <w:pPr>
        <w:pStyle w:val="ListBullet"/>
      </w:pPr>
      <w:r>
        <w:t>Diagnostic coverage and fault response.</w:t>
      </w:r>
    </w:p>
    <w:p>
      <w:pPr>
        <w:pStyle w:val="ListBullet"/>
      </w:pPr>
      <w:r>
        <w:t>Required interface modules.</w:t>
      </w:r>
    </w:p>
    <w:p>
      <w:pPr>
        <w:pStyle w:val="ListBullet"/>
      </w:pPr>
      <w:r>
        <w:t>Integration with existing safety architecture.</w:t>
      </w:r>
    </w:p>
    <w:p>
      <w:pPr>
        <w:pStyle w:val="ListBullet"/>
      </w:pPr>
      <w:r>
        <w:t>Validation and test requirements.</w:t>
      </w:r>
    </w:p>
    <w:p>
      <w:pPr>
        <w:pStyle w:val="ListBullet"/>
      </w:pPr>
      <w:r>
        <w:t>Applicable regulatory and conformity documentation.</w:t>
      </w:r>
    </w:p>
    <w:p>
      <w:pPr>
        <w:pStyle w:val="ListBullet"/>
      </w:pPr>
      <w:r>
        <w:t>Availability of approved replacement components.</w:t>
      </w:r>
    </w:p>
    <w:p>
      <w:r>
        <w:t>A safety component must be assessed as part of the complete safety function. Selecting a device with an apparently suitable safety rating does not automatically prove that the complete system achieves the required performance.</w:t>
      </w:r>
    </w:p>
    <w:p>
      <w:pPr>
        <w:pStyle w:val="Heading2"/>
      </w:pPr>
      <w:r>
        <w:t>13. Product lifecycle and obsolescence</w:t>
      </w:r>
    </w:p>
    <w:p>
      <w:r>
        <w:t>Product lifecycle status is a major factor in make selection.</w:t>
      </w:r>
    </w:p>
    <w:p>
      <w:r>
        <w:t>Assess whether the proposed product is:</w:t>
      </w:r>
    </w:p>
    <w:p>
      <w:pPr>
        <w:pStyle w:val="ListBullet"/>
      </w:pPr>
      <w:r>
        <w:t>Current and actively supported.</w:t>
      </w:r>
    </w:p>
    <w:p>
      <w:pPr>
        <w:pStyle w:val="ListBullet"/>
      </w:pPr>
      <w:r>
        <w:t>Mature but still supported.</w:t>
      </w:r>
    </w:p>
    <w:p>
      <w:pPr>
        <w:pStyle w:val="ListBullet"/>
      </w:pPr>
      <w:r>
        <w:t>Announced for discontinuation.</w:t>
      </w:r>
    </w:p>
    <w:p>
      <w:pPr>
        <w:pStyle w:val="ListBullet"/>
      </w:pPr>
      <w:r>
        <w:t>Discontinued but supported through a defined service period.</w:t>
      </w:r>
    </w:p>
    <w:p>
      <w:pPr>
        <w:pStyle w:val="ListBullet"/>
      </w:pPr>
      <w:r>
        <w:t>Obsolete with limited replacement options.</w:t>
      </w:r>
    </w:p>
    <w:p>
      <w:r>
        <w:t>Check manufacturer lifecycle notices and support information for the exact model, not just the overall product family.</w:t>
      </w:r>
    </w:p>
    <w:p>
      <w:r>
        <w:t>Consider:</w:t>
      </w:r>
    </w:p>
    <w:p>
      <w:pPr>
        <w:pStyle w:val="ListBullet"/>
      </w:pPr>
      <w:r>
        <w:t>Remaining support period.</w:t>
      </w:r>
    </w:p>
    <w:p>
      <w:pPr>
        <w:pStyle w:val="ListBullet"/>
      </w:pPr>
      <w:r>
        <w:t>Repair availability.</w:t>
      </w:r>
    </w:p>
    <w:p>
      <w:pPr>
        <w:pStyle w:val="ListBullet"/>
      </w:pPr>
      <w:r>
        <w:t>Spare-parts lead times.</w:t>
      </w:r>
    </w:p>
    <w:p>
      <w:pPr>
        <w:pStyle w:val="ListBullet"/>
      </w:pPr>
      <w:r>
        <w:t>Firmware and software compatibility.</w:t>
      </w:r>
    </w:p>
    <w:p>
      <w:pPr>
        <w:pStyle w:val="ListBullet"/>
      </w:pPr>
      <w:r>
        <w:t>Successor-product availability.</w:t>
      </w:r>
    </w:p>
    <w:p>
      <w:pPr>
        <w:pStyle w:val="ListBullet"/>
      </w:pPr>
      <w:r>
        <w:t>Migration effort.</w:t>
      </w:r>
    </w:p>
    <w:p>
      <w:pPr>
        <w:pStyle w:val="ListBullet"/>
      </w:pPr>
      <w:r>
        <w:t>Parameter or program conversion.</w:t>
      </w:r>
    </w:p>
    <w:p>
      <w:pPr>
        <w:pStyle w:val="ListBullet"/>
      </w:pPr>
      <w:r>
        <w:t>Interface changes.</w:t>
      </w:r>
    </w:p>
    <w:p>
      <w:pPr>
        <w:pStyle w:val="ListBullet"/>
      </w:pPr>
      <w:r>
        <w:t>Risk of production downtime.</w:t>
      </w:r>
    </w:p>
    <w:p>
      <w:pPr>
        <w:pStyle w:val="ListBullet"/>
      </w:pPr>
      <w:r>
        <w:t>Long-term engineering access.</w:t>
      </w:r>
    </w:p>
    <w:p>
      <w:r>
        <w:t>A discontinued product may still be appropriate for a repair or like-for-like replacement, but it should be evaluated against the intended service life and operational risk.</w:t>
      </w:r>
    </w:p>
    <w:p>
      <w:pPr>
        <w:pStyle w:val="Heading2"/>
      </w:pPr>
      <w:r>
        <w:t>14. Maintenance and serviceability</w:t>
      </w:r>
    </w:p>
    <w:p>
      <w:r>
        <w:t>A technically capable product can create unnecessary maintenance burden if it is unfamiliar, difficult to diagnose, or poorly supported locally.</w:t>
      </w:r>
    </w:p>
    <w:p>
      <w:r>
        <w:t>Evaluate:</w:t>
      </w:r>
    </w:p>
    <w:p>
      <w:pPr>
        <w:pStyle w:val="ListBullet"/>
      </w:pPr>
      <w:r>
        <w:t>Diagnostic quality.</w:t>
      </w:r>
    </w:p>
    <w:p>
      <w:pPr>
        <w:pStyle w:val="ListBullet"/>
      </w:pPr>
      <w:r>
        <w:t>Fault-history availability.</w:t>
      </w:r>
    </w:p>
    <w:p>
      <w:pPr>
        <w:pStyle w:val="ListBullet"/>
      </w:pPr>
      <w:r>
        <w:t>Ease of parameter backup.</w:t>
      </w:r>
    </w:p>
    <w:p>
      <w:pPr>
        <w:pStyle w:val="ListBullet"/>
      </w:pPr>
      <w:r>
        <w:t>Restoration and replacement procedures.</w:t>
      </w:r>
    </w:p>
    <w:p>
      <w:pPr>
        <w:pStyle w:val="ListBullet"/>
      </w:pPr>
      <w:r>
        <w:t>Tool and license availability.</w:t>
      </w:r>
    </w:p>
    <w:p>
      <w:pPr>
        <w:pStyle w:val="ListBullet"/>
      </w:pPr>
      <w:r>
        <w:t>Technician familiarity.</w:t>
      </w:r>
    </w:p>
    <w:p>
      <w:pPr>
        <w:pStyle w:val="ListBullet"/>
      </w:pPr>
      <w:r>
        <w:t>Vendor response time.</w:t>
      </w:r>
    </w:p>
    <w:p>
      <w:pPr>
        <w:pStyle w:val="ListBullet"/>
      </w:pPr>
      <w:r>
        <w:t>Availability of application engineers.</w:t>
      </w:r>
    </w:p>
    <w:p>
      <w:pPr>
        <w:pStyle w:val="ListBullet"/>
      </w:pPr>
      <w:r>
        <w:t>Repair facilities.</w:t>
      </w:r>
    </w:p>
    <w:p>
      <w:pPr>
        <w:pStyle w:val="ListBullet"/>
      </w:pPr>
      <w:r>
        <w:t>Spare-parts stock and delivery lead time.</w:t>
      </w:r>
    </w:p>
    <w:p>
      <w:pPr>
        <w:pStyle w:val="ListBullet"/>
      </w:pPr>
      <w:r>
        <w:t>Training requirements.</w:t>
      </w:r>
    </w:p>
    <w:p>
      <w:pPr>
        <w:pStyle w:val="ListBullet"/>
      </w:pPr>
      <w:r>
        <w:t>Access to manuals and technical documentation.</w:t>
      </w:r>
    </w:p>
    <w:p>
      <w:r>
        <w:t>For a production-critical machine, serviceability may be as important as a small difference in purchase price.</w:t>
      </w:r>
    </w:p>
    <w:p>
      <w:r>
        <w:t>However, local availability and service quality should be verified through current evidence rather than assumed from the manufacturer's reputation.</w:t>
      </w:r>
    </w:p>
    <w:p>
      <w:pPr>
        <w:pStyle w:val="Heading2"/>
      </w:pPr>
      <w:r>
        <w:t>15. Technical scoring for make comparison</w:t>
      </w:r>
    </w:p>
    <w:p>
      <w:r>
        <w:t>Where permitted by the procurement process, a weighted score can help compare technically acceptable alternatives.</w:t>
      </w:r>
    </w:p>
    <w:p>
      <w:r>
        <w:t>An illustrative evaluation model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Criterion</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Functional and performance suitability</w:t>
            </w:r>
          </w:p>
        </w:tc>
        <w:tc>
          <w:tcPr>
            <w:tcW w:type="dxa" w:w="5400"/>
          </w:tcPr>
          <w:p>
            <w:pPr>
              <w:spacing w:after="0" w:before="0" w:line="240" w:lineRule="auto"/>
              <w:jc w:val="left"/>
            </w:pPr>
            <w:r>
              <w:t>25%</w:t>
            </w:r>
          </w:p>
        </w:tc>
      </w:tr>
      <w:tr>
        <w:tc>
          <w:tcPr>
            <w:tcW w:type="dxa" w:w="5400"/>
          </w:tcPr>
          <w:p>
            <w:pPr>
              <w:spacing w:after="0" w:before="0" w:line="240" w:lineRule="auto"/>
              <w:jc w:val="left"/>
            </w:pPr>
            <w:r>
              <w:t>Plant compatibility and integration</w:t>
            </w:r>
          </w:p>
        </w:tc>
        <w:tc>
          <w:tcPr>
            <w:tcW w:type="dxa" w:w="5400"/>
          </w:tcPr>
          <w:p>
            <w:pPr>
              <w:spacing w:after="0" w:before="0" w:line="240" w:lineRule="auto"/>
              <w:jc w:val="left"/>
            </w:pPr>
            <w:r>
              <w:t>20%</w:t>
            </w:r>
          </w:p>
        </w:tc>
      </w:tr>
      <w:tr>
        <w:tc>
          <w:tcPr>
            <w:tcW w:type="dxa" w:w="5400"/>
          </w:tcPr>
          <w:p>
            <w:pPr>
              <w:spacing w:after="0" w:before="0" w:line="240" w:lineRule="auto"/>
              <w:jc w:val="left"/>
            </w:pPr>
            <w:r>
              <w:t>Reliability and maintainability</w:t>
            </w:r>
          </w:p>
        </w:tc>
        <w:tc>
          <w:tcPr>
            <w:tcW w:type="dxa" w:w="5400"/>
          </w:tcPr>
          <w:p>
            <w:pPr>
              <w:spacing w:after="0" w:before="0" w:line="240" w:lineRule="auto"/>
              <w:jc w:val="left"/>
            </w:pPr>
            <w:r>
              <w:t>15%</w:t>
            </w:r>
          </w:p>
        </w:tc>
      </w:tr>
      <w:tr>
        <w:tc>
          <w:tcPr>
            <w:tcW w:type="dxa" w:w="5400"/>
          </w:tcPr>
          <w:p>
            <w:pPr>
              <w:spacing w:after="0" w:before="0" w:line="240" w:lineRule="auto"/>
              <w:jc w:val="left"/>
            </w:pPr>
            <w:r>
              <w:t>Lifecycle and spare-parts support</w:t>
            </w:r>
          </w:p>
        </w:tc>
        <w:tc>
          <w:tcPr>
            <w:tcW w:type="dxa" w:w="5400"/>
          </w:tcPr>
          <w:p>
            <w:pPr>
              <w:spacing w:after="0" w:before="0" w:line="240" w:lineRule="auto"/>
              <w:jc w:val="left"/>
            </w:pPr>
            <w:r>
              <w:t>15%</w:t>
            </w:r>
          </w:p>
        </w:tc>
      </w:tr>
      <w:tr>
        <w:tc>
          <w:tcPr>
            <w:tcW w:type="dxa" w:w="5400"/>
          </w:tcPr>
          <w:p>
            <w:pPr>
              <w:spacing w:after="0" w:before="0" w:line="240" w:lineRule="auto"/>
              <w:jc w:val="left"/>
            </w:pPr>
            <w:r>
              <w:t>Engineering software and diagnostics</w:t>
            </w:r>
          </w:p>
        </w:tc>
        <w:tc>
          <w:tcPr>
            <w:tcW w:type="dxa" w:w="5400"/>
          </w:tcPr>
          <w:p>
            <w:pPr>
              <w:spacing w:after="0" w:before="0" w:line="240" w:lineRule="auto"/>
              <w:jc w:val="left"/>
            </w:pPr>
            <w:r>
              <w:t>10%</w:t>
            </w:r>
          </w:p>
        </w:tc>
      </w:tr>
      <w:tr>
        <w:tc>
          <w:tcPr>
            <w:tcW w:type="dxa" w:w="5400"/>
          </w:tcPr>
          <w:p>
            <w:pPr>
              <w:spacing w:after="0" w:before="0" w:line="240" w:lineRule="auto"/>
              <w:jc w:val="left"/>
            </w:pPr>
            <w:r>
              <w:t>Documentation and training</w:t>
            </w:r>
          </w:p>
        </w:tc>
        <w:tc>
          <w:tcPr>
            <w:tcW w:type="dxa" w:w="5400"/>
          </w:tcPr>
          <w:p>
            <w:pPr>
              <w:spacing w:after="0" w:before="0" w:line="240" w:lineRule="auto"/>
              <w:jc w:val="left"/>
            </w:pPr>
            <w:r>
              <w:t>5%</w:t>
            </w:r>
          </w:p>
        </w:tc>
      </w:tr>
      <w:tr>
        <w:tc>
          <w:tcPr>
            <w:tcW w:type="dxa" w:w="5400"/>
          </w:tcPr>
          <w:p>
            <w:pPr>
              <w:spacing w:after="0" w:before="0" w:line="240" w:lineRule="auto"/>
              <w:jc w:val="left"/>
            </w:pPr>
            <w:r>
              <w:t>Total cost of ownership</w:t>
            </w:r>
          </w:p>
        </w:tc>
        <w:tc>
          <w:tcPr>
            <w:tcW w:type="dxa" w:w="5400"/>
          </w:tcPr>
          <w:p>
            <w:pPr>
              <w:spacing w:after="0" w:before="0" w:line="240" w:lineRule="auto"/>
              <w:jc w:val="left"/>
            </w:pPr>
            <w:r>
              <w:t>10%</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The weights are examples only. The organization should approve appropriate weights for the application.</w:t>
      </w:r>
    </w:p>
    <w:p>
      <w:r>
        <w:t>Mandatory requirements should be handled through the defined pass/fail process where required. A high score must not compensate for a failed mandatory safety, regulatory, or performance condition.</w:t>
      </w:r>
    </w:p>
    <w:p>
      <w:pPr>
        <w:pStyle w:val="Heading3"/>
      </w:pPr>
      <w:r>
        <w:t>15.1 Weighted score calculation</w:t>
      </w:r>
    </w:p>
    <w:p>
      <w:r>
        <w:t>If each criterion is rated from 0 to 5:</w:t>
      </w:r>
    </w:p>
    <w:p>
      <w:pPr>
        <w:spacing w:before="120" w:after="160"/>
        <w:jc w:val="center"/>
      </w:pPr>
      <m:oMathPara>
        <m:oMath>
          <m:r>
            <m:rPr>
              <m:nor/>
            </m:rPr>
            <m:t>Weighted contribution</m:t>
          </m:r>
          <m:r>
            <m:t>=</m:t>
          </m:r>
          <m:f>
            <m:fPr>
              <m:type m:val="bar"/>
            </m:fPr>
            <m:num>
              <m:r>
                <m:rPr>
                  <m:nor/>
                </m:rPr>
                <m:t>Rating</m:t>
              </m:r>
            </m:num>
            <m:den>
              <m:r>
                <m:t>5</m:t>
              </m:r>
            </m:den>
          </m:f>
          <m:r>
            <m:t>×</m:t>
          </m:r>
          <m:r>
            <m:rPr>
              <m:nor/>
            </m:rPr>
            <m:t>Weight</m:t>
          </m:r>
        </m:oMath>
      </m:oMathPara>
    </w:p>
    <w:p>
      <w:r>
        <w:t>For a rating of 4 on a criterion weighted at 20%:</w:t>
      </w:r>
    </w:p>
    <w:p>
      <w:pPr>
        <w:spacing w:before="120" w:after="160"/>
        <w:jc w:val="center"/>
      </w:pPr>
      <m:oMathPara>
        <m:oMath>
          <m:f>
            <m:fPr>
              <m:type m:val="bar"/>
            </m:fPr>
            <m:num>
              <m:r>
                <m:t>4</m:t>
              </m:r>
            </m:num>
            <m:den>
              <m:r>
                <m:t>5</m:t>
              </m:r>
            </m:den>
          </m:f>
          <m:r>
            <m:t>×20=16</m:t>
          </m:r>
        </m:oMath>
      </m:oMathPara>
    </w:p>
    <w:p>
      <w:r>
        <w:t>The total technical score is the sum of the weighted contributions, provided the product passes all required eligibility gates.</w:t>
      </w:r>
    </w:p>
    <w:p>
      <w:pPr>
        <w:pStyle w:val="Heading3"/>
      </w:pPr>
      <w:r>
        <w:t>15.2 Avoid false precision</w:t>
      </w:r>
    </w:p>
    <w:p>
      <w:r>
        <w:t>A score such as 86.4% does not necessarily mean a product is objectively 86.4% suitable. Scores depend on the criteria, evidence, weights, and evaluator judgments.</w:t>
      </w:r>
    </w:p>
    <w:p>
      <w:r>
        <w:t>Use scoring to support a documented decision, not to disguise uncertainty behind decimal places.</w:t>
      </w:r>
    </w:p>
    <w:p>
      <w:pPr>
        <w:pStyle w:val="Heading2"/>
      </w:pPr>
      <w:r>
        <w:t>16. Total cost of ownership</w:t>
      </w:r>
    </w:p>
    <w:p>
      <w:r>
        <w:t>Make comparison should distinguish the initial purchase price from the cost of owning and supporting the equipment.</w:t>
      </w:r>
    </w:p>
    <w:p>
      <w:r>
        <w:t>A useful simplified model is:</w:t>
      </w:r>
    </w:p>
    <w:p>
      <w:pPr>
        <w:spacing w:before="120" w:after="160"/>
        <w:jc w:val="center"/>
      </w:pPr>
      <m:oMathPara>
        <m:oMath>
          <m:r>
            <m:t>TCO=</m:t>
          </m:r>
          <m:sSub>
            <m:e>
              <m:r>
                <m:t>C</m:t>
              </m:r>
            </m:e>
            <m:sub>
              <m:r>
                <m:t>P</m:t>
              </m:r>
            </m:sub>
          </m:sSub>
          <m:r>
            <m:t>+</m:t>
          </m:r>
          <m:sSub>
            <m:e>
              <m:r>
                <m:t>C</m:t>
              </m:r>
            </m:e>
            <m:sub>
              <m:r>
                <m:t>I</m:t>
              </m:r>
            </m:sub>
          </m:sSub>
          <m:r>
            <m:t>+</m:t>
          </m:r>
          <m:sSub>
            <m:e>
              <m:r>
                <m:t>C</m:t>
              </m:r>
            </m:e>
            <m:sub>
              <m:r>
                <m:t>L</m:t>
              </m:r>
            </m:sub>
          </m:sSub>
          <m:r>
            <m:t>+</m:t>
          </m:r>
          <m:sSub>
            <m:e>
              <m:r>
                <m:t>C</m:t>
              </m:r>
            </m:e>
            <m:sub>
              <m:r>
                <m:t>M</m:t>
              </m:r>
            </m:sub>
          </m:sSub>
          <m:r>
            <m:t>+</m:t>
          </m:r>
          <m:sSub>
            <m:e>
              <m:r>
                <m:t>C</m:t>
              </m:r>
            </m:e>
            <m:sub>
              <m:r>
                <m:t>D</m:t>
              </m:r>
            </m:sub>
          </m:sSub>
        </m:oMath>
      </m:oMathPara>
    </w:p>
    <w:p>
      <w:r>
        <w:t>Where:</w:t>
      </w:r>
    </w:p>
    <w:p>
      <w:pPr>
        <w:pStyle w:val="ListBullet"/>
      </w:pPr>
      <m:oMath>
        <m:sSub>
          <m:e>
            <m:r>
              <m:t>C</m:t>
            </m:r>
          </m:e>
          <m:sub>
            <m:r>
              <m:t>P</m:t>
            </m:r>
          </m:sub>
        </m:sSub>
      </m:oMath>
      <w:r>
        <w:t xml:space="preserve"> = purchase cost.</w:t>
      </w:r>
    </w:p>
    <w:p>
      <w:pPr>
        <w:pStyle w:val="ListBullet"/>
      </w:pPr>
      <m:oMath>
        <m:sSub>
          <m:e>
            <m:r>
              <m:t>C</m:t>
            </m:r>
          </m:e>
          <m:sub>
            <m:r>
              <m:t>I</m:t>
            </m:r>
          </m:sub>
        </m:sSub>
      </m:oMath>
      <w:r>
        <w:t xml:space="preserve"> = integration and commissioning cost.</w:t>
      </w:r>
    </w:p>
    <w:p>
      <w:pPr>
        <w:pStyle w:val="ListBullet"/>
      </w:pPr>
      <m:oMath>
        <m:sSub>
          <m:e>
            <m:r>
              <m:t>C</m:t>
            </m:r>
          </m:e>
          <m:sub>
            <m:r>
              <m:t>L</m:t>
            </m:r>
          </m:sub>
        </m:sSub>
      </m:oMath>
      <w:r>
        <w:t xml:space="preserve"> = licensing and training cost.</w:t>
      </w:r>
    </w:p>
    <w:p>
      <w:pPr>
        <w:pStyle w:val="ListBullet"/>
      </w:pPr>
      <m:oMath>
        <m:sSub>
          <m:e>
            <m:r>
              <m:t>C</m:t>
            </m:r>
          </m:e>
          <m:sub>
            <m:r>
              <m:t>M</m:t>
            </m:r>
          </m:sub>
        </m:sSub>
      </m:oMath>
      <w:r>
        <w:t xml:space="preserve"> = maintenance and spare-parts cost.</w:t>
      </w:r>
    </w:p>
    <w:p>
      <w:pPr>
        <w:pStyle w:val="ListBullet"/>
      </w:pPr>
      <m:oMath>
        <m:sSub>
          <m:e>
            <m:r>
              <m:t>C</m:t>
            </m:r>
          </m:e>
          <m:sub>
            <m:r>
              <m:t>D</m:t>
            </m:r>
          </m:sub>
        </m:sSub>
      </m:oMath>
      <w:r>
        <w:t xml:space="preserve"> = expected downtime cost over the selected evaluation period.</w:t>
      </w:r>
    </w:p>
    <w:p>
      <w:r>
        <w:t>The model should use consistent assumptions and a defined time horizon. Avoid double counting and include other relevant costs, such as energy consumption, migration, disposal, or cybersecurity support where appropriate.</w:t>
      </w:r>
    </w:p>
    <w:p>
      <w:r>
        <w:t>For example, a lower-priced PLC may require additional gateways, new engineering licenses, extra training, and modifications to existing programs. Those costs can outweigh the initial savings.</w:t>
      </w:r>
    </w:p>
    <w:p>
      <w:pPr>
        <w:pStyle w:val="Heading2"/>
      </w:pPr>
      <w:r>
        <w:t>17. Approved makes and conditional approval</w:t>
      </w:r>
    </w:p>
    <w:p>
      <w:r>
        <w:t>Many organizations maintain approved-manufacturer lists or approved product standards.</w:t>
      </w:r>
    </w:p>
    <w:p>
      <w:r>
        <w:t>Possible categories include:</w:t>
      </w:r>
    </w:p>
    <w:p>
      <w:pPr>
        <w:pStyle w:val="ListBullet"/>
      </w:pPr>
      <w:r>
        <w:t>Approved: May be used within the defined scope and conditions.</w:t>
      </w:r>
    </w:p>
    <w:p>
      <w:pPr>
        <w:pStyle w:val="ListBullet"/>
      </w:pPr>
      <w:r>
        <w:t>Approved with restrictions: Permitted only for specific applications, models, or conditions.</w:t>
      </w:r>
    </w:p>
    <w:p>
      <w:pPr>
        <w:pStyle w:val="ListBullet"/>
      </w:pPr>
      <w:r>
        <w:t>Conditionally approved: Requires additional testing, documentation, or authorization.</w:t>
      </w:r>
    </w:p>
    <w:p>
      <w:pPr>
        <w:pStyle w:val="ListBullet"/>
      </w:pPr>
      <w:r>
        <w:t>Not approved: Cannot be used under the current standard or procurement rules.</w:t>
      </w:r>
    </w:p>
    <w:p>
      <w:pPr>
        <w:pStyle w:val="ListBullet"/>
      </w:pPr>
      <w:r>
        <w:t>Under evaluation: Approval process is incomplete.</w:t>
      </w:r>
    </w:p>
    <w:p>
      <w:r>
        <w:t>The status must come from the organization's controlled approval process.</w:t>
      </w:r>
    </w:p>
    <w:p>
      <w:r>
        <w:t>An approved manufacturer does not mean every product from that manufacturer is suitable for every application. Conversely, a technically strong alternative make may require a formal qualification process before it can be used.</w:t>
      </w:r>
    </w:p>
    <w:p>
      <w:pPr>
        <w:pStyle w:val="Heading2"/>
      </w:pPr>
      <w:r>
        <w:t>18. Make comparison template</w:t>
      </w:r>
    </w:p>
    <w:p>
      <w:r>
        <w:t>A practical comparison sheet should include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Item ID</w:t>
            </w:r>
          </w:p>
        </w:tc>
        <w:tc>
          <w:tcPr>
            <w:tcW w:type="dxa" w:w="5400"/>
          </w:tcPr>
          <w:p>
            <w:pPr>
              <w:spacing w:after="0" w:before="0" w:line="240" w:lineRule="auto"/>
              <w:jc w:val="left"/>
            </w:pPr>
            <w:r>
              <w:t>Unique equipment or component reference</w:t>
            </w:r>
          </w:p>
        </w:tc>
      </w:tr>
      <w:tr>
        <w:tc>
          <w:tcPr>
            <w:tcW w:type="dxa" w:w="5400"/>
          </w:tcPr>
          <w:p>
            <w:pPr>
              <w:spacing w:after="0" w:before="0" w:line="240" w:lineRule="auto"/>
              <w:jc w:val="left"/>
            </w:pPr>
            <w:r>
              <w:t>Equipment function</w:t>
            </w:r>
          </w:p>
        </w:tc>
        <w:tc>
          <w:tcPr>
            <w:tcW w:type="dxa" w:w="5400"/>
          </w:tcPr>
          <w:p>
            <w:pPr>
              <w:spacing w:after="0" w:before="0" w:line="240" w:lineRule="auto"/>
              <w:jc w:val="left"/>
            </w:pPr>
            <w:r>
              <w:t>Intended application</w:t>
            </w:r>
          </w:p>
        </w:tc>
      </w:tr>
      <w:tr>
        <w:tc>
          <w:tcPr>
            <w:tcW w:type="dxa" w:w="5400"/>
          </w:tcPr>
          <w:p>
            <w:pPr>
              <w:spacing w:after="0" w:before="0" w:line="240" w:lineRule="auto"/>
              <w:jc w:val="left"/>
            </w:pPr>
            <w:r>
              <w:t>Required make or approved alternatives</w:t>
            </w:r>
          </w:p>
        </w:tc>
        <w:tc>
          <w:tcPr>
            <w:tcW w:type="dxa" w:w="5400"/>
          </w:tcPr>
          <w:p>
            <w:pPr>
              <w:spacing w:after="0" w:before="0" w:line="240" w:lineRule="auto"/>
              <w:jc w:val="left"/>
            </w:pPr>
            <w:r>
              <w:t>Procurement restriction or approved list</w:t>
            </w:r>
          </w:p>
        </w:tc>
      </w:tr>
      <w:tr>
        <w:tc>
          <w:tcPr>
            <w:tcW w:type="dxa" w:w="5400"/>
          </w:tcPr>
          <w:p>
            <w:pPr>
              <w:spacing w:after="0" w:before="0" w:line="240" w:lineRule="auto"/>
              <w:jc w:val="left"/>
            </w:pPr>
            <w:r>
              <w:t>Supplier A make and model</w:t>
            </w:r>
          </w:p>
        </w:tc>
        <w:tc>
          <w:tcPr>
            <w:tcW w:type="dxa" w:w="5400"/>
          </w:tcPr>
          <w:p>
            <w:pPr>
              <w:spacing w:after="0" w:before="0" w:line="240" w:lineRule="auto"/>
              <w:jc w:val="left"/>
            </w:pPr>
            <w:r>
              <w:t>Exact proposed product</w:t>
            </w:r>
          </w:p>
        </w:tc>
      </w:tr>
      <w:tr>
        <w:tc>
          <w:tcPr>
            <w:tcW w:type="dxa" w:w="5400"/>
          </w:tcPr>
          <w:p>
            <w:pPr>
              <w:spacing w:after="0" w:before="0" w:line="240" w:lineRule="auto"/>
              <w:jc w:val="left"/>
            </w:pPr>
            <w:r>
              <w:t>Supplier B make and model</w:t>
            </w:r>
          </w:p>
        </w:tc>
        <w:tc>
          <w:tcPr>
            <w:tcW w:type="dxa" w:w="5400"/>
          </w:tcPr>
          <w:p>
            <w:pPr>
              <w:spacing w:after="0" w:before="0" w:line="240" w:lineRule="auto"/>
              <w:jc w:val="left"/>
            </w:pPr>
            <w:r>
              <w:t>Exact proposed product</w:t>
            </w:r>
          </w:p>
        </w:tc>
      </w:tr>
      <w:tr>
        <w:tc>
          <w:tcPr>
            <w:tcW w:type="dxa" w:w="5400"/>
          </w:tcPr>
          <w:p>
            <w:pPr>
              <w:spacing w:after="0" w:before="0" w:line="240" w:lineRule="auto"/>
              <w:jc w:val="left"/>
            </w:pPr>
            <w:r>
              <w:t>Supplier C make and model</w:t>
            </w:r>
          </w:p>
        </w:tc>
        <w:tc>
          <w:tcPr>
            <w:tcW w:type="dxa" w:w="5400"/>
          </w:tcPr>
          <w:p>
            <w:pPr>
              <w:spacing w:after="0" w:before="0" w:line="240" w:lineRule="auto"/>
              <w:jc w:val="left"/>
            </w:pPr>
            <w:r>
              <w:t>Exact proposed product</w:t>
            </w:r>
          </w:p>
        </w:tc>
      </w:tr>
      <w:tr>
        <w:tc>
          <w:tcPr>
            <w:tcW w:type="dxa" w:w="5400"/>
          </w:tcPr>
          <w:p>
            <w:pPr>
              <w:spacing w:after="0" w:before="0" w:line="240" w:lineRule="auto"/>
              <w:jc w:val="left"/>
            </w:pPr>
            <w:r>
              <w:t>Mandatory compliance</w:t>
            </w:r>
          </w:p>
        </w:tc>
        <w:tc>
          <w:tcPr>
            <w:tcW w:type="dxa" w:w="5400"/>
          </w:tcPr>
          <w:p>
            <w:pPr>
              <w:spacing w:after="0" w:before="0" w:line="240" w:lineRule="auto"/>
              <w:jc w:val="left"/>
            </w:pPr>
            <w:r>
              <w:t>Pass/fail against required criteria</w:t>
            </w:r>
          </w:p>
        </w:tc>
      </w:tr>
      <w:tr>
        <w:tc>
          <w:tcPr>
            <w:tcW w:type="dxa" w:w="5400"/>
          </w:tcPr>
          <w:p>
            <w:pPr>
              <w:spacing w:after="0" w:before="0" w:line="240" w:lineRule="auto"/>
              <w:jc w:val="left"/>
            </w:pPr>
            <w:r>
              <w:t>Technical evidence</w:t>
            </w:r>
          </w:p>
        </w:tc>
        <w:tc>
          <w:tcPr>
            <w:tcW w:type="dxa" w:w="5400"/>
          </w:tcPr>
          <w:p>
            <w:pPr>
              <w:spacing w:after="0" w:before="0" w:line="240" w:lineRule="auto"/>
              <w:jc w:val="left"/>
            </w:pPr>
            <w:r>
              <w:t>Datasheet, drawing, configuration, or test reference</w:t>
            </w:r>
          </w:p>
        </w:tc>
      </w:tr>
      <w:tr>
        <w:tc>
          <w:tcPr>
            <w:tcW w:type="dxa" w:w="5400"/>
          </w:tcPr>
          <w:p>
            <w:pPr>
              <w:spacing w:after="0" w:before="0" w:line="240" w:lineRule="auto"/>
              <w:jc w:val="left"/>
            </w:pPr>
            <w:r>
              <w:t>Compatibility assessment</w:t>
            </w:r>
          </w:p>
        </w:tc>
        <w:tc>
          <w:tcPr>
            <w:tcW w:type="dxa" w:w="5400"/>
          </w:tcPr>
          <w:p>
            <w:pPr>
              <w:spacing w:after="0" w:before="0" w:line="240" w:lineRule="auto"/>
              <w:jc w:val="left"/>
            </w:pPr>
            <w:r>
              <w:t>Fit with existing plant architecture</w:t>
            </w:r>
          </w:p>
        </w:tc>
      </w:tr>
      <w:tr>
        <w:tc>
          <w:tcPr>
            <w:tcW w:type="dxa" w:w="5400"/>
          </w:tcPr>
          <w:p>
            <w:pPr>
              <w:spacing w:after="0" w:before="0" w:line="240" w:lineRule="auto"/>
              <w:jc w:val="left"/>
            </w:pPr>
            <w:r>
              <w:t>Lifecycle assessment</w:t>
            </w:r>
          </w:p>
        </w:tc>
        <w:tc>
          <w:tcPr>
            <w:tcW w:type="dxa" w:w="5400"/>
          </w:tcPr>
          <w:p>
            <w:pPr>
              <w:spacing w:after="0" w:before="0" w:line="240" w:lineRule="auto"/>
              <w:jc w:val="left"/>
            </w:pPr>
            <w:r>
              <w:t>Support and obsolescence status</w:t>
            </w:r>
          </w:p>
        </w:tc>
      </w:tr>
      <w:tr>
        <w:tc>
          <w:tcPr>
            <w:tcW w:type="dxa" w:w="5400"/>
          </w:tcPr>
          <w:p>
            <w:pPr>
              <w:spacing w:after="0" w:before="0" w:line="240" w:lineRule="auto"/>
              <w:jc w:val="left"/>
            </w:pPr>
            <w:r>
              <w:t>Maintenance assessment</w:t>
            </w:r>
          </w:p>
        </w:tc>
        <w:tc>
          <w:tcPr>
            <w:tcW w:type="dxa" w:w="5400"/>
          </w:tcPr>
          <w:p>
            <w:pPr>
              <w:spacing w:after="0" w:before="0" w:line="240" w:lineRule="auto"/>
              <w:jc w:val="left"/>
            </w:pPr>
            <w:r>
              <w:t>Skills, tools, diagnostics, and service</w:t>
            </w:r>
          </w:p>
        </w:tc>
      </w:tr>
      <w:tr>
        <w:tc>
          <w:tcPr>
            <w:tcW w:type="dxa" w:w="5400"/>
          </w:tcPr>
          <w:p>
            <w:pPr>
              <w:spacing w:after="0" w:before="0" w:line="240" w:lineRule="auto"/>
              <w:jc w:val="left"/>
            </w:pPr>
            <w:r>
              <w:t>Cost assessment</w:t>
            </w:r>
          </w:p>
        </w:tc>
        <w:tc>
          <w:tcPr>
            <w:tcW w:type="dxa" w:w="5400"/>
          </w:tcPr>
          <w:p>
            <w:pPr>
              <w:spacing w:after="0" w:before="0" w:line="240" w:lineRule="auto"/>
              <w:jc w:val="left"/>
            </w:pPr>
            <w:r>
              <w:t>Purchase and lifecycle cost</w:t>
            </w:r>
          </w:p>
        </w:tc>
      </w:tr>
      <w:tr>
        <w:tc>
          <w:tcPr>
            <w:tcW w:type="dxa" w:w="5400"/>
          </w:tcPr>
          <w:p>
            <w:pPr>
              <w:spacing w:after="0" w:before="0" w:line="240" w:lineRule="auto"/>
              <w:jc w:val="left"/>
            </w:pPr>
            <w:r>
              <w:t>Deviations</w:t>
            </w:r>
          </w:p>
        </w:tc>
        <w:tc>
          <w:tcPr>
            <w:tcW w:type="dxa" w:w="5400"/>
          </w:tcPr>
          <w:p>
            <w:pPr>
              <w:spacing w:after="0" w:before="0" w:line="240" w:lineRule="auto"/>
              <w:jc w:val="left"/>
            </w:pPr>
            <w:r>
              <w:t>References to deviation records</w:t>
            </w:r>
          </w:p>
        </w:tc>
      </w:tr>
      <w:tr>
        <w:tc>
          <w:tcPr>
            <w:tcW w:type="dxa" w:w="5400"/>
          </w:tcPr>
          <w:p>
            <w:pPr>
              <w:spacing w:after="0" w:before="0" w:line="240" w:lineRule="auto"/>
              <w:jc w:val="left"/>
            </w:pPr>
            <w:r>
              <w:t>Technical score</w:t>
            </w:r>
          </w:p>
        </w:tc>
        <w:tc>
          <w:tcPr>
            <w:tcW w:type="dxa" w:w="5400"/>
          </w:tcPr>
          <w:p>
            <w:pPr>
              <w:spacing w:after="0" w:before="0" w:line="240" w:lineRule="auto"/>
              <w:jc w:val="left"/>
            </w:pPr>
            <w:r>
              <w:t>Score calculated using approved criteria</w:t>
            </w:r>
          </w:p>
        </w:tc>
      </w:tr>
      <w:tr>
        <w:tc>
          <w:tcPr>
            <w:tcW w:type="dxa" w:w="5400"/>
          </w:tcPr>
          <w:p>
            <w:pPr>
              <w:spacing w:after="0" w:before="0" w:line="240" w:lineRule="auto"/>
              <w:jc w:val="left"/>
            </w:pPr>
            <w:r>
              <w:t>Recommendation</w:t>
            </w:r>
          </w:p>
        </w:tc>
        <w:tc>
          <w:tcPr>
            <w:tcW w:type="dxa" w:w="5400"/>
          </w:tcPr>
          <w:p>
            <w:pPr>
              <w:spacing w:after="0" w:before="0" w:line="240" w:lineRule="auto"/>
              <w:jc w:val="left"/>
            </w:pPr>
            <w:r>
              <w:t>Proposed selection and justification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decision and reference</w:t>
            </w:r>
          </w:p>
        </w:tc>
      </w:tr>
    </w:tbl>
    <w:p/>
    <w:p>
      <w:r>
        <w:t>The comparison sheet should link to the compliance matrix and deviation register instead of duplicating large amounts of detailed evaluation text.</w:t>
      </w:r>
    </w:p>
    <w:p>
      <w:pPr>
        <w:pStyle w:val="Heading2"/>
      </w:pPr>
      <w:r>
        <w:t>19. Practical case study: Selecting a replacement sensor</w:t>
      </w:r>
    </w:p>
    <w:p>
      <w:r>
        <w:t>Assume a machine uses a photoelectric sensor to detect components on a moving conveyor. The existing make is no longer readily available, and two alternatives are proposed.</w:t>
      </w:r>
    </w:p>
    <w:p>
      <w:r>
        <w:t>The evaluator should check:</w:t>
      </w:r>
    </w:p>
    <w:p>
      <w:pPr>
        <w:tabs>
          <w:tab w:pos="403" w:val="left"/>
        </w:tabs>
        <w:spacing w:after="40" w:line="276" w:lineRule="auto"/>
        <w:ind w:left="403" w:hanging="403"/>
        <w:jc w:val="left"/>
      </w:pPr>
      <w:r>
        <w:rPr>
          <w:color w:val="1A2E4A"/>
        </w:rPr>
        <w:t>1.</w:t>
        <w:tab/>
      </w:r>
      <w:r>
        <w:t>The target material, color, shape, and detection distance.</w:t>
      </w:r>
    </w:p>
    <w:p>
      <w:pPr>
        <w:tabs>
          <w:tab w:pos="403" w:val="left"/>
        </w:tabs>
        <w:spacing w:after="40" w:line="276" w:lineRule="auto"/>
        <w:ind w:left="403" w:hanging="403"/>
        <w:jc w:val="left"/>
      </w:pPr>
      <w:r>
        <w:rPr>
          <w:color w:val="1A2E4A"/>
        </w:rPr>
        <w:t>2.</w:t>
        <w:tab/>
      </w:r>
      <w:r>
        <w:t>The conveyor speed and required response time.</w:t>
      </w:r>
    </w:p>
    <w:p>
      <w:pPr>
        <w:tabs>
          <w:tab w:pos="403" w:val="left"/>
        </w:tabs>
        <w:spacing w:after="40" w:line="276" w:lineRule="auto"/>
        <w:ind w:left="403" w:hanging="403"/>
        <w:jc w:val="left"/>
      </w:pPr>
      <w:r>
        <w:rPr>
          <w:color w:val="1A2E4A"/>
        </w:rPr>
        <w:t>3.</w:t>
        <w:tab/>
      </w:r>
      <w:r>
        <w:t>The required PNP or NPN output and PLC input compatibility.</w:t>
      </w:r>
    </w:p>
    <w:p>
      <w:pPr>
        <w:tabs>
          <w:tab w:pos="403" w:val="left"/>
        </w:tabs>
        <w:spacing w:after="40" w:line="276" w:lineRule="auto"/>
        <w:ind w:left="403" w:hanging="403"/>
        <w:jc w:val="left"/>
      </w:pPr>
      <w:r>
        <w:rPr>
          <w:color w:val="1A2E4A"/>
        </w:rPr>
        <w:t>4.</w:t>
        <w:tab/>
      </w:r>
      <w:r>
        <w:t>The supply voltage and connector pinout.</w:t>
      </w:r>
    </w:p>
    <w:p>
      <w:pPr>
        <w:tabs>
          <w:tab w:pos="403" w:val="left"/>
        </w:tabs>
        <w:spacing w:after="40" w:line="276" w:lineRule="auto"/>
        <w:ind w:left="403" w:hanging="403"/>
        <w:jc w:val="left"/>
      </w:pPr>
      <w:r>
        <w:rPr>
          <w:color w:val="1A2E4A"/>
        </w:rPr>
        <w:t>5.</w:t>
        <w:tab/>
      </w:r>
      <w:r>
        <w:t>The mounting dimensions and alignment.</w:t>
      </w:r>
    </w:p>
    <w:p>
      <w:pPr>
        <w:tabs>
          <w:tab w:pos="403" w:val="left"/>
        </w:tabs>
        <w:spacing w:after="40" w:line="276" w:lineRule="auto"/>
        <w:ind w:left="403" w:hanging="403"/>
        <w:jc w:val="left"/>
      </w:pPr>
      <w:r>
        <w:rPr>
          <w:color w:val="1A2E4A"/>
        </w:rPr>
        <w:t>6.</w:t>
        <w:tab/>
      </w:r>
      <w:r>
        <w:t>The effect of coolant, dust, oil, and ambient light.</w:t>
      </w:r>
    </w:p>
    <w:p>
      <w:pPr>
        <w:tabs>
          <w:tab w:pos="403" w:val="left"/>
        </w:tabs>
        <w:spacing w:after="40" w:line="276" w:lineRule="auto"/>
        <w:ind w:left="403" w:hanging="403"/>
        <w:jc w:val="left"/>
      </w:pPr>
      <w:r>
        <w:rPr>
          <w:color w:val="1A2E4A"/>
        </w:rPr>
        <w:t>7.</w:t>
        <w:tab/>
      </w:r>
      <w:r>
        <w:t>The required repeatability and detection reliability.</w:t>
      </w:r>
    </w:p>
    <w:p>
      <w:pPr>
        <w:tabs>
          <w:tab w:pos="403" w:val="left"/>
        </w:tabs>
        <w:spacing w:after="40" w:line="276" w:lineRule="auto"/>
        <w:ind w:left="403" w:hanging="403"/>
        <w:jc w:val="left"/>
      </w:pPr>
      <w:r>
        <w:rPr>
          <w:color w:val="1A2E4A"/>
        </w:rPr>
        <w:t>8.</w:t>
        <w:tab/>
      </w:r>
      <w:r>
        <w:t>The diagnostic and teach-in method.</w:t>
      </w:r>
    </w:p>
    <w:p>
      <w:pPr>
        <w:tabs>
          <w:tab w:pos="403" w:val="left"/>
        </w:tabs>
        <w:spacing w:after="40" w:line="276" w:lineRule="auto"/>
        <w:ind w:left="403" w:hanging="403"/>
        <w:jc w:val="left"/>
      </w:pPr>
      <w:r>
        <w:rPr>
          <w:color w:val="1A2E4A"/>
        </w:rPr>
        <w:t>9.</w:t>
        <w:tab/>
      </w:r>
      <w:r>
        <w:t>The availability of spare units and replacement cables.</w:t>
      </w:r>
    </w:p>
    <w:p>
      <w:pPr>
        <w:tabs>
          <w:tab w:pos="403" w:val="left"/>
        </w:tabs>
        <w:spacing w:after="40" w:line="276" w:lineRule="auto"/>
        <w:ind w:left="403" w:hanging="403"/>
        <w:jc w:val="left"/>
      </w:pPr>
      <w:r>
        <w:rPr>
          <w:color w:val="1A2E4A"/>
        </w:rPr>
        <w:t>10.</w:t>
        <w:tab/>
      </w:r>
      <w:r>
        <w:t>The need for a controlled machine trial or acceptance test.</w:t>
      </w:r>
    </w:p>
    <w:p>
      <w:r>
        <w:t>If the alternative has a different output type, it may require an interface relay, input module change, or wiring modification. If the sensing principle differs, the detection behavior may need to be validated under actual production conditions.</w:t>
      </w:r>
    </w:p>
    <w:p>
      <w:r>
        <w:t>The decision should document the compatibility assessment and any required validation rather than relying on the fact that both devices are marketed as photoelectric sensors.</w:t>
      </w:r>
    </w:p>
    <w:p>
      <w:pPr>
        <w:pStyle w:val="Heading2"/>
      </w:pPr>
      <w:r>
        <w:t>20. Make comparison workflow in Excel</w:t>
      </w:r>
    </w:p>
    <w:p>
      <w:r>
        <w:t>A practical workbook can contain:</w:t>
      </w:r>
    </w:p>
    <w:p>
      <w:pPr>
        <w:pStyle w:val="ListBullet"/>
      </w:pPr>
      <w:r>
        <w:rPr>
          <w:rFonts w:ascii="Consolas" w:hAnsi="Consolas"/>
          <w:color w:val="333333"/>
          <w:sz w:val="19"/>
          <w:shd w:val="clear" w:color="auto" w:fill="EFEFEF"/>
        </w:rPr>
        <w:t>00_README</w:t>
      </w:r>
      <w:r>
        <w:t>: comparison rules and approval method.</w:t>
      </w:r>
    </w:p>
    <w:p>
      <w:pPr>
        <w:pStyle w:val="ListBullet"/>
      </w:pPr>
      <w:r>
        <w:rPr>
          <w:rFonts w:ascii="Consolas" w:hAnsi="Consolas"/>
          <w:color w:val="333333"/>
          <w:sz w:val="19"/>
          <w:shd w:val="clear" w:color="auto" w:fill="EFEFEF"/>
        </w:rPr>
        <w:t>01_REQUIREMENTS</w:t>
      </w:r>
      <w:r>
        <w:t>: approved technical criteria.</w:t>
      </w:r>
    </w:p>
    <w:p>
      <w:pPr>
        <w:pStyle w:val="ListBullet"/>
      </w:pPr>
      <w:r>
        <w:rPr>
          <w:rFonts w:ascii="Consolas" w:hAnsi="Consolas"/>
          <w:color w:val="333333"/>
          <w:sz w:val="19"/>
          <w:shd w:val="clear" w:color="auto" w:fill="EFEFEF"/>
        </w:rPr>
        <w:t>02_PRODUCT_DATA</w:t>
      </w:r>
      <w:r>
        <w:t>: make, model, configuration, and evidence.</w:t>
      </w:r>
    </w:p>
    <w:p>
      <w:pPr>
        <w:pStyle w:val="ListBullet"/>
      </w:pPr>
      <w:r>
        <w:rPr>
          <w:rFonts w:ascii="Consolas" w:hAnsi="Consolas"/>
          <w:color w:val="333333"/>
          <w:sz w:val="19"/>
          <w:shd w:val="clear" w:color="auto" w:fill="EFEFEF"/>
        </w:rPr>
        <w:t>03_COMPLIANCE</w:t>
      </w:r>
      <w:r>
        <w:t>: requirement-by-requirement evaluation.</w:t>
      </w:r>
    </w:p>
    <w:p>
      <w:pPr>
        <w:pStyle w:val="ListBullet"/>
      </w:pPr>
      <w:r>
        <w:rPr>
          <w:rFonts w:ascii="Consolas" w:hAnsi="Consolas"/>
          <w:color w:val="333333"/>
          <w:sz w:val="19"/>
          <w:shd w:val="clear" w:color="auto" w:fill="EFEFEF"/>
        </w:rPr>
        <w:t>04_DEVIATIONS</w:t>
      </w:r>
      <w:r>
        <w:t>: differences and approved alternatives.</w:t>
      </w:r>
    </w:p>
    <w:p>
      <w:pPr>
        <w:pStyle w:val="ListBullet"/>
      </w:pPr>
      <w:r>
        <w:rPr>
          <w:rFonts w:ascii="Consolas" w:hAnsi="Consolas"/>
          <w:color w:val="333333"/>
          <w:sz w:val="19"/>
          <w:shd w:val="clear" w:color="auto" w:fill="EFEFEF"/>
        </w:rPr>
        <w:t>05_LIFECYCLE</w:t>
      </w:r>
      <w:r>
        <w:t>: support, obsolescence, and spare-parts information.</w:t>
      </w:r>
    </w:p>
    <w:p>
      <w:pPr>
        <w:pStyle w:val="ListBullet"/>
      </w:pPr>
      <w:r>
        <w:rPr>
          <w:rFonts w:ascii="Consolas" w:hAnsi="Consolas"/>
          <w:color w:val="333333"/>
          <w:sz w:val="19"/>
          <w:shd w:val="clear" w:color="auto" w:fill="EFEFEF"/>
        </w:rPr>
        <w:t>06_TCO</w:t>
      </w:r>
      <w:r>
        <w:t>: cost assumptions and lifecycle calculations.</w:t>
      </w:r>
    </w:p>
    <w:p>
      <w:pPr>
        <w:pStyle w:val="ListBullet"/>
      </w:pPr>
      <w:r>
        <w:rPr>
          <w:rFonts w:ascii="Consolas" w:hAnsi="Consolas"/>
          <w:color w:val="333333"/>
          <w:sz w:val="19"/>
          <w:shd w:val="clear" w:color="auto" w:fill="EFEFEF"/>
        </w:rPr>
        <w:t>07_SCORING</w:t>
      </w:r>
      <w:r>
        <w:t>: approved scoring model.</w:t>
      </w:r>
    </w:p>
    <w:p>
      <w:pPr>
        <w:pStyle w:val="ListBullet"/>
      </w:pPr>
      <w:r>
        <w:rPr>
          <w:rFonts w:ascii="Consolas" w:hAnsi="Consolas"/>
          <w:color w:val="333333"/>
          <w:sz w:val="19"/>
          <w:shd w:val="clear" w:color="auto" w:fill="EFEFEF"/>
        </w:rPr>
        <w:t>08_SUMMARY</w:t>
      </w:r>
      <w:r>
        <w:t>: comparison and recommendation.</w:t>
      </w:r>
    </w:p>
    <w:p>
      <w:pPr>
        <w:pStyle w:val="ListBullet"/>
      </w:pPr>
      <w:r>
        <w:rPr>
          <w:rFonts w:ascii="Consolas" w:hAnsi="Consolas"/>
          <w:color w:val="333333"/>
          <w:sz w:val="19"/>
          <w:shd w:val="clear" w:color="auto" w:fill="EFEFEF"/>
        </w:rPr>
        <w:t>09_APPROVALS</w:t>
      </w:r>
      <w:r>
        <w:t>: reviewers and decision records.</w:t>
      </w:r>
    </w:p>
    <w:p>
      <w:r>
        <w:t>Recommended controls:</w:t>
      </w:r>
    </w:p>
    <w:p>
      <w:pPr>
        <w:pStyle w:val="ListBullet"/>
      </w:pPr>
      <w:r>
        <w:t>Use dropdowns for statuses and ratings.</w:t>
      </w:r>
    </w:p>
    <w:p>
      <w:pPr>
        <w:pStyle w:val="ListBullet"/>
      </w:pPr>
      <w:r>
        <w:t>Keep mandatory requirements separate from weighted scoring.</w:t>
      </w:r>
    </w:p>
    <w:p>
      <w:pPr>
        <w:pStyle w:val="ListBullet"/>
      </w:pPr>
      <w:r>
        <w:t>Use controlled model numbers and document references.</w:t>
      </w:r>
    </w:p>
    <w:p>
      <w:pPr>
        <w:pStyle w:val="ListBullet"/>
      </w:pPr>
      <w:r>
        <w:t>Identify the date of lifecycle and price information.</w:t>
      </w:r>
    </w:p>
    <w:p>
      <w:pPr>
        <w:pStyle w:val="ListBullet"/>
      </w:pPr>
      <w:r>
        <w:t>Track assumptions and unresolved questions.</w:t>
      </w:r>
    </w:p>
    <w:p>
      <w:pPr>
        <w:pStyle w:val="ListBullet"/>
      </w:pPr>
      <w:r>
        <w:t>Protect formulas and approved criteria.</w:t>
      </w:r>
    </w:p>
    <w:p>
      <w:pPr>
        <w:pStyle w:val="ListBullet"/>
      </w:pPr>
      <w:r>
        <w:t>Preserve previous revisions.</w:t>
      </w:r>
    </w:p>
    <w:p>
      <w:pPr>
        <w:pStyle w:val="ListBullet"/>
      </w:pPr>
      <w:r>
        <w:t>Record the reasons behind the final recommendation.</w:t>
      </w:r>
    </w:p>
    <w:p>
      <w:r>
        <w:t>If several suppliers propose different configurations, compare the complete offered solution rather than comparing only product-family names.</w:t>
      </w:r>
    </w:p>
    <w:p>
      <w:pPr>
        <w:pStyle w:val="Heading2"/>
      </w:pPr>
      <w:r>
        <w:t>21. Common mistakes in make comparison</w:t>
      </w:r>
    </w:p>
    <w:p>
      <w:pPr>
        <w:pStyle w:val="ListBullet"/>
      </w:pPr>
      <w:r>
        <w:t>Choosing the most familiar brand without evaluating the application.</w:t>
      </w:r>
    </w:p>
    <w:p>
      <w:pPr>
        <w:pStyle w:val="ListBullet"/>
      </w:pPr>
      <w:r>
        <w:t>Selecting the lowest-priced model without calculating integration costs.</w:t>
      </w:r>
    </w:p>
    <w:p>
      <w:pPr>
        <w:pStyle w:val="ListBullet"/>
      </w:pPr>
      <w:r>
        <w:t>Comparing product families rather than exact models.</w:t>
      </w:r>
    </w:p>
    <w:p>
      <w:pPr>
        <w:pStyle w:val="ListBullet"/>
      </w:pPr>
      <w:r>
        <w:t>Assuming that equivalent power ratings mean equivalent performance.</w:t>
      </w:r>
    </w:p>
    <w:p>
      <w:pPr>
        <w:pStyle w:val="ListBullet"/>
      </w:pPr>
      <w:r>
        <w:t>Ignoring protocol, firmware, or software-version compatibility.</w:t>
      </w:r>
    </w:p>
    <w:p>
      <w:pPr>
        <w:pStyle w:val="ListBullet"/>
      </w:pPr>
      <w:r>
        <w:t>Treating manufacturer approval as proof of application suitability.</w:t>
      </w:r>
    </w:p>
    <w:p>
      <w:pPr>
        <w:pStyle w:val="ListBullet"/>
      </w:pPr>
      <w:r>
        <w:t>Ignoring local spare-parts availability and service capability.</w:t>
      </w:r>
    </w:p>
    <w:p>
      <w:pPr>
        <w:pStyle w:val="ListBullet"/>
      </w:pPr>
      <w:r>
        <w:t>Selecting an obsolete product without assessing support risks.</w:t>
      </w:r>
    </w:p>
    <w:p>
      <w:pPr>
        <w:pStyle w:val="ListBullet"/>
      </w:pPr>
      <w:r>
        <w:t>Overlooking licenses, programming tools, and training.</w:t>
      </w:r>
    </w:p>
    <w:p>
      <w:pPr>
        <w:pStyle w:val="ListBullet"/>
      </w:pPr>
      <w:r>
        <w:t>Ignoring safety-system requirements.</w:t>
      </w:r>
    </w:p>
    <w:p>
      <w:pPr>
        <w:pStyle w:val="ListBullet"/>
      </w:pPr>
      <w:r>
        <w:t>Using inconsistent scoring criteria across manufacturers.</w:t>
      </w:r>
    </w:p>
    <w:p>
      <w:pPr>
        <w:pStyle w:val="ListBullet"/>
      </w:pPr>
      <w:r>
        <w:t>Allowing weighted scores to hide mandatory noncompliance.</w:t>
      </w:r>
    </w:p>
    <w:p>
      <w:pPr>
        <w:pStyle w:val="ListBullet"/>
      </w:pPr>
      <w:r>
        <w:t>Accepting unverified claims about reliability or delivery.</w:t>
      </w:r>
    </w:p>
    <w:p>
      <w:pPr>
        <w:pStyle w:val="ListBullet"/>
      </w:pPr>
      <w:r>
        <w:t>Failing to document why the selected make is preferable.</w:t>
      </w:r>
    </w:p>
    <w:p>
      <w:pPr>
        <w:pStyle w:val="ListBullet"/>
      </w:pPr>
      <w:r>
        <w:t>Failing to update the plant's approved standards and spare-parts records after selection.</w:t>
      </w:r>
    </w:p>
    <w:p>
      <w:pPr>
        <w:pStyle w:val="Heading2"/>
      </w:pPr>
      <w:r>
        <w:t>22. Make comparison checklist</w:t>
      </w:r>
    </w:p>
    <w:p>
      <w:pPr>
        <w:pStyle w:val="ListBullet"/>
      </w:pPr>
      <w:r>
        <w:t>The application and technical requirements are defined.</w:t>
      </w:r>
    </w:p>
    <w:p>
      <w:pPr>
        <w:pStyle w:val="ListBullet"/>
      </w:pPr>
      <w:r>
        <w:t>Mandatory and desirable criteria are separated.</w:t>
      </w:r>
    </w:p>
    <w:p>
      <w:pPr>
        <w:pStyle w:val="ListBullet"/>
      </w:pPr>
      <w:r>
        <w:t>The approved-manufacturer restrictions are checked.</w:t>
      </w:r>
    </w:p>
    <w:p>
      <w:pPr>
        <w:pStyle w:val="ListBullet"/>
      </w:pPr>
      <w:r>
        <w:t>Exact make, model, series, and configuration are recorded.</w:t>
      </w:r>
    </w:p>
    <w:p>
      <w:pPr>
        <w:pStyle w:val="ListBullet"/>
      </w:pPr>
      <w:r>
        <w:t>Compliance evidence is available and reviewed.</w:t>
      </w:r>
    </w:p>
    <w:p>
      <w:pPr>
        <w:pStyle w:val="ListBullet"/>
      </w:pPr>
      <w:r>
        <w:t>Interfaces with existing equipment are assessed.</w:t>
      </w:r>
    </w:p>
    <w:p>
      <w:pPr>
        <w:pStyle w:val="ListBullet"/>
      </w:pPr>
      <w:r>
        <w:t>Required safety and regulatory conditions are verified.</w:t>
      </w:r>
    </w:p>
    <w:p>
      <w:pPr>
        <w:pStyle w:val="ListBullet"/>
      </w:pPr>
      <w:r>
        <w:t>Engineering software and licensing are considered.</w:t>
      </w:r>
    </w:p>
    <w:p>
      <w:pPr>
        <w:pStyle w:val="ListBullet"/>
      </w:pPr>
      <w:r>
        <w:t>Maintenance skills and service arrangements are assessed.</w:t>
      </w:r>
    </w:p>
    <w:p>
      <w:pPr>
        <w:pStyle w:val="ListBullet"/>
      </w:pPr>
      <w:r>
        <w:t>Lifecycle status and obsolescence risks are checked.</w:t>
      </w:r>
    </w:p>
    <w:p>
      <w:pPr>
        <w:pStyle w:val="ListBullet"/>
      </w:pPr>
      <w:r>
        <w:t>Spare-parts availability and lead times are verified.</w:t>
      </w:r>
    </w:p>
    <w:p>
      <w:pPr>
        <w:pStyle w:val="ListBullet"/>
      </w:pPr>
      <w:r>
        <w:t>Initial and lifecycle costs are compared consistently.</w:t>
      </w:r>
    </w:p>
    <w:p>
      <w:pPr>
        <w:pStyle w:val="ListBullet"/>
      </w:pPr>
      <w:r>
        <w:t>Deviations are documented and dispositioned.</w:t>
      </w:r>
    </w:p>
    <w:p>
      <w:pPr>
        <w:pStyle w:val="ListBullet"/>
      </w:pPr>
      <w:r>
        <w:t>Scoring criteria and weights are approved.</w:t>
      </w:r>
    </w:p>
    <w:p>
      <w:pPr>
        <w:pStyle w:val="ListBullet"/>
      </w:pPr>
      <w:r>
        <w:t>Mandatory failures are handled under the procurement rules.</w:t>
      </w:r>
    </w:p>
    <w:p>
      <w:pPr>
        <w:pStyle w:val="ListBullet"/>
      </w:pPr>
      <w:r>
        <w:t>The recommendation includes a technical justification.</w:t>
      </w:r>
    </w:p>
    <w:p>
      <w:pPr>
        <w:pStyle w:val="ListBullet"/>
      </w:pPr>
      <w:r>
        <w:t>The final decision is authorized and revision-controlled.</w:t>
      </w:r>
    </w:p>
    <w:p>
      <w:pPr>
        <w:pStyle w:val="ListBullet"/>
      </w:pPr>
      <w:r>
        <w:t>The selected configuration is reflected in project documents and spare-parts records.</w:t>
      </w:r>
    </w:p>
    <w:p>
      <w:pPr>
        <w:pStyle w:val="Heading2"/>
      </w:pPr>
      <w:r>
        <w:t>23. Interview questions and answers</w:t>
      </w:r>
    </w:p>
    <w:p>
      <w:r>
        <w:t>1\. What is make comparison?</w:t>
      </w:r>
    </w:p>
    <w:p>
      <w:r>
        <w:t>Make comparison is the structured evaluation of alternative manufacturers and their proposed products against application requirements, compatibility, lifecycle support, maintainability, and cost.</w:t>
      </w:r>
    </w:p>
    <w:p>
      <w:r>
        <w:t>2\. What is the difference between make and model?</w:t>
      </w:r>
    </w:p>
    <w:p>
      <w:r>
        <w:t>The make identifies the manufacturer or brand. The model identifies a specific product or product configuration within that manufacturer's portfolio.</w:t>
      </w:r>
    </w:p>
    <w:p>
      <w:r>
        <w:t>3\. Why is make comparison important in industrial maintenance?</w:t>
      </w:r>
    </w:p>
    <w:p>
      <w:r>
        <w:t>It helps maintain compatibility with installed equipment, standardize spare parts and tools, reduce troubleshooting complexity, and manage lifecycle risk.</w:t>
      </w:r>
    </w:p>
    <w:p>
      <w:r>
        <w:t>4\. Is an approved make automatically acceptable?</w:t>
      </w:r>
    </w:p>
    <w:p>
      <w:r>
        <w:t>No. The exact model and configuration must still satisfy the application requirements and all mandatory conditions.</w:t>
      </w:r>
    </w:p>
    <w:p>
      <w:r>
        <w:t>5\. Can a nonstandard make be selected?</w:t>
      </w:r>
    </w:p>
    <w:p>
      <w:r>
        <w:t>Yes, where the procurement and engineering governance processes permit it and the required technical, risk, lifecycle, and approval checks are completed.</w:t>
      </w:r>
    </w:p>
    <w:p>
      <w:r>
        <w:t>6\. Why should exact models be compared?</w:t>
      </w:r>
    </w:p>
    <w:p>
      <w:r>
        <w:t>Models from the same manufacturer can have different ratings, communication capabilities, firmware requirements, safety functions, and support status.</w:t>
      </w:r>
    </w:p>
    <w:p>
      <w:r>
        <w:t>7\. What is total cost of ownership?</w:t>
      </w:r>
    </w:p>
    <w:p>
      <w:r>
        <w:t>It is the estimated cost of purchasing, integrating, operating, maintaining, and supporting a solution over a defined period, including relevant downtime and lifecycle costs.</w:t>
      </w:r>
    </w:p>
    <w:p>
      <w:r>
        <w:t>8\. How do you compare two PLC manufacturers?</w:t>
      </w:r>
    </w:p>
    <w:p>
      <w:r>
        <w:t>Compare the exact controller configurations against performance, I/O, communications, existing-system compatibility, software, diagnostics, safety requirements, lifecycle support, maintenance capability, and total cost.</w:t>
      </w:r>
    </w:p>
    <w:p>
      <w:r>
        <w:t>9\. Why is lifecycle status important?</w:t>
      </w:r>
    </w:p>
    <w:p>
      <w:r>
        <w:t>It determines the likely availability of replacements, repairs, firmware support, engineering tools, and migration options throughout the intended service life.</w:t>
      </w:r>
    </w:p>
    <w:p>
      <w:r>
        <w:t>10\. What is the relationship between make comparison and specification comparison?</w:t>
      </w:r>
    </w:p>
    <w:p>
      <w:r>
        <w:t>Make comparison identifies and evaluates suitable manufacturers or products. Specification comparison checks individual technical parameters to determine whether the actual proposed models satisfy the requirements.</w:t>
      </w:r>
    </w:p>
    <w:p>
      <w:r>
        <w:t>11\. Can the lowest-cost make be recommended?</w:t>
      </w:r>
    </w:p>
    <w:p>
      <w:r>
        <w:t>Only if it satisfies mandatory requirements and the evaluation demonstrates that it is suitable under the approved technical and commercial criteria.</w:t>
      </w:r>
    </w:p>
    <w:p>
      <w:r>
        <w:t>12\. What should the final make-comparison recommendation contain?</w:t>
      </w:r>
    </w:p>
    <w:p>
      <w:r>
        <w:t>It should identify the proposed make and model, supporting evidence, compliance status, key advantages and disadvantages, lifecycle and cost implications, deviations, unresolved risks, and required approvals.</w:t>
      </w:r>
    </w:p>
    <w:p>
      <w:pPr>
        <w:pStyle w:val="Heading2"/>
      </w:pPr>
      <w:r>
        <w:t>24. Final engineering principle</w:t>
      </w:r>
    </w:p>
    <w:p>
      <w:r>
        <w:t>Make comparison is a technical decision about suitability, compatibility, standardization, serviceability, and lifecycle value. It should be based on the actual product configuration and supported by evidence, not brand reputation alone.</w:t>
      </w:r>
    </w:p>
    <w:p>
      <w:r>
        <w:t>For industrial automation, the best choice is the product that meets the requirements, integrates reliably with the plant, can be maintained throughout its intended service life, and offers an acceptable total cost of ownership.</w:t>
      </w:r>
    </w:p>
    <w:p>
      <w:r>
        <w:t>Choose the manufacturer only after verifying the model. Choose the model only after verifying the configuration. Approve the configuration only after confirming that it meets the requirements.</w:t>
      </w:r>
    </w:p>
    <w:p>
      <w:pPr>
        <w:pStyle w:val="Heading2"/>
      </w:pPr>
      <w:r>
        <w:t>NEXT TOPIC</w:t>
      </w:r>
    </w:p>
    <w:p>
      <w:r>
        <w:rPr>
          <w:rFonts w:ascii="Consolas" w:hAnsi="Consolas"/>
          <w:color w:val="333333"/>
          <w:sz w:val="19"/>
          <w:shd w:val="clear" w:color="auto" w:fill="EFEFEF"/>
        </w:rPr>
        <w:t>02_PLAN_WISE_2026\02_INDUSTRY3_0\09_Procurement\02_Technical_Bid_Evaluation\04_Spec_Comparison - Specification comparison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02_PLAN_WISE_2026\02_INDUSTRY3_0\09_Procurement\02_Technical_Bid_Evaluation\03_Make_Comparison - Make comparison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