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02_PLAN_WISE_2026\02_INDUSTRY3_0\09_Procurement\02_Technical_Bid_Evaluation\06_Lifecycle_Considerations - Lifecycle considerations</w:t>
      </w:r>
    </w:p>
    <w:p>
      <w:pPr>
        <w:pStyle w:val="Heading2"/>
      </w:pPr>
      <w:r>
        <w:t>1. What are lifecycle considerations?</w:t>
      </w:r>
    </w:p>
    <w:p>
      <w:r>
        <w:t>Lifecycle considerations are the technical, operational, commercial, and support factors evaluated across the entire useful life of an industrial product, machine, automation system, or plant asset.</w:t>
      </w:r>
    </w:p>
    <w:p>
      <w:r>
        <w:t>In industrial procurement, selecting equipment based only on its purchase price is insufficient. The equipment must be engineered, installed, commissioned, operated, maintained, repaired, upgraded, and eventually replaced or decommissioned.</w:t>
      </w:r>
    </w:p>
    <w:p>
      <w:r>
        <w:t>A low-cost PLC may become expensive if its engineering software requires costly licenses, compatible replacement modules are difficult to obtain, or the product is approaching obsolescence. A more expensive system may provide better value through reduced downtime, simpler maintenance, longer support availability, and easier integration.</w:t>
      </w:r>
    </w:p>
    <w:p>
      <w:r>
        <w:t>Lifecycle evaluation determines whether the proposed solution can be supported safely, economically, and technically throughout its intended service life.</w:t>
      </w:r>
    </w:p>
    <w:p>
      <w:pPr>
        <w:pStyle w:val="Heading2"/>
      </w:pPr>
      <w:r>
        <w:t>2. Objectives of lifecycle evaluation</w:t>
      </w:r>
    </w:p>
    <w:p>
      <w:r>
        <w:t>The main objectives are to:</w:t>
      </w:r>
    </w:p>
    <w:p>
      <w:pPr>
        <w:pStyle w:val="ListBullet"/>
      </w:pPr>
      <w:r>
        <w:t>Estimate the total cost of ownership over the intended evaluation period.</w:t>
      </w:r>
    </w:p>
    <w:p>
      <w:pPr>
        <w:pStyle w:val="ListBullet"/>
      </w:pPr>
      <w:r>
        <w:t>Assess expected equipment service life and manufacturer support commitments.</w:t>
      </w:r>
    </w:p>
    <w:p>
      <w:pPr>
        <w:pStyle w:val="ListBullet"/>
      </w:pPr>
      <w:r>
        <w:t>Identify obsolete, discontinued, or soon-to-be-obsolete components.</w:t>
      </w:r>
    </w:p>
    <w:p>
      <w:pPr>
        <w:pStyle w:val="ListBullet"/>
      </w:pPr>
      <w:r>
        <w:t>Evaluate spare-parts availability and replacement lead times.</w:t>
      </w:r>
    </w:p>
    <w:p>
      <w:pPr>
        <w:pStyle w:val="ListBullet"/>
      </w:pPr>
      <w:r>
        <w:t>Assess repairability and maintenance requirements.</w:t>
      </w:r>
    </w:p>
    <w:p>
      <w:pPr>
        <w:pStyle w:val="ListBullet"/>
      </w:pPr>
      <w:r>
        <w:t>Verify software, firmware, operating-system, and licensing support.</w:t>
      </w:r>
    </w:p>
    <w:p>
      <w:pPr>
        <w:pStyle w:val="ListBullet"/>
      </w:pPr>
      <w:r>
        <w:t>Evaluate upgrade, migration, and backward-compatibility requirements.</w:t>
      </w:r>
    </w:p>
    <w:p>
      <w:pPr>
        <w:pStyle w:val="ListBullet"/>
      </w:pPr>
      <w:r>
        <w:t>Assess availability of trained personnel and vendor support.</w:t>
      </w:r>
    </w:p>
    <w:p>
      <w:pPr>
        <w:pStyle w:val="ListBullet"/>
      </w:pPr>
      <w:r>
        <w:t>Estimate downtime exposure and operational consequences.</w:t>
      </w:r>
    </w:p>
    <w:p>
      <w:pPr>
        <w:pStyle w:val="ListBullet"/>
      </w:pPr>
      <w:r>
        <w:t>Evaluate cybersecurity maintenance and vulnerability management.</w:t>
      </w:r>
    </w:p>
    <w:p>
      <w:pPr>
        <w:pStyle w:val="ListBullet"/>
      </w:pPr>
      <w:r>
        <w:t>Identify long-term dependency on a single supplier or proprietary technology.</w:t>
      </w:r>
    </w:p>
    <w:p>
      <w:pPr>
        <w:pStyle w:val="ListBullet"/>
      </w:pPr>
      <w:r>
        <w:t>Establish a practical replacement and end-of-life strategy.</w:t>
      </w:r>
    </w:p>
    <w:p>
      <w:r>
        <w:t>Lifecycle evaluation should be performed during technical bid evaluation, not postponed until a component fails years later.</w:t>
      </w:r>
    </w:p>
    <w:p>
      <w:pPr>
        <w:pStyle w:val="Heading2"/>
      </w:pPr>
      <w:r>
        <w:t>3. The industrial equipment lifecycle</w:t>
      </w:r>
    </w:p>
    <w:p>
      <w:pPr>
        <w:shd w:val="clear" w:color="auto" w:fill="F4F4F4"/>
        <w:spacing w:before="0" w:after="0" w:line="240" w:lineRule="auto"/>
        <w:ind w:left="216" w:right="216"/>
        <w:jc w:val="left"/>
      </w:pPr>
      <w:r>
        <w:rPr>
          <w:rFonts w:ascii="Consolas" w:hAnsi="Consolas"/>
          <w:color w:val="202020"/>
          <w:sz w:val="18"/>
        </w:rPr>
        <w:t>Concept and Requirement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and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Procurement and Manufacturing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Preventive and Predictive Maintenance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Breakdown Repair and Component Replacement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Upgrade / Retrofit / Migration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End-of-Life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Decommissioning / Replacement</w:t>
      </w:r>
    </w:p>
    <w:p/>
    <w:p>
      <w:r>
        <w:t>These stages can overlap. For example, spare-parts planning begins during procurement, while upgrade planning may start during initial design.</w:t>
      </w:r>
    </w:p>
    <w:p>
      <w:r>
        <w:t>Each stage creates costs, risks, documentation requirements, and support obligations.</w:t>
      </w:r>
    </w:p>
    <w:p>
      <w:pPr>
        <w:pStyle w:val="Heading2"/>
      </w:pPr>
      <w:r>
        <w:t>4. Lifecycle stages and their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Lifecycle stage</w:t>
            </w:r>
          </w:p>
        </w:tc>
        <w:tc>
          <w:tcPr>
            <w:tcW w:type="dxa" w:w="3600"/>
            <w:shd w:val="clear" w:color="auto" w:fill="EEF2F7"/>
          </w:tcPr>
          <w:p>
            <w:pPr>
              <w:spacing w:after="0" w:before="0" w:line="240" w:lineRule="auto"/>
              <w:jc w:val="left"/>
            </w:pPr>
            <w:r>
              <w:rPr>
                <w:b/>
                <w:color w:val="1A2E4A"/>
              </w:rPr>
              <w:t>Main considerations</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Design</w:t>
            </w:r>
          </w:p>
        </w:tc>
        <w:tc>
          <w:tcPr>
            <w:tcW w:type="dxa" w:w="3600"/>
          </w:tcPr>
          <w:p>
            <w:pPr>
              <w:spacing w:after="0" w:before="0" w:line="240" w:lineRule="auto"/>
              <w:jc w:val="left"/>
            </w:pPr>
            <w:r>
              <w:t>Suitability, capacity, standardization</w:t>
            </w:r>
          </w:p>
        </w:tc>
        <w:tc>
          <w:tcPr>
            <w:tcW w:type="dxa" w:w="3600"/>
          </w:tcPr>
          <w:p>
            <w:pPr>
              <w:spacing w:after="0" w:before="0" w:line="240" w:lineRule="auto"/>
              <w:jc w:val="left"/>
            </w:pPr>
            <w:r>
              <w:t>Approved design documents</w:t>
            </w:r>
          </w:p>
        </w:tc>
      </w:tr>
      <w:tr>
        <w:tc>
          <w:tcPr>
            <w:tcW w:type="dxa" w:w="3600"/>
          </w:tcPr>
          <w:p>
            <w:pPr>
              <w:spacing w:after="0" w:before="0" w:line="240" w:lineRule="auto"/>
              <w:jc w:val="left"/>
            </w:pPr>
            <w:r>
              <w:t>Procurement</w:t>
            </w:r>
          </w:p>
        </w:tc>
        <w:tc>
          <w:tcPr>
            <w:tcW w:type="dxa" w:w="3600"/>
          </w:tcPr>
          <w:p>
            <w:pPr>
              <w:spacing w:after="0" w:before="0" w:line="240" w:lineRule="auto"/>
              <w:jc w:val="left"/>
            </w:pPr>
            <w:r>
              <w:t>Availability, support, lead time</w:t>
            </w:r>
          </w:p>
        </w:tc>
        <w:tc>
          <w:tcPr>
            <w:tcW w:type="dxa" w:w="3600"/>
          </w:tcPr>
          <w:p>
            <w:pPr>
              <w:spacing w:after="0" w:before="0" w:line="240" w:lineRule="auto"/>
              <w:jc w:val="left"/>
            </w:pPr>
            <w:r>
              <w:t>Manufacturer declarations and quotations</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Compatibility, access, environmental suitability</w:t>
            </w:r>
          </w:p>
        </w:tc>
        <w:tc>
          <w:tcPr>
            <w:tcW w:type="dxa" w:w="3600"/>
          </w:tcPr>
          <w:p>
            <w:pPr>
              <w:spacing w:after="0" w:before="0" w:line="240" w:lineRule="auto"/>
              <w:jc w:val="left"/>
            </w:pPr>
            <w:r>
              <w:t>Installation drawings and checklists</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Configuration, testing, acceptance</w:t>
            </w:r>
          </w:p>
        </w:tc>
        <w:tc>
          <w:tcPr>
            <w:tcW w:type="dxa" w:w="3600"/>
          </w:tcPr>
          <w:p>
            <w:pPr>
              <w:spacing w:after="0" w:before="0" w:line="240" w:lineRule="auto"/>
              <w:jc w:val="left"/>
            </w:pPr>
            <w:r>
              <w:t>FAT/SAT reports</w:t>
            </w:r>
          </w:p>
        </w:tc>
      </w:tr>
      <w:tr>
        <w:tc>
          <w:tcPr>
            <w:tcW w:type="dxa" w:w="3600"/>
          </w:tcPr>
          <w:p>
            <w:pPr>
              <w:spacing w:after="0" w:before="0" w:line="240" w:lineRule="auto"/>
              <w:jc w:val="left"/>
            </w:pPr>
            <w:r>
              <w:t>Operation</w:t>
            </w:r>
          </w:p>
        </w:tc>
        <w:tc>
          <w:tcPr>
            <w:tcW w:type="dxa" w:w="3600"/>
          </w:tcPr>
          <w:p>
            <w:pPr>
              <w:spacing w:after="0" w:before="0" w:line="240" w:lineRule="auto"/>
              <w:jc w:val="left"/>
            </w:pPr>
            <w:r>
              <w:t>Performance, reliability, usability</w:t>
            </w:r>
          </w:p>
        </w:tc>
        <w:tc>
          <w:tcPr>
            <w:tcW w:type="dxa" w:w="3600"/>
          </w:tcPr>
          <w:p>
            <w:pPr>
              <w:spacing w:after="0" w:before="0" w:line="240" w:lineRule="auto"/>
              <w:jc w:val="left"/>
            </w:pPr>
            <w:r>
              <w:t>Production and downtime records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PM, diagnostics, repair procedures</w:t>
            </w:r>
          </w:p>
        </w:tc>
        <w:tc>
          <w:tcPr>
            <w:tcW w:type="dxa" w:w="3600"/>
          </w:tcPr>
          <w:p>
            <w:pPr>
              <w:spacing w:after="0" w:before="0" w:line="240" w:lineRule="auto"/>
              <w:jc w:val="left"/>
            </w:pPr>
            <w:r>
              <w:t>Maintenance manuals and schedules</w:t>
            </w:r>
          </w:p>
        </w:tc>
      </w:tr>
      <w:tr>
        <w:tc>
          <w:tcPr>
            <w:tcW w:type="dxa" w:w="3600"/>
          </w:tcPr>
          <w:p>
            <w:pPr>
              <w:spacing w:after="0" w:before="0" w:line="240" w:lineRule="auto"/>
              <w:jc w:val="left"/>
            </w:pPr>
            <w:r>
              <w:t>Upgrade</w:t>
            </w:r>
          </w:p>
        </w:tc>
        <w:tc>
          <w:tcPr>
            <w:tcW w:type="dxa" w:w="3600"/>
          </w:tcPr>
          <w:p>
            <w:pPr>
              <w:spacing w:after="0" w:before="0" w:line="240" w:lineRule="auto"/>
              <w:jc w:val="left"/>
            </w:pPr>
            <w:r>
              <w:t>Compatibility, migration, backward compatibility</w:t>
            </w:r>
          </w:p>
        </w:tc>
        <w:tc>
          <w:tcPr>
            <w:tcW w:type="dxa" w:w="3600"/>
          </w:tcPr>
          <w:p>
            <w:pPr>
              <w:spacing w:after="0" w:before="0" w:line="240" w:lineRule="auto"/>
              <w:jc w:val="left"/>
            </w:pPr>
            <w:r>
              <w:t>Migration plans and release documentation</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Last-time-buy and replacement options</w:t>
            </w:r>
          </w:p>
        </w:tc>
        <w:tc>
          <w:tcPr>
            <w:tcW w:type="dxa" w:w="3600"/>
          </w:tcPr>
          <w:p>
            <w:pPr>
              <w:spacing w:after="0" w:before="0" w:line="240" w:lineRule="auto"/>
              <w:jc w:val="left"/>
            </w:pPr>
            <w:r>
              <w:t>Product lifecycle notices</w:t>
            </w:r>
          </w:p>
        </w:tc>
      </w:tr>
      <w:tr>
        <w:tc>
          <w:tcPr>
            <w:tcW w:type="dxa" w:w="3600"/>
          </w:tcPr>
          <w:p>
            <w:pPr>
              <w:spacing w:after="0" w:before="0" w:line="240" w:lineRule="auto"/>
              <w:jc w:val="left"/>
            </w:pPr>
            <w:r>
              <w:t>Decommissioning</w:t>
            </w:r>
          </w:p>
        </w:tc>
        <w:tc>
          <w:tcPr>
            <w:tcW w:type="dxa" w:w="3600"/>
          </w:tcPr>
          <w:p>
            <w:pPr>
              <w:spacing w:after="0" w:before="0" w:line="240" w:lineRule="auto"/>
              <w:jc w:val="left"/>
            </w:pPr>
            <w:r>
              <w:t>Data removal, disposal, recovery</w:t>
            </w:r>
          </w:p>
        </w:tc>
        <w:tc>
          <w:tcPr>
            <w:tcW w:type="dxa" w:w="3600"/>
          </w:tcPr>
          <w:p>
            <w:pPr>
              <w:spacing w:after="0" w:before="0" w:line="240" w:lineRule="auto"/>
              <w:jc w:val="left"/>
            </w:pPr>
            <w:r>
              <w:t>Disposal and decommissioning records</w:t>
            </w:r>
          </w:p>
        </w:tc>
      </w:tr>
    </w:tbl>
    <w:p/>
    <w:p>
      <w:pPr>
        <w:pStyle w:val="Heading2"/>
      </w:pPr>
      <w:r>
        <w:t>5. Total cost of ownership</w:t>
      </w:r>
    </w:p>
    <w:p>
      <w:r>
        <w:t>Total cost of ownership (TCO) is the estimated cost of acquiring, operating, maintaining, supporting, and eventually retiring an asset over a defined period.</w:t>
      </w:r>
    </w:p>
    <w:p>
      <w:r>
        <w:t>A simplified model is:</w:t>
      </w:r>
    </w:p>
    <w:p>
      <w:pPr>
        <w:spacing w:before="120" w:after="160"/>
        <w:jc w:val="center"/>
      </w:pPr>
      <m:oMathPara>
        <m:oMath>
          <m:r>
            <m:t>TCO=</m:t>
          </m:r>
          <m:sSub>
            <m:e>
              <m:r>
                <m:t>C</m:t>
              </m:r>
            </m:e>
            <m:sub>
              <m:r>
                <m:t>A</m:t>
              </m:r>
            </m:sub>
          </m:sSub>
          <m:r>
            <m:t>+</m:t>
          </m:r>
          <m:sSub>
            <m:e>
              <m:r>
                <m:t>C</m:t>
              </m:r>
            </m:e>
            <m:sub>
              <m:r>
                <m:t>E</m:t>
              </m:r>
            </m:sub>
          </m:sSub>
          <m:r>
            <m:t>+</m:t>
          </m:r>
          <m:sSub>
            <m:e>
              <m:r>
                <m:t>C</m:t>
              </m:r>
            </m:e>
            <m:sub>
              <m:r>
                <m:t>I</m:t>
              </m:r>
            </m:sub>
          </m:sSub>
          <m:r>
            <m:t>+</m:t>
          </m:r>
          <m:sSub>
            <m:e>
              <m:r>
                <m:t>C</m:t>
              </m:r>
            </m:e>
            <m:sub>
              <m:r>
                <m:t>O</m:t>
              </m:r>
            </m:sub>
          </m:sSub>
          <m:r>
            <m:t>+</m:t>
          </m:r>
          <m:sSub>
            <m:e>
              <m:r>
                <m:t>C</m:t>
              </m:r>
            </m:e>
            <m:sub>
              <m:r>
                <m:t>M</m:t>
              </m:r>
            </m:sub>
          </m:sSub>
          <m:r>
            <m:t>+</m:t>
          </m:r>
          <m:sSub>
            <m:e>
              <m:r>
                <m:t>C</m:t>
              </m:r>
            </m:e>
            <m:sub>
              <m:r>
                <m:t>D</m:t>
              </m:r>
            </m:sub>
          </m:sSub>
          <m:r>
            <m:t>+</m:t>
          </m:r>
          <m:sSub>
            <m:e>
              <m:r>
                <m:t>C</m:t>
              </m:r>
            </m:e>
            <m:sub>
              <m:r>
                <m:t>U</m:t>
              </m:r>
            </m:sub>
          </m:sSub>
          <m:r>
            <m:t>+</m:t>
          </m:r>
          <m:sSub>
            <m:e>
              <m:r>
                <m:t>C</m:t>
              </m:r>
            </m:e>
            <m:sub>
              <m:r>
                <m:t>R</m:t>
              </m:r>
            </m:sub>
          </m:sSub>
        </m:oMath>
      </m:oMathPara>
    </w:p>
    <w:p>
      <w:r>
        <w:t>Where:</w:t>
      </w:r>
    </w:p>
    <w:p>
      <w:pPr>
        <w:pStyle w:val="ListBullet"/>
      </w:pPr>
      <m:oMath>
        <m:sSub>
          <m:e>
            <m:r>
              <m:t>C</m:t>
            </m:r>
          </m:e>
          <m:sub>
            <m:r>
              <m:t>A</m:t>
            </m:r>
          </m:sub>
        </m:sSub>
      </m:oMath>
      <w:r>
        <w:t xml:space="preserve"> = acquisition cost.</w:t>
      </w:r>
    </w:p>
    <w:p>
      <w:pPr>
        <w:pStyle w:val="ListBullet"/>
      </w:pPr>
      <m:oMath>
        <m:sSub>
          <m:e>
            <m:r>
              <m:t>C</m:t>
            </m:r>
          </m:e>
          <m:sub>
            <m:r>
              <m:t>E</m:t>
            </m:r>
          </m:sub>
        </m:sSub>
      </m:oMath>
      <w:r>
        <w:t xml:space="preserve"> = engineering and integration cost.</w:t>
      </w:r>
    </w:p>
    <w:p>
      <w:pPr>
        <w:pStyle w:val="ListBullet"/>
      </w:pPr>
      <m:oMath>
        <m:sSub>
          <m:e>
            <m:r>
              <m:t>C</m:t>
            </m:r>
          </m:e>
          <m:sub>
            <m:r>
              <m:t>I</m:t>
            </m:r>
          </m:sub>
        </m:sSub>
      </m:oMath>
      <w:r>
        <w:t xml:space="preserve"> = installation and commissioning cost.</w:t>
      </w:r>
    </w:p>
    <w:p>
      <w:pPr>
        <w:pStyle w:val="ListBullet"/>
      </w:pPr>
      <m:oMath>
        <m:sSub>
          <m:e>
            <m:r>
              <m:t>C</m:t>
            </m:r>
          </m:e>
          <m:sub>
            <m:r>
              <m:t>O</m:t>
            </m:r>
          </m:sub>
        </m:sSub>
      </m:oMath>
      <w:r>
        <w:t xml:space="preserve"> = operating cost.</w:t>
      </w:r>
    </w:p>
    <w:p>
      <w:pPr>
        <w:pStyle w:val="ListBullet"/>
      </w:pPr>
      <m:oMath>
        <m:sSub>
          <m:e>
            <m:r>
              <m:t>C</m:t>
            </m:r>
          </m:e>
          <m:sub>
            <m:r>
              <m:t>M</m:t>
            </m:r>
          </m:sub>
        </m:sSub>
      </m:oMath>
      <w:r>
        <w:t xml:space="preserve"> = maintenance and repair cost.</w:t>
      </w:r>
    </w:p>
    <w:p>
      <w:pPr>
        <w:pStyle w:val="ListBullet"/>
      </w:pPr>
      <m:oMath>
        <m:sSub>
          <m:e>
            <m:r>
              <m:t>C</m:t>
            </m:r>
          </m:e>
          <m:sub>
            <m:r>
              <m:t>D</m:t>
            </m:r>
          </m:sub>
        </m:sSub>
      </m:oMath>
      <w:r>
        <w:t xml:space="preserve"> = downtime-related cost.</w:t>
      </w:r>
    </w:p>
    <w:p>
      <w:pPr>
        <w:pStyle w:val="ListBullet"/>
      </w:pPr>
      <m:oMath>
        <m:sSub>
          <m:e>
            <m:r>
              <m:t>C</m:t>
            </m:r>
          </m:e>
          <m:sub>
            <m:r>
              <m:t>U</m:t>
            </m:r>
          </m:sub>
        </m:sSub>
      </m:oMath>
      <w:r>
        <w:t xml:space="preserve"> = upgrade and migration cost.</w:t>
      </w:r>
    </w:p>
    <w:p>
      <w:pPr>
        <w:pStyle w:val="ListBullet"/>
      </w:pPr>
      <m:oMath>
        <m:sSub>
          <m:e>
            <m:r>
              <m:t>C</m:t>
            </m:r>
          </m:e>
          <m:sub>
            <m:r>
              <m:t>R</m:t>
            </m:r>
          </m:sub>
        </m:sSub>
      </m:oMath>
      <w:r>
        <w:t xml:space="preserve"> = retirement and disposal cost.</w:t>
      </w:r>
    </w:p>
    <w:p>
      <w:r>
        <w:t>For a real procurement decision, these categories must be defined carefully to prevent double counting. Costs occurring in different years may also need to be discounted to present value.</w:t>
      </w:r>
    </w:p>
    <w:p>
      <w:pPr>
        <w:pStyle w:val="Heading3"/>
      </w:pPr>
      <w:r>
        <w:t>5.1 Example of lifecycle cost comparison</w:t>
      </w:r>
    </w:p>
    <w:p>
      <w:r>
        <w:t>Assume two automation systems are evaluated over ten years.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component</w:t>
            </w:r>
          </w:p>
        </w:tc>
        <w:tc>
          <w:tcPr>
            <w:tcW w:type="dxa" w:w="3600"/>
            <w:shd w:val="clear" w:color="auto" w:fill="EEF2F7"/>
          </w:tcPr>
          <w:p>
            <w:pPr>
              <w:spacing w:after="0" w:before="0" w:line="240" w:lineRule="auto"/>
              <w:jc w:val="left"/>
            </w:pPr>
            <w:r>
              <w:rPr>
                <w:b/>
                <w:color w:val="1A2E4A"/>
              </w:rPr>
              <w:t>System A</w:t>
            </w:r>
          </w:p>
        </w:tc>
        <w:tc>
          <w:tcPr>
            <w:tcW w:type="dxa" w:w="3600"/>
            <w:shd w:val="clear" w:color="auto" w:fill="EEF2F7"/>
          </w:tcPr>
          <w:p>
            <w:pPr>
              <w:spacing w:after="0" w:before="0" w:line="240" w:lineRule="auto"/>
              <w:jc w:val="left"/>
            </w:pPr>
            <w:r>
              <w:rPr>
                <w:b/>
                <w:color w:val="1A2E4A"/>
              </w:rPr>
              <w:t>System B</w:t>
            </w:r>
          </w:p>
        </w:tc>
      </w:tr>
      <w:tr>
        <w:tc>
          <w:tcPr>
            <w:tcW w:type="dxa" w:w="3600"/>
          </w:tcPr>
          <w:p>
            <w:pPr>
              <w:spacing w:after="0" w:before="0" w:line="240" w:lineRule="auto"/>
              <w:jc w:val="left"/>
            </w:pPr>
            <w:r>
              <w:t>Purchase</w:t>
            </w:r>
          </w:p>
        </w:tc>
        <w:tc>
          <w:tcPr>
            <w:tcW w:type="dxa" w:w="3600"/>
          </w:tcPr>
          <w:p>
            <w:pPr>
              <w:spacing w:after="0" w:before="0" w:line="240" w:lineRule="auto"/>
              <w:jc w:val="left"/>
            </w:pPr>
            <w:r>
              <w:t>₹8,00,000</w:t>
            </w:r>
          </w:p>
        </w:tc>
        <w:tc>
          <w:tcPr>
            <w:tcW w:type="dxa" w:w="3600"/>
          </w:tcPr>
          <w:p>
            <w:pPr>
              <w:spacing w:after="0" w:before="0" w:line="240" w:lineRule="auto"/>
              <w:jc w:val="left"/>
            </w:pPr>
            <w:r>
              <w:t>₹10,00,000</w:t>
            </w:r>
          </w:p>
        </w:tc>
      </w:tr>
      <w:tr>
        <w:tc>
          <w:tcPr>
            <w:tcW w:type="dxa" w:w="3600"/>
          </w:tcPr>
          <w:p>
            <w:pPr>
              <w:spacing w:after="0" w:before="0" w:line="240" w:lineRule="auto"/>
              <w:jc w:val="left"/>
            </w:pPr>
            <w:r>
              <w:t>Engineering and commissioning</w:t>
            </w:r>
          </w:p>
        </w:tc>
        <w:tc>
          <w:tcPr>
            <w:tcW w:type="dxa" w:w="3600"/>
          </w:tcPr>
          <w:p>
            <w:pPr>
              <w:spacing w:after="0" w:before="0" w:line="240" w:lineRule="auto"/>
              <w:jc w:val="left"/>
            </w:pPr>
            <w:r>
              <w:t>₹1,50,000</w:t>
            </w:r>
          </w:p>
        </w:tc>
        <w:tc>
          <w:tcPr>
            <w:tcW w:type="dxa" w:w="3600"/>
          </w:tcPr>
          <w:p>
            <w:pPr>
              <w:spacing w:after="0" w:before="0" w:line="240" w:lineRule="auto"/>
              <w:jc w:val="left"/>
            </w:pPr>
            <w:r>
              <w:t>₹1,20,000</w:t>
            </w:r>
          </w:p>
        </w:tc>
      </w:tr>
      <w:tr>
        <w:tc>
          <w:tcPr>
            <w:tcW w:type="dxa" w:w="3600"/>
          </w:tcPr>
          <w:p>
            <w:pPr>
              <w:spacing w:after="0" w:before="0" w:line="240" w:lineRule="auto"/>
              <w:jc w:val="left"/>
            </w:pPr>
            <w:r>
              <w:t>Software and licenses</w:t>
            </w:r>
          </w:p>
        </w:tc>
        <w:tc>
          <w:tcPr>
            <w:tcW w:type="dxa" w:w="3600"/>
          </w:tcPr>
          <w:p>
            <w:pPr>
              <w:spacing w:after="0" w:before="0" w:line="240" w:lineRule="auto"/>
              <w:jc w:val="left"/>
            </w:pPr>
            <w:r>
              <w:t>₹2,00,000</w:t>
            </w:r>
          </w:p>
        </w:tc>
        <w:tc>
          <w:tcPr>
            <w:tcW w:type="dxa" w:w="3600"/>
          </w:tcPr>
          <w:p>
            <w:pPr>
              <w:spacing w:after="0" w:before="0" w:line="240" w:lineRule="auto"/>
              <w:jc w:val="left"/>
            </w:pPr>
            <w:r>
              <w:t>₹1,00,000</w:t>
            </w:r>
          </w:p>
        </w:tc>
      </w:tr>
      <w:tr>
        <w:tc>
          <w:tcPr>
            <w:tcW w:type="dxa" w:w="3600"/>
          </w:tcPr>
          <w:p>
            <w:pPr>
              <w:spacing w:after="0" w:before="0" w:line="240" w:lineRule="auto"/>
              <w:jc w:val="left"/>
            </w:pPr>
            <w:r>
              <w:t>Maintenance and repairs</w:t>
            </w:r>
          </w:p>
        </w:tc>
        <w:tc>
          <w:tcPr>
            <w:tcW w:type="dxa" w:w="3600"/>
          </w:tcPr>
          <w:p>
            <w:pPr>
              <w:spacing w:after="0" w:before="0" w:line="240" w:lineRule="auto"/>
              <w:jc w:val="left"/>
            </w:pPr>
            <w:r>
              <w:t>₹3,00,000</w:t>
            </w:r>
          </w:p>
        </w:tc>
        <w:tc>
          <w:tcPr>
            <w:tcW w:type="dxa" w:w="3600"/>
          </w:tcPr>
          <w:p>
            <w:pPr>
              <w:spacing w:after="0" w:before="0" w:line="240" w:lineRule="auto"/>
              <w:jc w:val="left"/>
            </w:pPr>
            <w:r>
              <w:t>₹2,00,000</w:t>
            </w:r>
          </w:p>
        </w:tc>
      </w:tr>
      <w:tr>
        <w:tc>
          <w:tcPr>
            <w:tcW w:type="dxa" w:w="3600"/>
          </w:tcPr>
          <w:p>
            <w:pPr>
              <w:spacing w:after="0" w:before="0" w:line="240" w:lineRule="auto"/>
              <w:jc w:val="left"/>
            </w:pPr>
            <w:r>
              <w:t>Downtime impact</w:t>
            </w:r>
          </w:p>
        </w:tc>
        <w:tc>
          <w:tcPr>
            <w:tcW w:type="dxa" w:w="3600"/>
          </w:tcPr>
          <w:p>
            <w:pPr>
              <w:spacing w:after="0" w:before="0" w:line="240" w:lineRule="auto"/>
              <w:jc w:val="left"/>
            </w:pPr>
            <w:r>
              <w:t>₹4,00,000</w:t>
            </w:r>
          </w:p>
        </w:tc>
        <w:tc>
          <w:tcPr>
            <w:tcW w:type="dxa" w:w="3600"/>
          </w:tcPr>
          <w:p>
            <w:pPr>
              <w:spacing w:after="0" w:before="0" w:line="240" w:lineRule="auto"/>
              <w:jc w:val="left"/>
            </w:pPr>
            <w:r>
              <w:t>₹1,50,000</w:t>
            </w:r>
          </w:p>
        </w:tc>
      </w:tr>
      <w:tr>
        <w:tc>
          <w:tcPr>
            <w:tcW w:type="dxa" w:w="3600"/>
          </w:tcPr>
          <w:p>
            <w:pPr>
              <w:spacing w:after="0" w:before="0" w:line="240" w:lineRule="auto"/>
              <w:jc w:val="left"/>
            </w:pPr>
            <w:r>
              <w:t>Upgrade and migration</w:t>
            </w:r>
          </w:p>
        </w:tc>
        <w:tc>
          <w:tcPr>
            <w:tcW w:type="dxa" w:w="3600"/>
          </w:tcPr>
          <w:p>
            <w:pPr>
              <w:spacing w:after="0" w:before="0" w:line="240" w:lineRule="auto"/>
              <w:jc w:val="left"/>
            </w:pPr>
            <w:r>
              <w:t>₹2,50,000</w:t>
            </w:r>
          </w:p>
        </w:tc>
        <w:tc>
          <w:tcPr>
            <w:tcW w:type="dxa" w:w="3600"/>
          </w:tcPr>
          <w:p>
            <w:pPr>
              <w:spacing w:after="0" w:before="0" w:line="240" w:lineRule="auto"/>
              <w:jc w:val="left"/>
            </w:pPr>
            <w:r>
              <w:t>₹1,00,000</w:t>
            </w:r>
          </w:p>
        </w:tc>
      </w:tr>
      <w:tr>
        <w:tc>
          <w:tcPr>
            <w:tcW w:type="dxa" w:w="3600"/>
          </w:tcPr>
          <w:p>
            <w:pPr>
              <w:spacing w:after="0" w:before="0" w:line="240" w:lineRule="auto"/>
              <w:jc w:val="left"/>
            </w:pPr>
            <w:r>
              <w:t>Total illustrative TCO</w:t>
            </w:r>
          </w:p>
        </w:tc>
        <w:tc>
          <w:tcPr>
            <w:tcW w:type="dxa" w:w="3600"/>
          </w:tcPr>
          <w:p>
            <w:pPr>
              <w:spacing w:after="0" w:before="0" w:line="240" w:lineRule="auto"/>
              <w:jc w:val="left"/>
            </w:pPr>
            <w:r>
              <w:t>₹21,00,000</w:t>
            </w:r>
          </w:p>
        </w:tc>
        <w:tc>
          <w:tcPr>
            <w:tcW w:type="dxa" w:w="3600"/>
          </w:tcPr>
          <w:p>
            <w:pPr>
              <w:spacing w:after="0" w:before="0" w:line="240" w:lineRule="auto"/>
              <w:jc w:val="left"/>
            </w:pPr>
            <w:r>
              <w:t>₹16,70,000</w:t>
            </w:r>
          </w:p>
        </w:tc>
      </w:tr>
    </w:tbl>
    <w:p/>
    <w:p>
      <w:r>
        <w:t>In this example, System B costs ₹2,00,000 more to purchase but has a lower estimated ten-year TCO.</w:t>
      </w:r>
    </w:p>
    <w:p>
      <w:r>
        <w:t>The example is illustrative, not a market quotation. Actual values should be supported by supplier bids, plant downtime data, maintenance history, and documented assumptions.</w:t>
      </w:r>
    </w:p>
    <w:p>
      <w:pPr>
        <w:pStyle w:val="Heading3"/>
      </w:pPr>
      <w:r>
        <w:t>5.2 Downtime cost</w:t>
      </w:r>
    </w:p>
    <w:p>
      <w:r>
        <w:t>For production equipment, downtime may be more expensive than the failed component.</w:t>
      </w:r>
    </w:p>
    <w:p>
      <w:r>
        <w:t>A simplified estimate is:</w:t>
      </w:r>
    </w:p>
    <w:p>
      <w:pPr>
        <w:spacing w:before="120" w:after="160"/>
        <w:jc w:val="center"/>
      </w:pPr>
      <m:oMathPara>
        <m:oMath>
          <m:sSub>
            <m:e>
              <m:r>
                <m:t>C</m:t>
              </m:r>
            </m:e>
            <m:sub>
              <m:r>
                <m:t>D</m:t>
              </m:r>
            </m:sub>
          </m:sSub>
          <m:r>
            <m:t>=</m:t>
          </m:r>
          <m:sSub>
            <m:e>
              <m:r>
                <m:t>H</m:t>
              </m:r>
            </m:e>
            <m:sub>
              <m:r>
                <m:t>D</m:t>
              </m:r>
            </m:sub>
          </m:sSub>
          <m:r>
            <m:t>×</m:t>
          </m:r>
          <m:sSub>
            <m:e>
              <m:r>
                <m:t>C</m:t>
              </m:r>
            </m:e>
            <m:sub>
              <m:r>
                <m:t>H</m:t>
              </m:r>
            </m:sub>
          </m:sSub>
        </m:oMath>
      </m:oMathPara>
    </w:p>
    <w:p>
      <w:r>
        <w:t>Where:</w:t>
      </w:r>
    </w:p>
    <w:p>
      <w:pPr>
        <w:pStyle w:val="ListBullet"/>
      </w:pPr>
      <m:oMath>
        <m:sSub>
          <m:e>
            <m:r>
              <m:t>C</m:t>
            </m:r>
          </m:e>
          <m:sub>
            <m:r>
              <m:t>D</m:t>
            </m:r>
          </m:sub>
        </m:sSub>
      </m:oMath>
      <w:r>
        <w:t xml:space="preserve"> = downtime cost.</w:t>
      </w:r>
    </w:p>
    <w:p>
      <w:pPr>
        <w:pStyle w:val="ListBullet"/>
      </w:pPr>
      <m:oMath>
        <m:sSub>
          <m:e>
            <m:r>
              <m:t>H</m:t>
            </m:r>
          </m:e>
          <m:sub>
            <m:r>
              <m:t>D</m:t>
            </m:r>
          </m:sub>
        </m:sSub>
      </m:oMath>
      <w:r>
        <w:t xml:space="preserve"> = downtime hours attributable to the event.</w:t>
      </w:r>
    </w:p>
    <w:p>
      <w:pPr>
        <w:pStyle w:val="ListBullet"/>
      </w:pPr>
      <m:oMath>
        <m:sSub>
          <m:e>
            <m:r>
              <m:t>C</m:t>
            </m:r>
          </m:e>
          <m:sub>
            <m:r>
              <m:t>H</m:t>
            </m:r>
          </m:sub>
        </m:sSub>
      </m:oMath>
      <w:r>
        <w:t xml:space="preserve"> = estimated cost per downtime hour.</w:t>
      </w:r>
    </w:p>
    <w:p>
      <w:r>
        <w:t>The hourly impact may include lost contribution, idle labor, recovery scrap, delayed production, and additional logistics. Use a plant-approved calculation method and avoid counting the same loss more than once.</w:t>
      </w:r>
    </w:p>
    <w:p>
      <w:r>
        <w:t>For example, if an avoidable failure creates four hours of downtime at an estimated ₹50,000 per hour, the modeled impact is ₹2,00,000.</w:t>
      </w:r>
    </w:p>
    <w:p>
      <w:r>
        <w:t>This does not mean every stoppage produces the full theoretical loss. Production buffers, available capacity, shift schedules, and recovery options affect the actual impact.</w:t>
      </w:r>
    </w:p>
    <w:p>
      <w:pPr>
        <w:pStyle w:val="Heading2"/>
      </w:pPr>
      <w:r>
        <w:t>6. Service life versus support life</w:t>
      </w:r>
    </w:p>
    <w:p>
      <w:r>
        <w:t>These terms describe different things and should not be treated as interchangeable.</w:t>
      </w:r>
    </w:p>
    <w:p>
      <w:r>
        <w:t>Service life is the period during which equipment is expected to perform its intended function under specified conditions and maintenance practices.</w:t>
      </w:r>
    </w:p>
    <w:p>
      <w:r>
        <w:t>Product support life is the period during which the manufacturer provides defined forms of support, which may include technical assistance, firmware updates, repair services, or replacement products.</w:t>
      </w:r>
    </w:p>
    <w:p>
      <w:r>
        <w:t>Availability of spare parts is the period during which required replacement components can actually be obtained through the manufacturer or an approved supply channel.</w:t>
      </w:r>
    </w:p>
    <w:p>
      <w:r>
        <w:t>Software support life concerns the availability of supported software versions, patches, compatibility information, and engineering tools.</w:t>
      </w:r>
    </w:p>
    <w:p>
      <w:r>
        <w:t>A controller may remain physically operational after the manufacturer ends product support. However, this can create problems with repair, cybersecurity, compatibility, and replacement planning.</w:t>
      </w:r>
    </w:p>
    <w:p>
      <w:r>
        <w:t>For every critical item, distinguish between the expected operating life and the manufacturer's documented support commitments.</w:t>
      </w:r>
    </w:p>
    <w:p>
      <w:pPr>
        <w:pStyle w:val="Heading2"/>
      </w:pPr>
      <w:r>
        <w:t>7. Product lifecycle and obsolescence</w:t>
      </w:r>
    </w:p>
    <w:p>
      <w:r>
        <w:t>Industrial products commonly pass through lifecycle stages such as:</w:t>
      </w:r>
    </w:p>
    <w:p>
      <w:pPr>
        <w:shd w:val="clear" w:color="auto" w:fill="F4F4F4"/>
        <w:spacing w:before="0" w:after="0" w:line="240" w:lineRule="auto"/>
        <w:ind w:left="216" w:right="216"/>
        <w:jc w:val="left"/>
      </w:pPr>
      <w:r>
        <w:rPr>
          <w:rFonts w:ascii="Consolas" w:hAnsi="Consolas"/>
          <w:color w:val="202020"/>
          <w:sz w:val="18"/>
        </w:rPr>
        <w:t>New Product Introduction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Active Production and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Mature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 Discontinuation Announcement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Last-Time-Buy Period, If Offered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of Manufacturing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Reduced or Ended Repair and Support</w:t>
      </w:r>
    </w:p>
    <w:p/>
    <w:p>
      <w:r>
        <w:t>Actual terminology and stages vary by manufacturer. Some products have successor models, while others require migration to a different product family.</w:t>
      </w:r>
    </w:p>
    <w:p>
      <w:pPr>
        <w:pStyle w:val="Heading3"/>
      </w:pPr>
      <w:r>
        <w:t>7.1 Obsolescence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Procurement implication</w:t>
            </w:r>
          </w:p>
        </w:tc>
      </w:tr>
      <w:tr>
        <w:tc>
          <w:tcPr>
            <w:tcW w:type="dxa" w:w="3600"/>
          </w:tcPr>
          <w:p>
            <w:pPr>
              <w:spacing w:after="0" w:before="0" w:line="240" w:lineRule="auto"/>
              <w:jc w:val="left"/>
            </w:pPr>
            <w:r>
              <w:t>Active</w:t>
            </w:r>
          </w:p>
        </w:tc>
        <w:tc>
          <w:tcPr>
            <w:tcW w:type="dxa" w:w="3600"/>
          </w:tcPr>
          <w:p>
            <w:pPr>
              <w:spacing w:after="0" w:before="0" w:line="240" w:lineRule="auto"/>
              <w:jc w:val="left"/>
            </w:pPr>
            <w:r>
              <w:t>Product is currently supported and supplied</w:t>
            </w:r>
          </w:p>
        </w:tc>
        <w:tc>
          <w:tcPr>
            <w:tcW w:type="dxa" w:w="3600"/>
          </w:tcPr>
          <w:p>
            <w:pPr>
              <w:spacing w:after="0" w:before="0" w:line="240" w:lineRule="auto"/>
              <w:jc w:val="left"/>
            </w:pPr>
            <w:r>
              <w:t>Verify expected support horizon</w:t>
            </w:r>
          </w:p>
        </w:tc>
      </w:tr>
      <w:tr>
        <w:tc>
          <w:tcPr>
            <w:tcW w:type="dxa" w:w="3600"/>
          </w:tcPr>
          <w:p>
            <w:pPr>
              <w:spacing w:after="0" w:before="0" w:line="240" w:lineRule="auto"/>
              <w:jc w:val="left"/>
            </w:pPr>
            <w:r>
              <w:t>Mature</w:t>
            </w:r>
          </w:p>
        </w:tc>
        <w:tc>
          <w:tcPr>
            <w:tcW w:type="dxa" w:w="3600"/>
          </w:tcPr>
          <w:p>
            <w:pPr>
              <w:spacing w:after="0" w:before="0" w:line="240" w:lineRule="auto"/>
              <w:jc w:val="left"/>
            </w:pPr>
            <w:r>
              <w:t>Product remains available but may be approaching transition</w:t>
            </w:r>
          </w:p>
        </w:tc>
        <w:tc>
          <w:tcPr>
            <w:tcW w:type="dxa" w:w="3600"/>
          </w:tcPr>
          <w:p>
            <w:pPr>
              <w:spacing w:after="0" w:before="0" w:line="240" w:lineRule="auto"/>
              <w:jc w:val="left"/>
            </w:pPr>
            <w:r>
              <w:t>Check lifecycle announcements</w:t>
            </w:r>
          </w:p>
        </w:tc>
      </w:tr>
      <w:tr>
        <w:tc>
          <w:tcPr>
            <w:tcW w:type="dxa" w:w="3600"/>
          </w:tcPr>
          <w:p>
            <w:pPr>
              <w:spacing w:after="0" w:before="0" w:line="240" w:lineRule="auto"/>
              <w:jc w:val="left"/>
            </w:pPr>
            <w:r>
              <w:t>Discontinued</w:t>
            </w:r>
          </w:p>
        </w:tc>
        <w:tc>
          <w:tcPr>
            <w:tcW w:type="dxa" w:w="3600"/>
          </w:tcPr>
          <w:p>
            <w:pPr>
              <w:spacing w:after="0" w:before="0" w:line="240" w:lineRule="auto"/>
              <w:jc w:val="left"/>
            </w:pPr>
            <w:r>
              <w:t>New production has ended or is ending</w:t>
            </w:r>
          </w:p>
        </w:tc>
        <w:tc>
          <w:tcPr>
            <w:tcW w:type="dxa" w:w="3600"/>
          </w:tcPr>
          <w:p>
            <w:pPr>
              <w:spacing w:after="0" w:before="0" w:line="240" w:lineRule="auto"/>
              <w:jc w:val="left"/>
            </w:pPr>
            <w:r>
              <w:t>Confirm authorized stock and support</w:t>
            </w:r>
          </w:p>
        </w:tc>
      </w:tr>
      <w:tr>
        <w:tc>
          <w:tcPr>
            <w:tcW w:type="dxa" w:w="3600"/>
          </w:tcPr>
          <w:p>
            <w:pPr>
              <w:spacing w:after="0" w:before="0" w:line="240" w:lineRule="auto"/>
              <w:jc w:val="left"/>
            </w:pPr>
            <w:r>
              <w:t>Unsupported</w:t>
            </w:r>
          </w:p>
        </w:tc>
        <w:tc>
          <w:tcPr>
            <w:tcW w:type="dxa" w:w="3600"/>
          </w:tcPr>
          <w:p>
            <w:pPr>
              <w:spacing w:after="0" w:before="0" w:line="240" w:lineRule="auto"/>
              <w:jc w:val="left"/>
            </w:pPr>
            <w:r>
              <w:t>Defined support has ended</w:t>
            </w:r>
          </w:p>
        </w:tc>
        <w:tc>
          <w:tcPr>
            <w:tcW w:type="dxa" w:w="3600"/>
          </w:tcPr>
          <w:p>
            <w:pPr>
              <w:spacing w:after="0" w:before="0" w:line="240" w:lineRule="auto"/>
              <w:jc w:val="left"/>
            </w:pPr>
            <w:r>
              <w:t>Assess replacement or migration risk</w:t>
            </w:r>
          </w:p>
        </w:tc>
      </w:tr>
      <w:tr>
        <w:tc>
          <w:tcPr>
            <w:tcW w:type="dxa" w:w="3600"/>
          </w:tcPr>
          <w:p>
            <w:pPr>
              <w:spacing w:after="0" w:before="0" w:line="240" w:lineRule="auto"/>
              <w:jc w:val="left"/>
            </w:pPr>
            <w:r>
              <w:t>Unknown status</w:t>
            </w:r>
          </w:p>
        </w:tc>
        <w:tc>
          <w:tcPr>
            <w:tcW w:type="dxa" w:w="3600"/>
          </w:tcPr>
          <w:p>
            <w:pPr>
              <w:spacing w:after="0" w:before="0" w:line="240" w:lineRule="auto"/>
              <w:jc w:val="left"/>
            </w:pPr>
            <w:r>
              <w:t>Lifecycle information is unavailable</w:t>
            </w:r>
          </w:p>
        </w:tc>
        <w:tc>
          <w:tcPr>
            <w:tcW w:type="dxa" w:w="3600"/>
          </w:tcPr>
          <w:p>
            <w:pPr>
              <w:spacing w:after="0" w:before="0" w:line="240" w:lineRule="auto"/>
              <w:jc w:val="left"/>
            </w:pPr>
            <w:r>
              <w:t>Obtain written manufacturer clarification</w:t>
            </w:r>
          </w:p>
        </w:tc>
      </w:tr>
    </w:tbl>
    <w:p/>
    <w:p>
      <w:r>
        <w:t>Do not infer lifecycle status from a product's age or online availability alone. Verify the exact catalog number and current manufacturer notice.</w:t>
      </w:r>
    </w:p>
    <w:p>
      <w:pPr>
        <w:pStyle w:val="Heading3"/>
      </w:pPr>
      <w:r>
        <w:t>7.2 Obsolescence risks in automation</w:t>
      </w:r>
    </w:p>
    <w:p>
      <w:r>
        <w:t>Examples include:</w:t>
      </w:r>
    </w:p>
    <w:p>
      <w:pPr>
        <w:pStyle w:val="ListBullet"/>
      </w:pPr>
      <w:r>
        <w:t>PLC CPUs and I/O modules.</w:t>
      </w:r>
    </w:p>
    <w:p>
      <w:pPr>
        <w:pStyle w:val="ListBullet"/>
      </w:pPr>
      <w:r>
        <w:t>CNC control units.</w:t>
      </w:r>
    </w:p>
    <w:p>
      <w:pPr>
        <w:pStyle w:val="ListBullet"/>
      </w:pPr>
      <w:r>
        <w:t>HMI panels.</w:t>
      </w:r>
    </w:p>
    <w:p>
      <w:pPr>
        <w:pStyle w:val="ListBullet"/>
      </w:pPr>
      <w:r>
        <w:t>Industrial PCs.</w:t>
      </w:r>
    </w:p>
    <w:p>
      <w:pPr>
        <w:pStyle w:val="ListBullet"/>
      </w:pPr>
      <w:r>
        <w:t>VFDs and servo drives.</w:t>
      </w:r>
    </w:p>
    <w:p>
      <w:pPr>
        <w:pStyle w:val="ListBullet"/>
      </w:pPr>
      <w:r>
        <w:t>Communication modules.</w:t>
      </w:r>
    </w:p>
    <w:p>
      <w:pPr>
        <w:pStyle w:val="ListBullet"/>
      </w:pPr>
      <w:r>
        <w:t>Network switches.</w:t>
      </w:r>
    </w:p>
    <w:p>
      <w:pPr>
        <w:pStyle w:val="ListBullet"/>
      </w:pPr>
      <w:r>
        <w:t>Programming cables and interface adapters.</w:t>
      </w:r>
    </w:p>
    <w:p>
      <w:pPr>
        <w:pStyle w:val="ListBullet"/>
      </w:pPr>
      <w:r>
        <w:t>Engineering software and activation systems.</w:t>
      </w:r>
    </w:p>
    <w:p>
      <w:pPr>
        <w:pStyle w:val="ListBullet"/>
      </w:pPr>
      <w:r>
        <w:t>Operating systems and runtime dependencies.</w:t>
      </w:r>
    </w:p>
    <w:p>
      <w:pPr>
        <w:pStyle w:val="ListBullet"/>
      </w:pPr>
      <w:r>
        <w:t>Legacy fieldbus components.</w:t>
      </w:r>
    </w:p>
    <w:p>
      <w:pPr>
        <w:pStyle w:val="ListBullet"/>
      </w:pPr>
      <w:r>
        <w:t>Proprietary electronic assemblies.</w:t>
      </w:r>
    </w:p>
    <w:p>
      <w:r>
        <w:t>Obsolescence can affect more than hardware. A replacement device may be physically compatible but require program conversion, different communication drivers, new software licenses, revised wiring, or revalidation.</w:t>
      </w:r>
    </w:p>
    <w:p>
      <w:pPr>
        <w:pStyle w:val="Heading2"/>
      </w:pPr>
      <w:r>
        <w:t>8. Obsolescence management strategy</w:t>
      </w:r>
    </w:p>
    <w:p>
      <w:r>
        <w:t>A useful strategy combines early detection, risk classification, and planned migration.</w:t>
      </w:r>
    </w:p>
    <w:p>
      <w:pPr>
        <w:tabs>
          <w:tab w:pos="403" w:val="left"/>
        </w:tabs>
        <w:spacing w:after="40" w:line="276" w:lineRule="auto"/>
        <w:ind w:left="403" w:hanging="403"/>
        <w:jc w:val="left"/>
      </w:pPr>
      <w:r>
        <w:rPr>
          <w:color w:val="1A2E4A"/>
        </w:rPr>
        <w:t>1.</w:t>
        <w:tab/>
      </w:r>
      <w:r>
        <w:t>Maintain a controlled asset and installed-base inventory.</w:t>
      </w:r>
    </w:p>
    <w:p>
      <w:pPr>
        <w:tabs>
          <w:tab w:pos="403" w:val="left"/>
        </w:tabs>
        <w:spacing w:after="40" w:line="276" w:lineRule="auto"/>
        <w:ind w:left="403" w:hanging="403"/>
        <w:jc w:val="left"/>
      </w:pPr>
      <w:r>
        <w:rPr>
          <w:color w:val="1A2E4A"/>
        </w:rPr>
        <w:t>2.</w:t>
        <w:tab/>
      </w:r>
      <w:r>
        <w:t>Record exact manufacturer, model, catalog number, firmware, and installation location.</w:t>
      </w:r>
    </w:p>
    <w:p>
      <w:pPr>
        <w:tabs>
          <w:tab w:pos="403" w:val="left"/>
        </w:tabs>
        <w:spacing w:after="40" w:line="276" w:lineRule="auto"/>
        <w:ind w:left="403" w:hanging="403"/>
        <w:jc w:val="left"/>
      </w:pPr>
      <w:r>
        <w:rPr>
          <w:color w:val="1A2E4A"/>
        </w:rPr>
        <w:t>3.</w:t>
        <w:tab/>
      </w:r>
      <w:r>
        <w:t>Track lifecycle notifications and manufacturer support status.</w:t>
      </w:r>
    </w:p>
    <w:p>
      <w:pPr>
        <w:tabs>
          <w:tab w:pos="403" w:val="left"/>
        </w:tabs>
        <w:spacing w:after="40" w:line="276" w:lineRule="auto"/>
        <w:ind w:left="403" w:hanging="403"/>
        <w:jc w:val="left"/>
      </w:pPr>
      <w:r>
        <w:rPr>
          <w:color w:val="1A2E4A"/>
        </w:rPr>
        <w:t>4.</w:t>
        <w:tab/>
      </w:r>
      <w:r>
        <w:t>Identify critical assets and single-source dependencies.</w:t>
      </w:r>
    </w:p>
    <w:p>
      <w:pPr>
        <w:tabs>
          <w:tab w:pos="403" w:val="left"/>
        </w:tabs>
        <w:spacing w:after="40" w:line="276" w:lineRule="auto"/>
        <w:ind w:left="403" w:hanging="403"/>
        <w:jc w:val="left"/>
      </w:pPr>
      <w:r>
        <w:rPr>
          <w:color w:val="1A2E4A"/>
        </w:rPr>
        <w:t>5.</w:t>
        <w:tab/>
      </w:r>
      <w:r>
        <w:t>Evaluate approved successor products.</w:t>
      </w:r>
    </w:p>
    <w:p>
      <w:pPr>
        <w:tabs>
          <w:tab w:pos="403" w:val="left"/>
        </w:tabs>
        <w:spacing w:after="40" w:line="276" w:lineRule="auto"/>
        <w:ind w:left="403" w:hanging="403"/>
        <w:jc w:val="left"/>
      </w:pPr>
      <w:r>
        <w:rPr>
          <w:color w:val="1A2E4A"/>
        </w:rPr>
        <w:t>6.</w:t>
        <w:tab/>
      </w:r>
      <w:r>
        <w:t>Verify electrical, mechanical, communication, and software compatibility.</w:t>
      </w:r>
    </w:p>
    <w:p>
      <w:pPr>
        <w:tabs>
          <w:tab w:pos="403" w:val="left"/>
        </w:tabs>
        <w:spacing w:after="40" w:line="276" w:lineRule="auto"/>
        <w:ind w:left="403" w:hanging="403"/>
        <w:jc w:val="left"/>
      </w:pPr>
      <w:r>
        <w:rPr>
          <w:color w:val="1A2E4A"/>
        </w:rPr>
        <w:t>7.</w:t>
        <w:tab/>
      </w:r>
      <w:r>
        <w:t>Assess engineering effort and validation requirements.</w:t>
      </w:r>
    </w:p>
    <w:p>
      <w:pPr>
        <w:tabs>
          <w:tab w:pos="403" w:val="left"/>
        </w:tabs>
        <w:spacing w:after="40" w:line="276" w:lineRule="auto"/>
        <w:ind w:left="403" w:hanging="403"/>
        <w:jc w:val="left"/>
      </w:pPr>
      <w:r>
        <w:rPr>
          <w:color w:val="1A2E4A"/>
        </w:rPr>
        <w:t>8.</w:t>
        <w:tab/>
      </w:r>
      <w:r>
        <w:t>Determine whether strategic spare stock is justified.</w:t>
      </w:r>
    </w:p>
    <w:p>
      <w:pPr>
        <w:tabs>
          <w:tab w:pos="403" w:val="left"/>
        </w:tabs>
        <w:spacing w:after="40" w:line="276" w:lineRule="auto"/>
        <w:ind w:left="403" w:hanging="403"/>
        <w:jc w:val="left"/>
      </w:pPr>
      <w:r>
        <w:rPr>
          <w:color w:val="1A2E4A"/>
        </w:rPr>
        <w:t>9.</w:t>
        <w:tab/>
      </w:r>
      <w:r>
        <w:t>Plan migration before support loss creates an emergency.</w:t>
      </w:r>
    </w:p>
    <w:p>
      <w:pPr>
        <w:tabs>
          <w:tab w:pos="403" w:val="left"/>
        </w:tabs>
        <w:spacing w:after="40" w:line="276" w:lineRule="auto"/>
        <w:ind w:left="403" w:hanging="403"/>
        <w:jc w:val="left"/>
      </w:pPr>
      <w:r>
        <w:rPr>
          <w:color w:val="1A2E4A"/>
        </w:rPr>
        <w:t>10.</w:t>
        <w:tab/>
      </w:r>
      <w:r>
        <w:t>Update drawings, programs, configuration records, and maintenance instructions after replacement.</w:t>
      </w:r>
    </w:p>
    <w:p>
      <w:r>
        <w:t>A lifecycle register should identify who monitors each critical product family and how often its status is reviewed.</w:t>
      </w:r>
    </w:p>
    <w:p>
      <w:pPr>
        <w:pStyle w:val="Heading2"/>
      </w:pPr>
      <w:r>
        <w:t>9. Hardware compatibility during replacement</w:t>
      </w:r>
    </w:p>
    <w:p>
      <w:r>
        <w:t>A successor product is not necessarily a direct replacement.</w:t>
      </w:r>
    </w:p>
    <w:p>
      <w:r>
        <w:t>Verify the following before approving substitution:</w:t>
      </w:r>
    </w:p>
    <w:p>
      <w:pPr>
        <w:pStyle w:val="ListBullet"/>
      </w:pPr>
      <w:r>
        <w:t>Supply voltage and power requirements.</w:t>
      </w:r>
    </w:p>
    <w:p>
      <w:pPr>
        <w:pStyle w:val="ListBullet"/>
      </w:pPr>
      <w:r>
        <w:t>Dimensions, mounting, and panel cutout.</w:t>
      </w:r>
    </w:p>
    <w:p>
      <w:pPr>
        <w:pStyle w:val="ListBullet"/>
      </w:pPr>
      <w:r>
        <w:t>Terminal arrangement and connector pinout.</w:t>
      </w:r>
    </w:p>
    <w:p>
      <w:pPr>
        <w:pStyle w:val="ListBullet"/>
      </w:pPr>
      <w:r>
        <w:t>Input and output characteristics.</w:t>
      </w:r>
    </w:p>
    <w:p>
      <w:pPr>
        <w:pStyle w:val="ListBullet"/>
      </w:pPr>
      <w:r>
        <w:t>Electrical isolation and protection.</w:t>
      </w:r>
    </w:p>
    <w:p>
      <w:pPr>
        <w:pStyle w:val="ListBullet"/>
      </w:pPr>
      <w:r>
        <w:t>Communication protocol and supported services.</w:t>
      </w:r>
    </w:p>
    <w:p>
      <w:pPr>
        <w:pStyle w:val="ListBullet"/>
      </w:pPr>
      <w:r>
        <w:t>Network configuration.</w:t>
      </w:r>
    </w:p>
    <w:p>
      <w:pPr>
        <w:pStyle w:val="ListBullet"/>
      </w:pPr>
      <w:r>
        <w:t>Firmware and software compatibility.</w:t>
      </w:r>
    </w:p>
    <w:p>
      <w:pPr>
        <w:pStyle w:val="ListBullet"/>
      </w:pPr>
      <w:r>
        <w:t>Program conversion requirements.</w:t>
      </w:r>
    </w:p>
    <w:p>
      <w:pPr>
        <w:pStyle w:val="ListBullet"/>
      </w:pPr>
      <w:r>
        <w:t>Safety approvals and certifications.</w:t>
      </w:r>
    </w:p>
    <w:p>
      <w:pPr>
        <w:pStyle w:val="ListBullet"/>
      </w:pPr>
      <w:r>
        <w:t>Environmental ratings.</w:t>
      </w:r>
    </w:p>
    <w:p>
      <w:pPr>
        <w:pStyle w:val="ListBullet"/>
      </w:pPr>
      <w:r>
        <w:t>Thermal and cabinet requirements.</w:t>
      </w:r>
    </w:p>
    <w:p>
      <w:pPr>
        <w:pStyle w:val="ListBullet"/>
      </w:pPr>
      <w:r>
        <w:t>Commissioning and validation effort.</w:t>
      </w:r>
    </w:p>
    <w:p>
      <w:r>
        <w:t>For example, replacing an older PLC CPU with a newer model may require a firmware-compatible engineering environment, modified communication settings, updated I/O configuration, or program conversion.</w:t>
      </w:r>
    </w:p>
    <w:p>
      <w:r>
        <w:t>The replacement should be verified against the complete system, not just the CPU datasheet.</w:t>
      </w:r>
    </w:p>
    <w:p>
      <w:pPr>
        <w:pStyle w:val="Heading2"/>
      </w:pPr>
      <w:r>
        <w:t>10. Software and firmware lifecycle</w:t>
      </w:r>
    </w:p>
    <w:p>
      <w:r>
        <w:t>Software dependencies are a major lifecycle risk in industrial automation.</w:t>
      </w:r>
    </w:p>
    <w:p>
      <w:r>
        <w:t>Evaluate:</w:t>
      </w:r>
    </w:p>
    <w:p>
      <w:pPr>
        <w:pStyle w:val="ListBullet"/>
      </w:pPr>
      <w:r>
        <w:t>Engineering software availability.</w:t>
      </w:r>
    </w:p>
    <w:p>
      <w:pPr>
        <w:pStyle w:val="ListBullet"/>
      </w:pPr>
      <w:r>
        <w:t>License type, ownership, renewal, and transferability.</w:t>
      </w:r>
    </w:p>
    <w:p>
      <w:pPr>
        <w:pStyle w:val="ListBullet"/>
      </w:pPr>
      <w:r>
        <w:t>Supported operating systems.</w:t>
      </w:r>
    </w:p>
    <w:p>
      <w:pPr>
        <w:pStyle w:val="ListBullet"/>
      </w:pPr>
      <w:r>
        <w:t>Firmware compatibility.</w:t>
      </w:r>
    </w:p>
    <w:p>
      <w:pPr>
        <w:pStyle w:val="ListBullet"/>
      </w:pPr>
      <w:r>
        <w:t>Runtime licenses.</w:t>
      </w:r>
    </w:p>
    <w:p>
      <w:pPr>
        <w:pStyle w:val="ListBullet"/>
      </w:pPr>
      <w:r>
        <w:t>Driver and communication-library support.</w:t>
      </w:r>
    </w:p>
    <w:p>
      <w:pPr>
        <w:pStyle w:val="ListBullet"/>
      </w:pPr>
      <w:r>
        <w:t>Program conversion tools.</w:t>
      </w:r>
    </w:p>
    <w:p>
      <w:pPr>
        <w:pStyle w:val="ListBullet"/>
      </w:pPr>
      <w:r>
        <w:t>Version-control capability.</w:t>
      </w:r>
    </w:p>
    <w:p>
      <w:pPr>
        <w:pStyle w:val="ListBullet"/>
      </w:pPr>
      <w:r>
        <w:t>Backup and restoration requirements.</w:t>
      </w:r>
    </w:p>
    <w:p>
      <w:pPr>
        <w:pStyle w:val="ListBullet"/>
      </w:pPr>
      <w:r>
        <w:t>Security patch availability.</w:t>
      </w:r>
    </w:p>
    <w:p>
      <w:pPr>
        <w:pStyle w:val="ListBullet"/>
      </w:pPr>
      <w:r>
        <w:t>Offline installation capability.</w:t>
      </w:r>
    </w:p>
    <w:p>
      <w:pPr>
        <w:pStyle w:val="ListBullet"/>
      </w:pPr>
      <w:r>
        <w:t>License recovery after PC failure.</w:t>
      </w:r>
    </w:p>
    <w:p>
      <w:pPr>
        <w:pStyle w:val="ListBullet"/>
      </w:pPr>
      <w:r>
        <w:t>Access to historical project files.</w:t>
      </w:r>
    </w:p>
    <w:p>
      <w:r>
        <w:t>A machine may continue operating even when its programming software is no longer supported. The greater risk appears when a replacement CPU, PC, or HMI is required and the original project cannot be edited or restored.</w:t>
      </w:r>
    </w:p>
    <w:p>
      <w:r>
        <w:t>For critical systems, retain verified source projects, required software installers where licensing permits, version records, activation information managed securely, and restoration instructions.</w:t>
      </w:r>
    </w:p>
    <w:p>
      <w:r>
        <w:t>Do not assume that a backup is usable merely because a file exists. Test restoration using an appropriate controlled environment.</w:t>
      </w:r>
    </w:p>
    <w:p>
      <w:pPr>
        <w:pStyle w:val="Heading2"/>
      </w:pPr>
      <w:r>
        <w:t>11. Maintenance and repairability</w:t>
      </w:r>
    </w:p>
    <w:p>
      <w:r>
        <w:t>Lifecycle suitability depends partly on whether the plant can diagnose and repair equipment efficiently.</w:t>
      </w:r>
    </w:p>
    <w:p>
      <w:r>
        <w:t>Compare:</w:t>
      </w:r>
    </w:p>
    <w:p>
      <w:pPr>
        <w:pStyle w:val="ListBullet"/>
      </w:pPr>
      <w:r>
        <w:t>Availability of diagnostic information.</w:t>
      </w:r>
    </w:p>
    <w:p>
      <w:pPr>
        <w:pStyle w:val="ListBullet"/>
      </w:pPr>
      <w:r>
        <w:t>Replaceable module design.</w:t>
      </w:r>
    </w:p>
    <w:p>
      <w:pPr>
        <w:pStyle w:val="ListBullet"/>
      </w:pPr>
      <w:r>
        <w:t>Access to test points.</w:t>
      </w:r>
    </w:p>
    <w:p>
      <w:pPr>
        <w:pStyle w:val="ListBullet"/>
      </w:pPr>
      <w:r>
        <w:t>Availability of schematics.</w:t>
      </w:r>
    </w:p>
    <w:p>
      <w:pPr>
        <w:pStyle w:val="ListBullet"/>
      </w:pPr>
      <w:r>
        <w:t>Repair manuals and service procedures.</w:t>
      </w:r>
    </w:p>
    <w:p>
      <w:pPr>
        <w:pStyle w:val="ListBullet"/>
      </w:pPr>
      <w:r>
        <w:t>Built-in fault logs.</w:t>
      </w:r>
    </w:p>
    <w:p>
      <w:pPr>
        <w:pStyle w:val="ListBullet"/>
      </w:pPr>
      <w:r>
        <w:t>Component-level repair feasibility.</w:t>
      </w:r>
    </w:p>
    <w:p>
      <w:pPr>
        <w:pStyle w:val="ListBullet"/>
      </w:pPr>
      <w:r>
        <w:t>Manufacturer repair support.</w:t>
      </w:r>
    </w:p>
    <w:p>
      <w:pPr>
        <w:pStyle w:val="ListBullet"/>
      </w:pPr>
      <w:r>
        <w:t>Local service capability.</w:t>
      </w:r>
    </w:p>
    <w:p>
      <w:pPr>
        <w:pStyle w:val="ListBullet"/>
      </w:pPr>
      <w:r>
        <w:t>Availability of calibrated test equipment.</w:t>
      </w:r>
    </w:p>
    <w:p>
      <w:pPr>
        <w:pStyle w:val="ListBullet"/>
      </w:pPr>
      <w:r>
        <w:t>Required specialist training.</w:t>
      </w:r>
    </w:p>
    <w:p>
      <w:pPr>
        <w:pStyle w:val="ListBullet"/>
      </w:pPr>
      <w:r>
        <w:t>Mean time to repair.</w:t>
      </w:r>
    </w:p>
    <w:p>
      <w:pPr>
        <w:pStyle w:val="ListBullet"/>
      </w:pPr>
      <w:r>
        <w:t>Availability of approved replacement modules.</w:t>
      </w:r>
    </w:p>
    <w:p>
      <w:r>
        <w:t>A modular design may allow a failed I/O module to be replaced quickly. A highly integrated unit may require replacement of the entire assembly.</w:t>
      </w:r>
    </w:p>
    <w:p>
      <w:r>
        <w:t>Neither approach is inherently superior in every situation. Compare the failure probability, repair time, replacement cost, diagnostic capability, and consequences of downtime.</w:t>
      </w:r>
    </w:p>
    <w:p>
      <w:pPr>
        <w:pStyle w:val="Heading2"/>
      </w:pPr>
      <w:r>
        <w:t>12. Vendor and technical support</w:t>
      </w:r>
    </w:p>
    <w:p>
      <w:r>
        <w:t>Evaluate the supplier's ability to support the equipment throughout its intended service life.</w:t>
      </w:r>
    </w:p>
    <w:p>
      <w:r>
        <w:t>Important questions include:</w:t>
      </w:r>
    </w:p>
    <w:p>
      <w:pPr>
        <w:pStyle w:val="ListBullet"/>
      </w:pPr>
      <w:r>
        <w:t>Is the manufacturer or an authorized service provider available locally?</w:t>
      </w:r>
    </w:p>
    <w:p>
      <w:pPr>
        <w:pStyle w:val="ListBullet"/>
      </w:pPr>
      <w:r>
        <w:t>What support channels are available?</w:t>
      </w:r>
    </w:p>
    <w:p>
      <w:pPr>
        <w:pStyle w:val="ListBullet"/>
      </w:pPr>
      <w:r>
        <w:t>What are the response and escalation commitments?</w:t>
      </w:r>
    </w:p>
    <w:p>
      <w:pPr>
        <w:pStyle w:val="ListBullet"/>
      </w:pPr>
      <w:r>
        <w:t>Are repair services available within the country?</w:t>
      </w:r>
    </w:p>
    <w:p>
      <w:pPr>
        <w:pStyle w:val="ListBullet"/>
      </w:pPr>
      <w:r>
        <w:t>Are critical spares held locally or imported?</w:t>
      </w:r>
    </w:p>
    <w:p>
      <w:pPr>
        <w:pStyle w:val="ListBullet"/>
      </w:pPr>
      <w:r>
        <w:t>What is the expected repair turnaround time?</w:t>
      </w:r>
    </w:p>
    <w:p>
      <w:pPr>
        <w:pStyle w:val="ListBullet"/>
      </w:pPr>
      <w:r>
        <w:t>Is support available for legacy firmware?</w:t>
      </w:r>
    </w:p>
    <w:p>
      <w:pPr>
        <w:pStyle w:val="ListBullet"/>
      </w:pPr>
      <w:r>
        <w:t>Can engineering projects be recovered if a vendor relationship ends?</w:t>
      </w:r>
    </w:p>
    <w:p>
      <w:pPr>
        <w:pStyle w:val="ListBullet"/>
      </w:pPr>
      <w:r>
        <w:t>Are software licenses transferable?</w:t>
      </w:r>
    </w:p>
    <w:p>
      <w:pPr>
        <w:pStyle w:val="ListBullet"/>
      </w:pPr>
      <w:r>
        <w:t>Are service commitments contractual or merely indicative?</w:t>
      </w:r>
    </w:p>
    <w:p>
      <w:pPr>
        <w:pStyle w:val="ListBullet"/>
      </w:pPr>
      <w:r>
        <w:t>What happens if the supplier ceases business or discontinues the product?</w:t>
      </w:r>
    </w:p>
    <w:p>
      <w:r>
        <w:t>Distinguish between a supplier's stated response time and its guaranteed resolution time. A four-hour response does not mean a failed controller will be repaired within four hours.</w:t>
      </w:r>
    </w:p>
    <w:p>
      <w:pPr>
        <w:pStyle w:val="Heading2"/>
      </w:pPr>
      <w:r>
        <w:t>13. Spare-parts lifecycle planning</w:t>
      </w:r>
    </w:p>
    <w:p>
      <w:r>
        <w:t>Lifecycle evaluation must consider the replacement path for critical components.</w:t>
      </w:r>
    </w:p>
    <w:p>
      <w:r>
        <w:t>For each item, assess:</w:t>
      </w:r>
    </w:p>
    <w:p>
      <w:pPr>
        <w:pStyle w:val="ListBullet"/>
      </w:pPr>
      <w:r>
        <w:t>Failure consequence.</w:t>
      </w:r>
    </w:p>
    <w:p>
      <w:pPr>
        <w:pStyle w:val="ListBullet"/>
      </w:pPr>
      <w:r>
        <w:t>Installed quantity.</w:t>
      </w:r>
    </w:p>
    <w:p>
      <w:pPr>
        <w:pStyle w:val="ListBullet"/>
      </w:pPr>
      <w:r>
        <w:t>Failure history.</w:t>
      </w:r>
    </w:p>
    <w:p>
      <w:pPr>
        <w:pStyle w:val="ListBullet"/>
      </w:pPr>
      <w:r>
        <w:t>Procurement lead time.</w:t>
      </w:r>
    </w:p>
    <w:p>
      <w:pPr>
        <w:pStyle w:val="ListBullet"/>
      </w:pPr>
      <w:r>
        <w:t>Local stock availability.</w:t>
      </w:r>
    </w:p>
    <w:p>
      <w:pPr>
        <w:pStyle w:val="ListBullet"/>
      </w:pPr>
      <w:r>
        <w:t>Manufacturer lifecycle status.</w:t>
      </w:r>
    </w:p>
    <w:p>
      <w:pPr>
        <w:pStyle w:val="ListBullet"/>
      </w:pPr>
      <w:r>
        <w:t>Repair turnaround time.</w:t>
      </w:r>
    </w:p>
    <w:p>
      <w:pPr>
        <w:pStyle w:val="ListBullet"/>
      </w:pPr>
      <w:r>
        <w:t>Approved substitutes.</w:t>
      </w:r>
    </w:p>
    <w:p>
      <w:pPr>
        <w:pStyle w:val="ListBullet"/>
      </w:pPr>
      <w:r>
        <w:t>Compatibility with installed hardware and software.</w:t>
      </w:r>
    </w:p>
    <w:p>
      <w:pPr>
        <w:pStyle w:val="ListBullet"/>
      </w:pPr>
      <w:r>
        <w:t>Storage and shelf-life requirements.</w:t>
      </w:r>
    </w:p>
    <w:p>
      <w:pPr>
        <w:pStyle w:val="ListBullet"/>
      </w:pPr>
      <w:r>
        <w:t>Strategic stock quantity.</w:t>
      </w:r>
    </w:p>
    <w:p>
      <w:pPr>
        <w:pStyle w:val="ListBullet"/>
      </w:pPr>
      <w:r>
        <w:t>Consequences of common-cause failures.</w:t>
      </w:r>
    </w:p>
    <w:p>
      <w:r>
        <w:t>For a discontinued module, possible actions include purchasing authorized remaining stock, validating a successor product, maintaining a tested spare assembly, or planning a controlled migration.</w:t>
      </w:r>
    </w:p>
    <w:p>
      <w:r>
        <w:t>Do not purchase large quantities of obsolete stock without considering storage conditions, authenticity, remaining support, failure modes, and whether the items can actually be installed and commissioned.</w:t>
      </w:r>
    </w:p>
    <w:p>
      <w:pPr>
        <w:pStyle w:val="Heading2"/>
      </w:pPr>
      <w:r>
        <w:t>14. Reliability and maintenance cost over the lifecycle</w:t>
      </w:r>
    </w:p>
    <w:p>
      <w:r>
        <w:t>Maintenance cost includes both planned work and unplanned repair.</w:t>
      </w:r>
    </w:p>
    <w:p>
      <w:r>
        <w:t>A simplified annual maintenance estimate can be written as:</w:t>
      </w:r>
    </w:p>
    <w:p>
      <w:pPr>
        <w:spacing w:before="120" w:after="160"/>
        <w:jc w:val="center"/>
      </w:pPr>
      <m:oMathPara>
        <m:oMath>
          <m:sSub>
            <m:e>
              <m:r>
                <m:t>C</m:t>
              </m:r>
            </m:e>
            <m:sub>
              <m:r>
                <m:t>M</m:t>
              </m:r>
            </m:sub>
          </m:sSub>
          <m:r>
            <m:t>=</m:t>
          </m:r>
          <m:sSub>
            <m:e>
              <m:r>
                <m:t>C</m:t>
              </m:r>
            </m:e>
            <m:sub>
              <m:r>
                <m:t>P</m:t>
              </m:r>
            </m:sub>
          </m:sSub>
          <m:r>
            <m:t>+</m:t>
          </m:r>
          <m:sSub>
            <m:e>
              <m:r>
                <m:t>C</m:t>
              </m:r>
            </m:e>
            <m:sub>
              <m:r>
                <m:t>R</m:t>
              </m:r>
            </m:sub>
          </m:sSub>
          <m:r>
            <m:t>+</m:t>
          </m:r>
          <m:sSub>
            <m:e>
              <m:r>
                <m:t>C</m:t>
              </m:r>
            </m:e>
            <m:sub>
              <m:r>
                <m:t>S</m:t>
              </m:r>
            </m:sub>
          </m:sSub>
        </m:oMath>
      </m:oMathPara>
    </w:p>
    <w:p>
      <w:r>
        <w:t>Where:</w:t>
      </w:r>
    </w:p>
    <w:p>
      <w:pPr>
        <w:pStyle w:val="ListBullet"/>
      </w:pPr>
      <m:oMath>
        <m:sSub>
          <m:e>
            <m:r>
              <m:t>C</m:t>
            </m:r>
          </m:e>
          <m:sub>
            <m:r>
              <m:t>M</m:t>
            </m:r>
          </m:sub>
        </m:sSub>
      </m:oMath>
      <w:r>
        <w:t xml:space="preserve"> = total maintenance cost.</w:t>
      </w:r>
    </w:p>
    <w:p>
      <w:pPr>
        <w:pStyle w:val="ListBullet"/>
      </w:pPr>
      <m:oMath>
        <m:sSub>
          <m:e>
            <m:r>
              <m:t>C</m:t>
            </m:r>
          </m:e>
          <m:sub>
            <m:r>
              <m:t>P</m:t>
            </m:r>
          </m:sub>
        </m:sSub>
      </m:oMath>
      <w:r>
        <w:t xml:space="preserve"> = preventive and predictive maintenance cost.</w:t>
      </w:r>
    </w:p>
    <w:p>
      <w:pPr>
        <w:pStyle w:val="ListBullet"/>
      </w:pPr>
      <m:oMath>
        <m:sSub>
          <m:e>
            <m:r>
              <m:t>C</m:t>
            </m:r>
          </m:e>
          <m:sub>
            <m:r>
              <m:t>R</m:t>
            </m:r>
          </m:sub>
        </m:sSub>
      </m:oMath>
      <w:r>
        <w:t xml:space="preserve"> = repair labor and repair-service cost.</w:t>
      </w:r>
    </w:p>
    <w:p>
      <w:pPr>
        <w:pStyle w:val="ListBullet"/>
      </w:pPr>
      <m:oMath>
        <m:sSub>
          <m:e>
            <m:r>
              <m:t>C</m:t>
            </m:r>
          </m:e>
          <m:sub>
            <m:r>
              <m:t>S</m:t>
            </m:r>
          </m:sub>
        </m:sSub>
      </m:oMath>
      <w:r>
        <w:t xml:space="preserve"> = maintenance spares and consumables cost.</w:t>
      </w:r>
    </w:p>
    <w:p>
      <w:r>
        <w:t>This simplified model may need additional categories for condition-monitoring systems, calibration, specialist contracts, and maintenance tools.</w:t>
      </w:r>
    </w:p>
    <w:p>
      <w:r>
        <w:t>Compare suppliers using realistic operating assumptions and plant history wherever possible. Vendor estimates should state their assumed duty cycle, environment, maintenance practices, and included service scope.</w:t>
      </w:r>
    </w:p>
    <w:p>
      <w:pPr>
        <w:pStyle w:val="Heading2"/>
      </w:pPr>
      <w:r>
        <w:t>15. Environmental conditions and lifecycle</w:t>
      </w:r>
    </w:p>
    <w:p>
      <w:r>
        <w:t>Equipment life depends on its actual operating environment.</w:t>
      </w:r>
    </w:p>
    <w:p>
      <w:r>
        <w:t>Assess:</w:t>
      </w:r>
    </w:p>
    <w:p>
      <w:pPr>
        <w:pStyle w:val="ListBullet"/>
      </w:pPr>
      <w:r>
        <w:t>Ambient temperature.</w:t>
      </w:r>
    </w:p>
    <w:p>
      <w:pPr>
        <w:pStyle w:val="ListBullet"/>
      </w:pPr>
      <w:r>
        <w:t>Humidity and condensation.</w:t>
      </w:r>
    </w:p>
    <w:p>
      <w:pPr>
        <w:pStyle w:val="ListBullet"/>
      </w:pPr>
      <w:r>
        <w:t>Dust and conductive contamination.</w:t>
      </w:r>
    </w:p>
    <w:p>
      <w:pPr>
        <w:pStyle w:val="ListBullet"/>
      </w:pPr>
      <w:r>
        <w:t>Vibration and shock.</w:t>
      </w:r>
    </w:p>
    <w:p>
      <w:pPr>
        <w:pStyle w:val="ListBullet"/>
      </w:pPr>
      <w:r>
        <w:t>Corrosive atmosphere.</w:t>
      </w:r>
    </w:p>
    <w:p>
      <w:pPr>
        <w:pStyle w:val="ListBullet"/>
      </w:pPr>
      <w:r>
        <w:t>Electrical noise.</w:t>
      </w:r>
    </w:p>
    <w:p>
      <w:pPr>
        <w:pStyle w:val="ListBullet"/>
      </w:pPr>
      <w:r>
        <w:t>Supply disturbances.</w:t>
      </w:r>
    </w:p>
    <w:p>
      <w:pPr>
        <w:pStyle w:val="ListBullet"/>
      </w:pPr>
      <w:r>
        <w:t>Cooling and ventilation.</w:t>
      </w:r>
    </w:p>
    <w:p>
      <w:pPr>
        <w:pStyle w:val="ListBullet"/>
      </w:pPr>
      <w:r>
        <w:t>Cabinet temperature.</w:t>
      </w:r>
    </w:p>
    <w:p>
      <w:pPr>
        <w:pStyle w:val="ListBullet"/>
      </w:pPr>
      <w:r>
        <w:t>Ingress protection.</w:t>
      </w:r>
    </w:p>
    <w:p>
      <w:pPr>
        <w:pStyle w:val="ListBullet"/>
      </w:pPr>
      <w:r>
        <w:t>Mechanical loading.</w:t>
      </w:r>
    </w:p>
    <w:p>
      <w:pPr>
        <w:pStyle w:val="ListBullet"/>
      </w:pPr>
      <w:r>
        <w:t>Duty cycle.</w:t>
      </w:r>
    </w:p>
    <w:p>
      <w:pPr>
        <w:pStyle w:val="ListBullet"/>
      </w:pPr>
      <w:r>
        <w:t>Cleaning methods.</w:t>
      </w:r>
    </w:p>
    <w:p>
      <w:pPr>
        <w:pStyle w:val="ListBullet"/>
      </w:pPr>
      <w:r>
        <w:t>Maintenance access.</w:t>
      </w:r>
    </w:p>
    <w:p>
      <w:r>
        <w:t>A product's expected service life under laboratory conditions may not represent its life in a hot, dusty industrial cabinet.</w:t>
      </w:r>
    </w:p>
    <w:p>
      <w:r>
        <w:t>The architecture and equipment selection should account for environmental conditions and the maintenance needed to preserve them.</w:t>
      </w:r>
    </w:p>
    <w:p>
      <w:pPr>
        <w:pStyle w:val="Heading2"/>
      </w:pPr>
      <w:r>
        <w:t>16. Cybersecurity lifecycle</w:t>
      </w:r>
    </w:p>
    <w:p>
      <w:r>
        <w:t>Cybersecurity obligations continue after commissioning.</w:t>
      </w:r>
    </w:p>
    <w:p>
      <w:r>
        <w:t>Evaluate:</w:t>
      </w:r>
    </w:p>
    <w:p>
      <w:pPr>
        <w:pStyle w:val="ListBullet"/>
      </w:pPr>
      <w:r>
        <w:t>Security-update availability.</w:t>
      </w:r>
    </w:p>
    <w:p>
      <w:pPr>
        <w:pStyle w:val="ListBullet"/>
      </w:pPr>
      <w:r>
        <w:t>Vulnerability notification process.</w:t>
      </w:r>
    </w:p>
    <w:p>
      <w:pPr>
        <w:pStyle w:val="ListBullet"/>
      </w:pPr>
      <w:r>
        <w:t>Firmware update procedures.</w:t>
      </w:r>
    </w:p>
    <w:p>
      <w:pPr>
        <w:pStyle w:val="ListBullet"/>
      </w:pPr>
      <w:r>
        <w:t>Supported operating systems.</w:t>
      </w:r>
    </w:p>
    <w:p>
      <w:pPr>
        <w:pStyle w:val="ListBullet"/>
      </w:pPr>
      <w:r>
        <w:t>Secure configuration options.</w:t>
      </w:r>
    </w:p>
    <w:p>
      <w:pPr>
        <w:pStyle w:val="ListBullet"/>
      </w:pPr>
      <w:r>
        <w:t>Authentication and account management.</w:t>
      </w:r>
    </w:p>
    <w:p>
      <w:pPr>
        <w:pStyle w:val="ListBullet"/>
      </w:pPr>
      <w:r>
        <w:t>Remote-access controls.</w:t>
      </w:r>
    </w:p>
    <w:p>
      <w:pPr>
        <w:pStyle w:val="ListBullet"/>
      </w:pPr>
      <w:r>
        <w:t>Network segmentation.</w:t>
      </w:r>
    </w:p>
    <w:p>
      <w:pPr>
        <w:pStyle w:val="ListBullet"/>
      </w:pPr>
      <w:r>
        <w:t>Backup integrity.</w:t>
      </w:r>
    </w:p>
    <w:p>
      <w:pPr>
        <w:pStyle w:val="ListBullet"/>
      </w:pPr>
      <w:r>
        <w:t>Recovery after compromise.</w:t>
      </w:r>
    </w:p>
    <w:p>
      <w:pPr>
        <w:pStyle w:val="ListBullet"/>
      </w:pPr>
      <w:r>
        <w:t>End-of-support security risks.</w:t>
      </w:r>
    </w:p>
    <w:p>
      <w:r>
        <w:t>An unsupported industrial PC or network device may continue to function but become increasingly difficult to protect as vulnerabilities accumulate.</w:t>
      </w:r>
    </w:p>
    <w:p>
      <w:r>
        <w:t>A lifecycle plan should define whether unsupported devices will be isolated, monitored, upgraded, replaced, or retained under a formally assessed risk treatment. Network isolation alone is not proof that the risk is eliminated.</w:t>
      </w:r>
    </w:p>
    <w:p>
      <w:pPr>
        <w:pStyle w:val="Heading2"/>
      </w:pPr>
      <w:r>
        <w:t>17. Upgrade and migration planning</w:t>
      </w:r>
    </w:p>
    <w:p>
      <w:r>
        <w:t>Migration is the planned transition from an existing product, system, or technology to a replacement.</w:t>
      </w:r>
    </w:p>
    <w:p>
      <w:r>
        <w:t>Examples include:</w:t>
      </w:r>
    </w:p>
    <w:p>
      <w:pPr>
        <w:pStyle w:val="ListBullet"/>
      </w:pPr>
      <w:r>
        <w:t>PLC CPU migration.</w:t>
      </w:r>
    </w:p>
    <w:p>
      <w:pPr>
        <w:pStyle w:val="ListBullet"/>
      </w:pPr>
      <w:r>
        <w:t>Replacement of remote I/O.</w:t>
      </w:r>
    </w:p>
    <w:p>
      <w:pPr>
        <w:pStyle w:val="ListBullet"/>
      </w:pPr>
      <w:r>
        <w:t>HMI platform migration.</w:t>
      </w:r>
    </w:p>
    <w:p>
      <w:pPr>
        <w:pStyle w:val="ListBullet"/>
      </w:pPr>
      <w:r>
        <w:t>SCADA version upgrade.</w:t>
      </w:r>
    </w:p>
    <w:p>
      <w:pPr>
        <w:pStyle w:val="ListBullet"/>
      </w:pPr>
      <w:r>
        <w:t>CNC control replacement.</w:t>
      </w:r>
    </w:p>
    <w:p>
      <w:pPr>
        <w:pStyle w:val="ListBullet"/>
      </w:pPr>
      <w:r>
        <w:t>VFD replacement.</w:t>
      </w:r>
    </w:p>
    <w:p>
      <w:pPr>
        <w:pStyle w:val="ListBullet"/>
      </w:pPr>
      <w:r>
        <w:t>Industrial PC and operating-system migration.</w:t>
      </w:r>
    </w:p>
    <w:p>
      <w:pPr>
        <w:pStyle w:val="ListBullet"/>
      </w:pPr>
      <w:r>
        <w:t>Fieldbus-to-Ethernet transition.</w:t>
      </w:r>
    </w:p>
    <w:p>
      <w:pPr>
        <w:pStyle w:val="ListBullet"/>
      </w:pPr>
      <w:r>
        <w:t>Historian or database migration.</w:t>
      </w:r>
    </w:p>
    <w:p>
      <w:r>
        <w:t>A migration plan should include:</w:t>
      </w:r>
    </w:p>
    <w:p>
      <w:pPr>
        <w:tabs>
          <w:tab w:pos="403" w:val="left"/>
        </w:tabs>
        <w:spacing w:after="40" w:line="276" w:lineRule="auto"/>
        <w:ind w:left="403" w:hanging="403"/>
        <w:jc w:val="left"/>
      </w:pPr>
      <w:r>
        <w:rPr>
          <w:color w:val="1A2E4A"/>
        </w:rPr>
        <w:t>1.</w:t>
        <w:tab/>
      </w:r>
      <w:r>
        <w:t>Existing asset inventory.</w:t>
      </w:r>
    </w:p>
    <w:p>
      <w:pPr>
        <w:tabs>
          <w:tab w:pos="403" w:val="left"/>
        </w:tabs>
        <w:spacing w:after="40" w:line="276" w:lineRule="auto"/>
        <w:ind w:left="403" w:hanging="403"/>
        <w:jc w:val="left"/>
      </w:pPr>
      <w:r>
        <w:rPr>
          <w:color w:val="1A2E4A"/>
        </w:rPr>
        <w:t>2.</w:t>
        <w:tab/>
      </w:r>
      <w:r>
        <w:t>Current drawings and software backups.</w:t>
      </w:r>
    </w:p>
    <w:p>
      <w:pPr>
        <w:tabs>
          <w:tab w:pos="403" w:val="left"/>
        </w:tabs>
        <w:spacing w:after="40" w:line="276" w:lineRule="auto"/>
        <w:ind w:left="403" w:hanging="403"/>
        <w:jc w:val="left"/>
      </w:pPr>
      <w:r>
        <w:rPr>
          <w:color w:val="1A2E4A"/>
        </w:rPr>
        <w:t>3.</w:t>
        <w:tab/>
      </w:r>
      <w:r>
        <w:t>Dependency and compatibility analysis.</w:t>
      </w:r>
    </w:p>
    <w:p>
      <w:pPr>
        <w:tabs>
          <w:tab w:pos="403" w:val="left"/>
        </w:tabs>
        <w:spacing w:after="40" w:line="276" w:lineRule="auto"/>
        <w:ind w:left="403" w:hanging="403"/>
        <w:jc w:val="left"/>
      </w:pPr>
      <w:r>
        <w:rPr>
          <w:color w:val="1A2E4A"/>
        </w:rPr>
        <w:t>4.</w:t>
        <w:tab/>
      </w:r>
      <w:r>
        <w:t>Replacement hardware and software selection.</w:t>
      </w:r>
    </w:p>
    <w:p>
      <w:pPr>
        <w:tabs>
          <w:tab w:pos="403" w:val="left"/>
        </w:tabs>
        <w:spacing w:after="40" w:line="276" w:lineRule="auto"/>
        <w:ind w:left="403" w:hanging="403"/>
        <w:jc w:val="left"/>
      </w:pPr>
      <w:r>
        <w:rPr>
          <w:color w:val="1A2E4A"/>
        </w:rPr>
        <w:t>5.</w:t>
        <w:tab/>
      </w:r>
      <w:r>
        <w:t>Program conversion and modification.</w:t>
      </w:r>
    </w:p>
    <w:p>
      <w:pPr>
        <w:tabs>
          <w:tab w:pos="403" w:val="left"/>
        </w:tabs>
        <w:spacing w:after="40" w:line="276" w:lineRule="auto"/>
        <w:ind w:left="403" w:hanging="403"/>
        <w:jc w:val="left"/>
      </w:pPr>
      <w:r>
        <w:rPr>
          <w:color w:val="1A2E4A"/>
        </w:rPr>
        <w:t>6.</w:t>
        <w:tab/>
      </w:r>
      <w:r>
        <w:t>Interface and network changes.</w:t>
      </w:r>
    </w:p>
    <w:p>
      <w:pPr>
        <w:tabs>
          <w:tab w:pos="403" w:val="left"/>
        </w:tabs>
        <w:spacing w:after="40" w:line="276" w:lineRule="auto"/>
        <w:ind w:left="403" w:hanging="403"/>
        <w:jc w:val="left"/>
      </w:pPr>
      <w:r>
        <w:rPr>
          <w:color w:val="1A2E4A"/>
        </w:rPr>
        <w:t>7.</w:t>
        <w:tab/>
      </w:r>
      <w:r>
        <w:t>Test environment and validation plan.</w:t>
      </w:r>
    </w:p>
    <w:p>
      <w:pPr>
        <w:tabs>
          <w:tab w:pos="403" w:val="left"/>
        </w:tabs>
        <w:spacing w:after="40" w:line="276" w:lineRule="auto"/>
        <w:ind w:left="403" w:hanging="403"/>
        <w:jc w:val="left"/>
      </w:pPr>
      <w:r>
        <w:rPr>
          <w:color w:val="1A2E4A"/>
        </w:rPr>
        <w:t>8.</w:t>
        <w:tab/>
      </w:r>
      <w:r>
        <w:t>Shutdown and cutover plan.</w:t>
      </w:r>
    </w:p>
    <w:p>
      <w:pPr>
        <w:tabs>
          <w:tab w:pos="403" w:val="left"/>
        </w:tabs>
        <w:spacing w:after="40" w:line="276" w:lineRule="auto"/>
        <w:ind w:left="403" w:hanging="403"/>
        <w:jc w:val="left"/>
      </w:pPr>
      <w:r>
        <w:rPr>
          <w:color w:val="1A2E4A"/>
        </w:rPr>
        <w:t>9.</w:t>
        <w:tab/>
      </w:r>
      <w:r>
        <w:t>Rollback strategy.</w:t>
      </w:r>
    </w:p>
    <w:p>
      <w:pPr>
        <w:tabs>
          <w:tab w:pos="403" w:val="left"/>
        </w:tabs>
        <w:spacing w:after="40" w:line="276" w:lineRule="auto"/>
        <w:ind w:left="403" w:hanging="403"/>
        <w:jc w:val="left"/>
      </w:pPr>
      <w:r>
        <w:rPr>
          <w:color w:val="1A2E4A"/>
        </w:rPr>
        <w:t>10.</w:t>
        <w:tab/>
      </w:r>
      <w:r>
        <w:t>Production restart and acceptance.</w:t>
      </w:r>
    </w:p>
    <w:p>
      <w:pPr>
        <w:tabs>
          <w:tab w:pos="403" w:val="left"/>
        </w:tabs>
        <w:spacing w:after="40" w:line="276" w:lineRule="auto"/>
        <w:ind w:left="403" w:hanging="403"/>
        <w:jc w:val="left"/>
      </w:pPr>
      <w:r>
        <w:rPr>
          <w:color w:val="1A2E4A"/>
        </w:rPr>
        <w:t>11.</w:t>
        <w:tab/>
      </w:r>
      <w:r>
        <w:t>Updated documentation and training.</w:t>
      </w:r>
    </w:p>
    <w:p>
      <w:r>
        <w:t>Migration is not complete when the new hardware powers up. Required machine functions, safety functions, communication interfaces, data collection, alarms, and recovery behavior must be tested as applicable.</w:t>
      </w:r>
    </w:p>
    <w:p>
      <w:pPr>
        <w:pStyle w:val="Heading2"/>
      </w:pPr>
      <w:r>
        <w:t>18. Backward compatibility and interoperability</w:t>
      </w:r>
    </w:p>
    <w:p>
      <w:r>
        <w:t>Backward compatibility describes the extent to which a newer product or software version can work with an older system or project.</w:t>
      </w:r>
    </w:p>
    <w:p>
      <w:r>
        <w:t>Evaluate compatibility at several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layer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Physical</w:t>
            </w:r>
          </w:p>
        </w:tc>
        <w:tc>
          <w:tcPr>
            <w:tcW w:type="dxa" w:w="5400"/>
          </w:tcPr>
          <w:p>
            <w:pPr>
              <w:spacing w:after="0" w:before="0" w:line="240" w:lineRule="auto"/>
              <w:jc w:val="left"/>
            </w:pPr>
            <w:r>
              <w:t>Mounting, connectors, dimensions, and wiring</w:t>
            </w:r>
          </w:p>
        </w:tc>
      </w:tr>
      <w:tr>
        <w:tc>
          <w:tcPr>
            <w:tcW w:type="dxa" w:w="5400"/>
          </w:tcPr>
          <w:p>
            <w:pPr>
              <w:spacing w:after="0" w:before="0" w:line="240" w:lineRule="auto"/>
              <w:jc w:val="left"/>
            </w:pPr>
            <w:r>
              <w:t>Electrical</w:t>
            </w:r>
          </w:p>
        </w:tc>
        <w:tc>
          <w:tcPr>
            <w:tcW w:type="dxa" w:w="5400"/>
          </w:tcPr>
          <w:p>
            <w:pPr>
              <w:spacing w:after="0" w:before="0" w:line="240" w:lineRule="auto"/>
              <w:jc w:val="left"/>
            </w:pPr>
            <w:r>
              <w:t>Voltage, current, signal characteristics, and isolation</w:t>
            </w:r>
          </w:p>
        </w:tc>
      </w:tr>
      <w:tr>
        <w:tc>
          <w:tcPr>
            <w:tcW w:type="dxa" w:w="5400"/>
          </w:tcPr>
          <w:p>
            <w:pPr>
              <w:spacing w:after="0" w:before="0" w:line="240" w:lineRule="auto"/>
              <w:jc w:val="left"/>
            </w:pPr>
            <w:r>
              <w:t>Protocol</w:t>
            </w:r>
          </w:p>
        </w:tc>
        <w:tc>
          <w:tcPr>
            <w:tcW w:type="dxa" w:w="5400"/>
          </w:tcPr>
          <w:p>
            <w:pPr>
              <w:spacing w:after="0" w:before="0" w:line="240" w:lineRule="auto"/>
              <w:jc w:val="left"/>
            </w:pPr>
            <w:r>
              <w:t>Supported protocols, services, and versions</w:t>
            </w:r>
          </w:p>
        </w:tc>
      </w:tr>
      <w:tr>
        <w:tc>
          <w:tcPr>
            <w:tcW w:type="dxa" w:w="5400"/>
          </w:tcPr>
          <w:p>
            <w:pPr>
              <w:spacing w:after="0" w:before="0" w:line="240" w:lineRule="auto"/>
              <w:jc w:val="left"/>
            </w:pPr>
            <w:r>
              <w:t>Data</w:t>
            </w:r>
          </w:p>
        </w:tc>
        <w:tc>
          <w:tcPr>
            <w:tcW w:type="dxa" w:w="5400"/>
          </w:tcPr>
          <w:p>
            <w:pPr>
              <w:spacing w:after="0" w:before="0" w:line="240" w:lineRule="auto"/>
              <w:jc w:val="left"/>
            </w:pPr>
            <w:r>
              <w:t>Data types, layouts, addressing, and scaling</w:t>
            </w:r>
          </w:p>
        </w:tc>
      </w:tr>
      <w:tr>
        <w:tc>
          <w:tcPr>
            <w:tcW w:type="dxa" w:w="5400"/>
          </w:tcPr>
          <w:p>
            <w:pPr>
              <w:spacing w:after="0" w:before="0" w:line="240" w:lineRule="auto"/>
              <w:jc w:val="left"/>
            </w:pPr>
            <w:r>
              <w:t>Software</w:t>
            </w:r>
          </w:p>
        </w:tc>
        <w:tc>
          <w:tcPr>
            <w:tcW w:type="dxa" w:w="5400"/>
          </w:tcPr>
          <w:p>
            <w:pPr>
              <w:spacing w:after="0" w:before="0" w:line="240" w:lineRule="auto"/>
              <w:jc w:val="left"/>
            </w:pPr>
            <w:r>
              <w:t>Project conversion, libraries, and engineering tools</w:t>
            </w:r>
          </w:p>
        </w:tc>
      </w:tr>
      <w:tr>
        <w:tc>
          <w:tcPr>
            <w:tcW w:type="dxa" w:w="5400"/>
          </w:tcPr>
          <w:p>
            <w:pPr>
              <w:spacing w:after="0" w:before="0" w:line="240" w:lineRule="auto"/>
              <w:jc w:val="left"/>
            </w:pPr>
            <w:r>
              <w:t>Firmware</w:t>
            </w:r>
          </w:p>
        </w:tc>
        <w:tc>
          <w:tcPr>
            <w:tcW w:type="dxa" w:w="5400"/>
          </w:tcPr>
          <w:p>
            <w:pPr>
              <w:spacing w:after="0" w:before="0" w:line="240" w:lineRule="auto"/>
              <w:jc w:val="left"/>
            </w:pPr>
            <w:r>
              <w:t>Supported versions and dependencies</w:t>
            </w:r>
          </w:p>
        </w:tc>
      </w:tr>
      <w:tr>
        <w:tc>
          <w:tcPr>
            <w:tcW w:type="dxa" w:w="5400"/>
          </w:tcPr>
          <w:p>
            <w:pPr>
              <w:spacing w:after="0" w:before="0" w:line="240" w:lineRule="auto"/>
              <w:jc w:val="left"/>
            </w:pPr>
            <w:r>
              <w:t>Safety</w:t>
            </w:r>
          </w:p>
        </w:tc>
        <w:tc>
          <w:tcPr>
            <w:tcW w:type="dxa" w:w="5400"/>
          </w:tcPr>
          <w:p>
            <w:pPr>
              <w:spacing w:after="0" w:before="0" w:line="240" w:lineRule="auto"/>
              <w:jc w:val="left"/>
            </w:pPr>
            <w:r>
              <w:t>Suitability and required revalidation</w:t>
            </w:r>
          </w:p>
        </w:tc>
      </w:tr>
      <w:tr>
        <w:tc>
          <w:tcPr>
            <w:tcW w:type="dxa" w:w="5400"/>
          </w:tcPr>
          <w:p>
            <w:pPr>
              <w:spacing w:after="0" w:before="0" w:line="240" w:lineRule="auto"/>
              <w:jc w:val="left"/>
            </w:pPr>
            <w:r>
              <w:t>Operational</w:t>
            </w:r>
          </w:p>
        </w:tc>
        <w:tc>
          <w:tcPr>
            <w:tcW w:type="dxa" w:w="5400"/>
          </w:tcPr>
          <w:p>
            <w:pPr>
              <w:spacing w:after="0" w:before="0" w:line="240" w:lineRule="auto"/>
              <w:jc w:val="left"/>
            </w:pPr>
            <w:r>
              <w:t>Sequence behavior, timing, and recovery</w:t>
            </w:r>
          </w:p>
        </w:tc>
      </w:tr>
    </w:tbl>
    <w:p/>
    <w:p>
      <w:r>
        <w:t>A product may support the same communication protocol but still be incompatible because of data-layout differences, firmware requirements, or unsupported functions.</w:t>
      </w:r>
    </w:p>
    <w:p>
      <w:r>
        <w:t>Require written compatibility statements and practical testing where the consequences justify it.</w:t>
      </w:r>
    </w:p>
    <w:p>
      <w:pPr>
        <w:pStyle w:val="Heading2"/>
      </w:pPr>
      <w:r>
        <w:t>19. Lifecycle risk assessment</w:t>
      </w:r>
    </w:p>
    <w:p>
      <w:r>
        <w:t>Lifecycle risks should be recorded in a risk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Possible mitigation</w:t>
            </w:r>
          </w:p>
        </w:tc>
      </w:tr>
      <w:tr>
        <w:tc>
          <w:tcPr>
            <w:tcW w:type="dxa" w:w="3600"/>
          </w:tcPr>
          <w:p>
            <w:pPr>
              <w:spacing w:after="0" w:before="0" w:line="240" w:lineRule="auto"/>
              <w:jc w:val="left"/>
            </w:pPr>
            <w:r>
              <w:t>Product discontinuation</w:t>
            </w:r>
          </w:p>
        </w:tc>
        <w:tc>
          <w:tcPr>
            <w:tcW w:type="dxa" w:w="3600"/>
          </w:tcPr>
          <w:p>
            <w:pPr>
              <w:spacing w:after="0" w:before="0" w:line="240" w:lineRule="auto"/>
              <w:jc w:val="left"/>
            </w:pPr>
            <w:r>
              <w:t>Replacement unavailable</w:t>
            </w:r>
          </w:p>
        </w:tc>
        <w:tc>
          <w:tcPr>
            <w:tcW w:type="dxa" w:w="3600"/>
          </w:tcPr>
          <w:p>
            <w:pPr>
              <w:spacing w:after="0" w:before="0" w:line="240" w:lineRule="auto"/>
              <w:jc w:val="left"/>
            </w:pPr>
            <w:r>
              <w:t>Monitor lifecycle notices and plan migration</w:t>
            </w:r>
          </w:p>
        </w:tc>
      </w:tr>
      <w:tr>
        <w:tc>
          <w:tcPr>
            <w:tcW w:type="dxa" w:w="3600"/>
          </w:tcPr>
          <w:p>
            <w:pPr>
              <w:spacing w:after="0" w:before="0" w:line="240" w:lineRule="auto"/>
              <w:jc w:val="left"/>
            </w:pPr>
            <w:r>
              <w:t>Long import lead time</w:t>
            </w:r>
          </w:p>
        </w:tc>
        <w:tc>
          <w:tcPr>
            <w:tcW w:type="dxa" w:w="3600"/>
          </w:tcPr>
          <w:p>
            <w:pPr>
              <w:spacing w:after="0" w:before="0" w:line="240" w:lineRule="auto"/>
              <w:jc w:val="left"/>
            </w:pPr>
            <w:r>
              <w:t>Extended downtime</w:t>
            </w:r>
          </w:p>
        </w:tc>
        <w:tc>
          <w:tcPr>
            <w:tcW w:type="dxa" w:w="3600"/>
          </w:tcPr>
          <w:p>
            <w:pPr>
              <w:spacing w:after="0" w:before="0" w:line="240" w:lineRule="auto"/>
              <w:jc w:val="left"/>
            </w:pPr>
            <w:r>
              <w:t>Strategic stock or validated alternatives</w:t>
            </w:r>
          </w:p>
        </w:tc>
      </w:tr>
      <w:tr>
        <w:tc>
          <w:tcPr>
            <w:tcW w:type="dxa" w:w="3600"/>
          </w:tcPr>
          <w:p>
            <w:pPr>
              <w:spacing w:after="0" w:before="0" w:line="240" w:lineRule="auto"/>
              <w:jc w:val="left"/>
            </w:pPr>
            <w:r>
              <w:t>Unsupported software</w:t>
            </w:r>
          </w:p>
        </w:tc>
        <w:tc>
          <w:tcPr>
            <w:tcW w:type="dxa" w:w="3600"/>
          </w:tcPr>
          <w:p>
            <w:pPr>
              <w:spacing w:after="0" w:before="0" w:line="240" w:lineRule="auto"/>
              <w:jc w:val="left"/>
            </w:pPr>
            <w:r>
              <w:t>Cannot modify or restore system</w:t>
            </w:r>
          </w:p>
        </w:tc>
        <w:tc>
          <w:tcPr>
            <w:tcW w:type="dxa" w:w="3600"/>
          </w:tcPr>
          <w:p>
            <w:pPr>
              <w:spacing w:after="0" w:before="0" w:line="240" w:lineRule="auto"/>
              <w:jc w:val="left"/>
            </w:pPr>
            <w:r>
              <w:t>Preserve validated projects and plan migration</w:t>
            </w:r>
          </w:p>
        </w:tc>
      </w:tr>
      <w:tr>
        <w:tc>
          <w:tcPr>
            <w:tcW w:type="dxa" w:w="3600"/>
          </w:tcPr>
          <w:p>
            <w:pPr>
              <w:spacing w:after="0" w:before="0" w:line="240" w:lineRule="auto"/>
              <w:jc w:val="left"/>
            </w:pPr>
            <w:r>
              <w:t>Vendor dependency</w:t>
            </w:r>
          </w:p>
        </w:tc>
        <w:tc>
          <w:tcPr>
            <w:tcW w:type="dxa" w:w="3600"/>
          </w:tcPr>
          <w:p>
            <w:pPr>
              <w:spacing w:after="0" w:before="0" w:line="240" w:lineRule="auto"/>
              <w:jc w:val="left"/>
            </w:pPr>
            <w:r>
              <w:t>Delayed repair or costly service</w:t>
            </w:r>
          </w:p>
        </w:tc>
        <w:tc>
          <w:tcPr>
            <w:tcW w:type="dxa" w:w="3600"/>
          </w:tcPr>
          <w:p>
            <w:pPr>
              <w:spacing w:after="0" w:before="0" w:line="240" w:lineRule="auto"/>
              <w:jc w:val="left"/>
            </w:pPr>
            <w:r>
              <w:t>Improve internal capability and document dependencies</w:t>
            </w:r>
          </w:p>
        </w:tc>
      </w:tr>
      <w:tr>
        <w:tc>
          <w:tcPr>
            <w:tcW w:type="dxa" w:w="3600"/>
          </w:tcPr>
          <w:p>
            <w:pPr>
              <w:spacing w:after="0" w:before="0" w:line="240" w:lineRule="auto"/>
              <w:jc w:val="left"/>
            </w:pPr>
            <w:r>
              <w:t>Incompatible successor</w:t>
            </w:r>
          </w:p>
        </w:tc>
        <w:tc>
          <w:tcPr>
            <w:tcW w:type="dxa" w:w="3600"/>
          </w:tcPr>
          <w:p>
            <w:pPr>
              <w:spacing w:after="0" w:before="0" w:line="240" w:lineRule="auto"/>
              <w:jc w:val="left"/>
            </w:pPr>
            <w:r>
              <w:t>Engineering rework</w:t>
            </w:r>
          </w:p>
        </w:tc>
        <w:tc>
          <w:tcPr>
            <w:tcW w:type="dxa" w:w="3600"/>
          </w:tcPr>
          <w:p>
            <w:pPr>
              <w:spacing w:after="0" w:before="0" w:line="240" w:lineRule="auto"/>
              <w:jc w:val="left"/>
            </w:pPr>
            <w:r>
              <w:t>Validate compatibility before procurement</w:t>
            </w:r>
          </w:p>
        </w:tc>
      </w:tr>
      <w:tr>
        <w:tc>
          <w:tcPr>
            <w:tcW w:type="dxa" w:w="3600"/>
          </w:tcPr>
          <w:p>
            <w:pPr>
              <w:spacing w:after="0" w:before="0" w:line="240" w:lineRule="auto"/>
              <w:jc w:val="left"/>
            </w:pPr>
            <w:r>
              <w:t>Cybersecurity support ends</w:t>
            </w:r>
          </w:p>
        </w:tc>
        <w:tc>
          <w:tcPr>
            <w:tcW w:type="dxa" w:w="3600"/>
          </w:tcPr>
          <w:p>
            <w:pPr>
              <w:spacing w:after="0" w:before="0" w:line="240" w:lineRule="auto"/>
              <w:jc w:val="left"/>
            </w:pPr>
            <w:r>
              <w:t>Increased exposure</w:t>
            </w:r>
          </w:p>
        </w:tc>
        <w:tc>
          <w:tcPr>
            <w:tcW w:type="dxa" w:w="3600"/>
          </w:tcPr>
          <w:p>
            <w:pPr>
              <w:spacing w:after="0" w:before="0" w:line="240" w:lineRule="auto"/>
              <w:jc w:val="left"/>
            </w:pPr>
            <w:r>
              <w:t>Upgrade, replace, or formally treat the risk</w:t>
            </w:r>
          </w:p>
        </w:tc>
      </w:tr>
      <w:tr>
        <w:tc>
          <w:tcPr>
            <w:tcW w:type="dxa" w:w="3600"/>
          </w:tcPr>
          <w:p>
            <w:pPr>
              <w:spacing w:after="0" w:before="0" w:line="240" w:lineRule="auto"/>
              <w:jc w:val="left"/>
            </w:pPr>
            <w:r>
              <w:t>Missing source code</w:t>
            </w:r>
          </w:p>
        </w:tc>
        <w:tc>
          <w:tcPr>
            <w:tcW w:type="dxa" w:w="3600"/>
          </w:tcPr>
          <w:p>
            <w:pPr>
              <w:spacing w:after="0" w:before="0" w:line="240" w:lineRule="auto"/>
              <w:jc w:val="left"/>
            </w:pPr>
            <w:r>
              <w:t>Limited recovery and modification</w:t>
            </w:r>
          </w:p>
        </w:tc>
        <w:tc>
          <w:tcPr>
            <w:tcW w:type="dxa" w:w="3600"/>
          </w:tcPr>
          <w:p>
            <w:pPr>
              <w:spacing w:after="0" w:before="0" w:line="240" w:lineRule="auto"/>
              <w:jc w:val="left"/>
            </w:pPr>
            <w:r>
              <w:t>Contractually secure required project files</w:t>
            </w:r>
          </w:p>
        </w:tc>
      </w:tr>
      <w:tr>
        <w:tc>
          <w:tcPr>
            <w:tcW w:type="dxa" w:w="3600"/>
          </w:tcPr>
          <w:p>
            <w:pPr>
              <w:spacing w:after="0" w:before="0" w:line="240" w:lineRule="auto"/>
              <w:jc w:val="left"/>
            </w:pPr>
            <w:r>
              <w:t>Inadequate spare stock</w:t>
            </w:r>
          </w:p>
        </w:tc>
        <w:tc>
          <w:tcPr>
            <w:tcW w:type="dxa" w:w="3600"/>
          </w:tcPr>
          <w:p>
            <w:pPr>
              <w:spacing w:after="0" w:before="0" w:line="240" w:lineRule="auto"/>
              <w:jc w:val="left"/>
            </w:pPr>
            <w:r>
              <w:t>Extended repair time</w:t>
            </w:r>
          </w:p>
        </w:tc>
        <w:tc>
          <w:tcPr>
            <w:tcW w:type="dxa" w:w="3600"/>
          </w:tcPr>
          <w:p>
            <w:pPr>
              <w:spacing w:after="0" w:before="0" w:line="240" w:lineRule="auto"/>
              <w:jc w:val="left"/>
            </w:pPr>
            <w:r>
              <w:t>Risk-based stocking policy</w:t>
            </w:r>
          </w:p>
        </w:tc>
      </w:tr>
      <w:tr>
        <w:tc>
          <w:tcPr>
            <w:tcW w:type="dxa" w:w="3600"/>
          </w:tcPr>
          <w:p>
            <w:pPr>
              <w:spacing w:after="0" w:before="0" w:line="240" w:lineRule="auto"/>
              <w:jc w:val="left"/>
            </w:pPr>
            <w:r>
              <w:t>License loss</w:t>
            </w:r>
          </w:p>
        </w:tc>
        <w:tc>
          <w:tcPr>
            <w:tcW w:type="dxa" w:w="3600"/>
          </w:tcPr>
          <w:p>
            <w:pPr>
              <w:spacing w:after="0" w:before="0" w:line="240" w:lineRule="auto"/>
              <w:jc w:val="left"/>
            </w:pPr>
            <w:r>
              <w:t>Engineering tools unavailable</w:t>
            </w:r>
          </w:p>
        </w:tc>
        <w:tc>
          <w:tcPr>
            <w:tcW w:type="dxa" w:w="3600"/>
          </w:tcPr>
          <w:p>
            <w:pPr>
              <w:spacing w:after="0" w:before="0" w:line="240" w:lineRule="auto"/>
              <w:jc w:val="left"/>
            </w:pPr>
            <w:r>
              <w:t>Securely manage licenses and recovery procedures</w:t>
            </w:r>
          </w:p>
        </w:tc>
      </w:tr>
      <w:tr>
        <w:tc>
          <w:tcPr>
            <w:tcW w:type="dxa" w:w="3600"/>
          </w:tcPr>
          <w:p>
            <w:pPr>
              <w:spacing w:after="0" w:before="0" w:line="240" w:lineRule="auto"/>
              <w:jc w:val="left"/>
            </w:pPr>
            <w:r>
              <w:t>Poor documentation</w:t>
            </w:r>
          </w:p>
        </w:tc>
        <w:tc>
          <w:tcPr>
            <w:tcW w:type="dxa" w:w="3600"/>
          </w:tcPr>
          <w:p>
            <w:pPr>
              <w:spacing w:after="0" w:before="0" w:line="240" w:lineRule="auto"/>
              <w:jc w:val="left"/>
            </w:pPr>
            <w:r>
              <w:t>Longer diagnosis and migration</w:t>
            </w:r>
          </w:p>
        </w:tc>
        <w:tc>
          <w:tcPr>
            <w:tcW w:type="dxa" w:w="3600"/>
          </w:tcPr>
          <w:p>
            <w:pPr>
              <w:spacing w:after="0" w:before="0" w:line="240" w:lineRule="auto"/>
              <w:jc w:val="left"/>
            </w:pPr>
            <w:r>
              <w:t>Require controlled handover deliverables</w:t>
            </w:r>
          </w:p>
        </w:tc>
      </w:tr>
    </w:tbl>
    <w:p/>
    <w:p>
      <w:r>
        <w:t>Each risk should have an owner, likelihood, consequence, mitigation action, target date, and residual-risk assessment.</w:t>
      </w:r>
    </w:p>
    <w:p>
      <w:pPr>
        <w:pStyle w:val="Heading2"/>
      </w:pPr>
      <w:r>
        <w:t>20. Lifecycle evaluation during technical bid assessment</w:t>
      </w:r>
    </w:p>
    <w:p>
      <w:r>
        <w:t>A lifecycle comparison should use evidence rather than unsupported assurances.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Evaluation item</w:t>
            </w:r>
          </w:p>
        </w:tc>
        <w:tc>
          <w:tcPr>
            <w:tcW w:type="dxa" w:w="3600"/>
            <w:shd w:val="clear" w:color="auto" w:fill="EEF2F7"/>
          </w:tcPr>
          <w:p>
            <w:pPr>
              <w:spacing w:after="0" w:before="0" w:line="240" w:lineRule="auto"/>
              <w:jc w:val="left"/>
            </w:pPr>
            <w:r>
              <w:rPr>
                <w:b/>
                <w:color w:val="1A2E4A"/>
              </w:rPr>
              <w:t>Evidence to request</w:t>
            </w:r>
          </w:p>
        </w:tc>
        <w:tc>
          <w:tcPr>
            <w:tcW w:type="dxa" w:w="3600"/>
            <w:shd w:val="clear" w:color="auto" w:fill="EEF2F7"/>
          </w:tcPr>
          <w:p>
            <w:pPr>
              <w:spacing w:after="0" w:before="0" w:line="240" w:lineRule="auto"/>
              <w:jc w:val="left"/>
            </w:pPr>
            <w:r>
              <w:rPr>
                <w:b/>
                <w:color w:val="1A2E4A"/>
              </w:rPr>
              <w:t>Review objective</w:t>
            </w:r>
          </w:p>
        </w:tc>
      </w:tr>
      <w:tr>
        <w:tc>
          <w:tcPr>
            <w:tcW w:type="dxa" w:w="3600"/>
          </w:tcPr>
          <w:p>
            <w:pPr>
              <w:spacing w:after="0" w:before="0" w:line="240" w:lineRule="auto"/>
              <w:jc w:val="left"/>
            </w:pPr>
            <w:r>
              <w:t>Expected service life</w:t>
            </w:r>
          </w:p>
        </w:tc>
        <w:tc>
          <w:tcPr>
            <w:tcW w:type="dxa" w:w="3600"/>
          </w:tcPr>
          <w:p>
            <w:pPr>
              <w:spacing w:after="0" w:before="0" w:line="240" w:lineRule="auto"/>
              <w:jc w:val="left"/>
            </w:pPr>
            <w:r>
              <w:t>Manufacturer documentation and application assumptions</w:t>
            </w:r>
          </w:p>
        </w:tc>
        <w:tc>
          <w:tcPr>
            <w:tcW w:type="dxa" w:w="3600"/>
          </w:tcPr>
          <w:p>
            <w:pPr>
              <w:spacing w:after="0" w:before="0" w:line="240" w:lineRule="auto"/>
              <w:jc w:val="left"/>
            </w:pPr>
            <w:r>
              <w:t>Assess suitability for intended duty</w:t>
            </w:r>
          </w:p>
        </w:tc>
      </w:tr>
      <w:tr>
        <w:tc>
          <w:tcPr>
            <w:tcW w:type="dxa" w:w="3600"/>
          </w:tcPr>
          <w:p>
            <w:pPr>
              <w:spacing w:after="0" w:before="0" w:line="240" w:lineRule="auto"/>
              <w:jc w:val="left"/>
            </w:pPr>
            <w:r>
              <w:t>Product support</w:t>
            </w:r>
          </w:p>
        </w:tc>
        <w:tc>
          <w:tcPr>
            <w:tcW w:type="dxa" w:w="3600"/>
          </w:tcPr>
          <w:p>
            <w:pPr>
              <w:spacing w:after="0" w:before="0" w:line="240" w:lineRule="auto"/>
              <w:jc w:val="left"/>
            </w:pPr>
            <w:r>
              <w:t>Written support commitment</w:t>
            </w:r>
          </w:p>
        </w:tc>
        <w:tc>
          <w:tcPr>
            <w:tcW w:type="dxa" w:w="3600"/>
          </w:tcPr>
          <w:p>
            <w:pPr>
              <w:spacing w:after="0" w:before="0" w:line="240" w:lineRule="auto"/>
              <w:jc w:val="left"/>
            </w:pPr>
            <w:r>
              <w:t>Understand support horizon</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Lifecycle status and notices</w:t>
            </w:r>
          </w:p>
        </w:tc>
        <w:tc>
          <w:tcPr>
            <w:tcW w:type="dxa" w:w="3600"/>
          </w:tcPr>
          <w:p>
            <w:pPr>
              <w:spacing w:after="0" w:before="0" w:line="240" w:lineRule="auto"/>
              <w:jc w:val="left"/>
            </w:pPr>
            <w:r>
              <w:t>Identify near-term replacement risk</w:t>
            </w:r>
          </w:p>
        </w:tc>
      </w:tr>
      <w:tr>
        <w:tc>
          <w:tcPr>
            <w:tcW w:type="dxa" w:w="3600"/>
          </w:tcPr>
          <w:p>
            <w:pPr>
              <w:spacing w:after="0" w:before="0" w:line="240" w:lineRule="auto"/>
              <w:jc w:val="left"/>
            </w:pPr>
            <w:r>
              <w:t>Spares</w:t>
            </w:r>
          </w:p>
        </w:tc>
        <w:tc>
          <w:tcPr>
            <w:tcW w:type="dxa" w:w="3600"/>
          </w:tcPr>
          <w:p>
            <w:pPr>
              <w:spacing w:after="0" w:before="0" w:line="240" w:lineRule="auto"/>
              <w:jc w:val="left"/>
            </w:pPr>
            <w:r>
              <w:t>Availability and lead-time information</w:t>
            </w:r>
          </w:p>
        </w:tc>
        <w:tc>
          <w:tcPr>
            <w:tcW w:type="dxa" w:w="3600"/>
          </w:tcPr>
          <w:p>
            <w:pPr>
              <w:spacing w:after="0" w:before="0" w:line="240" w:lineRule="auto"/>
              <w:jc w:val="left"/>
            </w:pPr>
            <w:r>
              <w:t>Assess recovery capability</w:t>
            </w:r>
          </w:p>
        </w:tc>
      </w:tr>
      <w:tr>
        <w:tc>
          <w:tcPr>
            <w:tcW w:type="dxa" w:w="3600"/>
          </w:tcPr>
          <w:p>
            <w:pPr>
              <w:spacing w:after="0" w:before="0" w:line="240" w:lineRule="auto"/>
              <w:jc w:val="left"/>
            </w:pPr>
            <w:r>
              <w:t>Repair</w:t>
            </w:r>
          </w:p>
        </w:tc>
        <w:tc>
          <w:tcPr>
            <w:tcW w:type="dxa" w:w="3600"/>
          </w:tcPr>
          <w:p>
            <w:pPr>
              <w:spacing w:after="0" w:before="0" w:line="240" w:lineRule="auto"/>
              <w:jc w:val="left"/>
            </w:pPr>
            <w:r>
              <w:t>Repair policy and turnaround assumptions</w:t>
            </w:r>
          </w:p>
        </w:tc>
        <w:tc>
          <w:tcPr>
            <w:tcW w:type="dxa" w:w="3600"/>
          </w:tcPr>
          <w:p>
            <w:pPr>
              <w:spacing w:after="0" w:before="0" w:line="240" w:lineRule="auto"/>
              <w:jc w:val="left"/>
            </w:pPr>
            <w:r>
              <w:t>Estimate downtime exposure</w:t>
            </w:r>
          </w:p>
        </w:tc>
      </w:tr>
      <w:tr>
        <w:tc>
          <w:tcPr>
            <w:tcW w:type="dxa" w:w="3600"/>
          </w:tcPr>
          <w:p>
            <w:pPr>
              <w:spacing w:after="0" w:before="0" w:line="240" w:lineRule="auto"/>
              <w:jc w:val="left"/>
            </w:pPr>
            <w:r>
              <w:t>Software</w:t>
            </w:r>
          </w:p>
        </w:tc>
        <w:tc>
          <w:tcPr>
            <w:tcW w:type="dxa" w:w="3600"/>
          </w:tcPr>
          <w:p>
            <w:pPr>
              <w:spacing w:after="0" w:before="0" w:line="240" w:lineRule="auto"/>
              <w:jc w:val="left"/>
            </w:pPr>
            <w:r>
              <w:t>License and compatibility details</w:t>
            </w:r>
          </w:p>
        </w:tc>
        <w:tc>
          <w:tcPr>
            <w:tcW w:type="dxa" w:w="3600"/>
          </w:tcPr>
          <w:p>
            <w:pPr>
              <w:spacing w:after="0" w:before="0" w:line="240" w:lineRule="auto"/>
              <w:jc w:val="left"/>
            </w:pPr>
            <w:r>
              <w:t>Verify long-term engineering access</w:t>
            </w:r>
          </w:p>
        </w:tc>
      </w:tr>
      <w:tr>
        <w:tc>
          <w:tcPr>
            <w:tcW w:type="dxa" w:w="3600"/>
          </w:tcPr>
          <w:p>
            <w:pPr>
              <w:spacing w:after="0" w:before="0" w:line="240" w:lineRule="auto"/>
              <w:jc w:val="left"/>
            </w:pPr>
            <w:r>
              <w:t>Firmware</w:t>
            </w:r>
          </w:p>
        </w:tc>
        <w:tc>
          <w:tcPr>
            <w:tcW w:type="dxa" w:w="3600"/>
          </w:tcPr>
          <w:p>
            <w:pPr>
              <w:spacing w:after="0" w:before="0" w:line="240" w:lineRule="auto"/>
              <w:jc w:val="left"/>
            </w:pPr>
            <w:r>
              <w:t>Support and update policy</w:t>
            </w:r>
          </w:p>
        </w:tc>
        <w:tc>
          <w:tcPr>
            <w:tcW w:type="dxa" w:w="3600"/>
          </w:tcPr>
          <w:p>
            <w:pPr>
              <w:spacing w:after="0" w:before="0" w:line="240" w:lineRule="auto"/>
              <w:jc w:val="left"/>
            </w:pPr>
            <w:r>
              <w:t>Assess maintenance and security</w:t>
            </w:r>
          </w:p>
        </w:tc>
      </w:tr>
      <w:tr>
        <w:tc>
          <w:tcPr>
            <w:tcW w:type="dxa" w:w="3600"/>
          </w:tcPr>
          <w:p>
            <w:pPr>
              <w:spacing w:after="0" w:before="0" w:line="240" w:lineRule="auto"/>
              <w:jc w:val="left"/>
            </w:pPr>
            <w:r>
              <w:t>Migration</w:t>
            </w:r>
          </w:p>
        </w:tc>
        <w:tc>
          <w:tcPr>
            <w:tcW w:type="dxa" w:w="3600"/>
          </w:tcPr>
          <w:p>
            <w:pPr>
              <w:spacing w:after="0" w:before="0" w:line="240" w:lineRule="auto"/>
              <w:jc w:val="left"/>
            </w:pPr>
            <w:r>
              <w:t>Successor and migration information</w:t>
            </w:r>
          </w:p>
        </w:tc>
        <w:tc>
          <w:tcPr>
            <w:tcW w:type="dxa" w:w="3600"/>
          </w:tcPr>
          <w:p>
            <w:pPr>
              <w:spacing w:after="0" w:before="0" w:line="240" w:lineRule="auto"/>
              <w:jc w:val="left"/>
            </w:pPr>
            <w:r>
              <w:t>Estimate future engineering effort</w:t>
            </w:r>
          </w:p>
        </w:tc>
      </w:tr>
      <w:tr>
        <w:tc>
          <w:tcPr>
            <w:tcW w:type="dxa" w:w="3600"/>
          </w:tcPr>
          <w:p>
            <w:pPr>
              <w:spacing w:after="0" w:before="0" w:line="240" w:lineRule="auto"/>
              <w:jc w:val="left"/>
            </w:pPr>
            <w:r>
              <w:t>Training</w:t>
            </w:r>
          </w:p>
        </w:tc>
        <w:tc>
          <w:tcPr>
            <w:tcW w:type="dxa" w:w="3600"/>
          </w:tcPr>
          <w:p>
            <w:pPr>
              <w:spacing w:after="0" w:before="0" w:line="240" w:lineRule="auto"/>
              <w:jc w:val="left"/>
            </w:pPr>
            <w:r>
              <w:t>Training scope and materials</w:t>
            </w:r>
          </w:p>
        </w:tc>
        <w:tc>
          <w:tcPr>
            <w:tcW w:type="dxa" w:w="3600"/>
          </w:tcPr>
          <w:p>
            <w:pPr>
              <w:spacing w:after="0" w:before="0" w:line="240" w:lineRule="auto"/>
              <w:jc w:val="left"/>
            </w:pPr>
            <w:r>
              <w:t>Assess internal capability</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Deliverable list and ownership</w:t>
            </w:r>
          </w:p>
        </w:tc>
        <w:tc>
          <w:tcPr>
            <w:tcW w:type="dxa" w:w="3600"/>
          </w:tcPr>
          <w:p>
            <w:pPr>
              <w:spacing w:after="0" w:before="0" w:line="240" w:lineRule="auto"/>
              <w:jc w:val="left"/>
            </w:pPr>
            <w:r>
              <w:t>Ensure maintainable handover</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Update and vulnerability-support policy</w:t>
            </w:r>
          </w:p>
        </w:tc>
        <w:tc>
          <w:tcPr>
            <w:tcW w:type="dxa" w:w="3600"/>
          </w:tcPr>
          <w:p>
            <w:pPr>
              <w:spacing w:after="0" w:before="0" w:line="240" w:lineRule="auto"/>
              <w:jc w:val="left"/>
            </w:pPr>
            <w:r>
              <w:t>Assess ongoing security obligations</w:t>
            </w:r>
          </w:p>
        </w:tc>
      </w:tr>
      <w:tr>
        <w:tc>
          <w:tcPr>
            <w:tcW w:type="dxa" w:w="3600"/>
          </w:tcPr>
          <w:p>
            <w:pPr>
              <w:spacing w:after="0" w:before="0" w:line="240" w:lineRule="auto"/>
              <w:jc w:val="left"/>
            </w:pPr>
            <w:r>
              <w:t>End of life</w:t>
            </w:r>
          </w:p>
        </w:tc>
        <w:tc>
          <w:tcPr>
            <w:tcW w:type="dxa" w:w="3600"/>
          </w:tcPr>
          <w:p>
            <w:pPr>
              <w:spacing w:after="0" w:before="0" w:line="240" w:lineRule="auto"/>
              <w:jc w:val="left"/>
            </w:pPr>
            <w:r>
              <w:t>Replacement and decommissioning approach</w:t>
            </w:r>
          </w:p>
        </w:tc>
        <w:tc>
          <w:tcPr>
            <w:tcW w:type="dxa" w:w="3600"/>
          </w:tcPr>
          <w:p>
            <w:pPr>
              <w:spacing w:after="0" w:before="0" w:line="240" w:lineRule="auto"/>
              <w:jc w:val="left"/>
            </w:pPr>
            <w:r>
              <w:t>Plan controlled retirement</w:t>
            </w:r>
          </w:p>
        </w:tc>
      </w:tr>
    </w:tbl>
    <w:p/>
    <w:p>
      <w:r>
        <w:t>Record the evidence source, document revision, assumptions, deviations, and unresolved actions for every critical finding.</w:t>
      </w:r>
    </w:p>
    <w:p>
      <w:pPr>
        <w:pStyle w:val="Heading2"/>
      </w:pPr>
      <w:r>
        <w:t>21. Lifecycle comparison scorecard</w:t>
      </w:r>
    </w:p>
    <w:p>
      <w:r>
        <w:t>A weighted scorecard can help rank technically acceptable alternatives.</w:t>
      </w:r>
    </w:p>
    <w:p>
      <w:r>
        <w:t>The following weights are illustrative and should be approved before evaluation.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Criterion</w:t>
            </w:r>
          </w:p>
        </w:tc>
        <w:tc>
          <w:tcPr>
            <w:tcW w:type="dxa" w:w="5400"/>
            <w:shd w:val="clear" w:color="auto" w:fill="EEF2F7"/>
          </w:tcPr>
          <w:p>
            <w:pPr>
              <w:spacing w:after="0" w:before="0" w:line="240" w:lineRule="auto"/>
              <w:jc w:val="left"/>
            </w:pPr>
            <w:r>
              <w:rPr>
                <w:b/>
                <w:color w:val="1A2E4A"/>
              </w:rPr>
              <w:t>Weight</w:t>
            </w:r>
          </w:p>
        </w:tc>
      </w:tr>
      <w:tr>
        <w:tc>
          <w:tcPr>
            <w:tcW w:type="dxa" w:w="5400"/>
          </w:tcPr>
          <w:p>
            <w:pPr>
              <w:spacing w:after="0" w:before="0" w:line="240" w:lineRule="auto"/>
              <w:jc w:val="left"/>
            </w:pPr>
            <w:r>
              <w:t>Service and support horizon</w:t>
            </w:r>
          </w:p>
        </w:tc>
        <w:tc>
          <w:tcPr>
            <w:tcW w:type="dxa" w:w="5400"/>
          </w:tcPr>
          <w:p>
            <w:pPr>
              <w:spacing w:after="0" w:before="0" w:line="240" w:lineRule="auto"/>
              <w:jc w:val="left"/>
            </w:pPr>
            <w:r>
              <w:t>15%</w:t>
            </w:r>
          </w:p>
        </w:tc>
      </w:tr>
      <w:tr>
        <w:tc>
          <w:tcPr>
            <w:tcW w:type="dxa" w:w="5400"/>
          </w:tcPr>
          <w:p>
            <w:pPr>
              <w:spacing w:after="0" w:before="0" w:line="240" w:lineRule="auto"/>
              <w:jc w:val="left"/>
            </w:pPr>
            <w:r>
              <w:t>Spare-parts availability</w:t>
            </w:r>
          </w:p>
        </w:tc>
        <w:tc>
          <w:tcPr>
            <w:tcW w:type="dxa" w:w="5400"/>
          </w:tcPr>
          <w:p>
            <w:pPr>
              <w:spacing w:after="0" w:before="0" w:line="240" w:lineRule="auto"/>
              <w:jc w:val="left"/>
            </w:pPr>
            <w:r>
              <w:t>15%</w:t>
            </w:r>
          </w:p>
        </w:tc>
      </w:tr>
      <w:tr>
        <w:tc>
          <w:tcPr>
            <w:tcW w:type="dxa" w:w="5400"/>
          </w:tcPr>
          <w:p>
            <w:pPr>
              <w:spacing w:after="0" w:before="0" w:line="240" w:lineRule="auto"/>
              <w:jc w:val="left"/>
            </w:pPr>
            <w:r>
              <w:t>Repairability and maintenance</w:t>
            </w:r>
          </w:p>
        </w:tc>
        <w:tc>
          <w:tcPr>
            <w:tcW w:type="dxa" w:w="5400"/>
          </w:tcPr>
          <w:p>
            <w:pPr>
              <w:spacing w:after="0" w:before="0" w:line="240" w:lineRule="auto"/>
              <w:jc w:val="left"/>
            </w:pPr>
            <w:r>
              <w:t>15%</w:t>
            </w:r>
          </w:p>
        </w:tc>
      </w:tr>
      <w:tr>
        <w:tc>
          <w:tcPr>
            <w:tcW w:type="dxa" w:w="5400"/>
          </w:tcPr>
          <w:p>
            <w:pPr>
              <w:spacing w:after="0" w:before="0" w:line="240" w:lineRule="auto"/>
              <w:jc w:val="left"/>
            </w:pPr>
            <w:r>
              <w:t>Software and firmware support</w:t>
            </w:r>
          </w:p>
        </w:tc>
        <w:tc>
          <w:tcPr>
            <w:tcW w:type="dxa" w:w="5400"/>
          </w:tcPr>
          <w:p>
            <w:pPr>
              <w:spacing w:after="0" w:before="0" w:line="240" w:lineRule="auto"/>
              <w:jc w:val="left"/>
            </w:pPr>
            <w:r>
              <w:t>15%</w:t>
            </w:r>
          </w:p>
        </w:tc>
      </w:tr>
      <w:tr>
        <w:tc>
          <w:tcPr>
            <w:tcW w:type="dxa" w:w="5400"/>
          </w:tcPr>
          <w:p>
            <w:pPr>
              <w:spacing w:after="0" w:before="0" w:line="240" w:lineRule="auto"/>
              <w:jc w:val="left"/>
            </w:pPr>
            <w:r>
              <w:t>Upgrade and migration flexibility</w:t>
            </w:r>
          </w:p>
        </w:tc>
        <w:tc>
          <w:tcPr>
            <w:tcW w:type="dxa" w:w="5400"/>
          </w:tcPr>
          <w:p>
            <w:pPr>
              <w:spacing w:after="0" w:before="0" w:line="240" w:lineRule="auto"/>
              <w:jc w:val="left"/>
            </w:pPr>
            <w:r>
              <w:t>10%</w:t>
            </w:r>
          </w:p>
        </w:tc>
      </w:tr>
      <w:tr>
        <w:tc>
          <w:tcPr>
            <w:tcW w:type="dxa" w:w="5400"/>
          </w:tcPr>
          <w:p>
            <w:pPr>
              <w:spacing w:after="0" w:before="0" w:line="240" w:lineRule="auto"/>
              <w:jc w:val="left"/>
            </w:pPr>
            <w:r>
              <w:t>Cybersecurity support</w:t>
            </w:r>
          </w:p>
        </w:tc>
        <w:tc>
          <w:tcPr>
            <w:tcW w:type="dxa" w:w="5400"/>
          </w:tcPr>
          <w:p>
            <w:pPr>
              <w:spacing w:after="0" w:before="0" w:line="240" w:lineRule="auto"/>
              <w:jc w:val="left"/>
            </w:pPr>
            <w:r>
              <w:t>10%</w:t>
            </w:r>
          </w:p>
        </w:tc>
      </w:tr>
      <w:tr>
        <w:tc>
          <w:tcPr>
            <w:tcW w:type="dxa" w:w="5400"/>
          </w:tcPr>
          <w:p>
            <w:pPr>
              <w:spacing w:after="0" w:before="0" w:line="240" w:lineRule="auto"/>
              <w:jc w:val="left"/>
            </w:pPr>
            <w:r>
              <w:t>Vendor and service capability</w:t>
            </w:r>
          </w:p>
        </w:tc>
        <w:tc>
          <w:tcPr>
            <w:tcW w:type="dxa" w:w="5400"/>
          </w:tcPr>
          <w:p>
            <w:pPr>
              <w:spacing w:after="0" w:before="0" w:line="240" w:lineRule="auto"/>
              <w:jc w:val="left"/>
            </w:pPr>
            <w:r>
              <w:t>10%</w:t>
            </w:r>
          </w:p>
        </w:tc>
      </w:tr>
      <w:tr>
        <w:tc>
          <w:tcPr>
            <w:tcW w:type="dxa" w:w="5400"/>
          </w:tcPr>
          <w:p>
            <w:pPr>
              <w:spacing w:after="0" w:before="0" w:line="240" w:lineRule="auto"/>
              <w:jc w:val="left"/>
            </w:pPr>
            <w:r>
              <w:t>Lifecycle cost</w:t>
            </w:r>
          </w:p>
        </w:tc>
        <w:tc>
          <w:tcPr>
            <w:tcW w:type="dxa" w:w="5400"/>
          </w:tcPr>
          <w:p>
            <w:pPr>
              <w:spacing w:after="0" w:before="0" w:line="240" w:lineRule="auto"/>
              <w:jc w:val="left"/>
            </w:pPr>
            <w:r>
              <w:t>10%</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One possible scoring scale is:</w:t>
      </w:r>
    </w:p>
    <w:p>
      <w:pPr>
        <w:pStyle w:val="ListBullet"/>
      </w:pPr>
      <w:r>
        <w:t>5: Strong documented evidence and low lifecycle risk.</w:t>
      </w:r>
    </w:p>
    <w:p>
      <w:pPr>
        <w:pStyle w:val="ListBullet"/>
      </w:pPr>
      <w:r>
        <w:t>4: Good evidence with minor manageable limitations.</w:t>
      </w:r>
    </w:p>
    <w:p>
      <w:pPr>
        <w:pStyle w:val="ListBullet"/>
      </w:pPr>
      <w:r>
        <w:t>3: Acceptable, with defined risks or conditions.</w:t>
      </w:r>
    </w:p>
    <w:p>
      <w:pPr>
        <w:pStyle w:val="ListBullet"/>
      </w:pPr>
      <w:r>
        <w:t>2: Significant limitations requiring mitigation.</w:t>
      </w:r>
    </w:p>
    <w:p>
      <w:pPr>
        <w:pStyle w:val="ListBullet"/>
      </w:pPr>
      <w:r>
        <w:t>1: Poor evidence or high unresolved risk.</w:t>
      </w:r>
    </w:p>
    <w:p>
      <w:pPr>
        <w:pStyle w:val="ListBullet"/>
      </w:pPr>
      <w:r>
        <w:t>0: Unacceptable or no required evidence.</w:t>
      </w:r>
    </w:p>
    <w:p>
      <w:r>
        <w:t>Calculate the weighted score as:</w:t>
      </w:r>
    </w:p>
    <w:p>
      <w:pPr>
        <w:spacing w:before="120" w:after="160"/>
        <w:jc w:val="center"/>
      </w:pPr>
      <m:oMathPara>
        <m:oMath>
          <m:sSub>
            <m:e>
              <m:r>
                <m:t>S</m:t>
              </m:r>
            </m:e>
            <m:sub>
              <m:r>
                <m:t>W</m:t>
              </m:r>
            </m:sub>
          </m:sSub>
          <m:r>
            <m:t>=</m:t>
          </m:r>
          <m:nary>
            <m:naryPr>
              <m:chr m:val="∑"/>
              <m:limLoc m:val="subSup"/>
              <m:grow m:val="1"/>
              <m:subHide m:val="off"/>
              <m:supHide m:val="off"/>
            </m:naryPr>
            <m:sub>
              <m:r>
                <m:t>i=1</m:t>
              </m:r>
            </m:sub>
            <m:sup>
              <m:r>
                <m:t>n</m:t>
              </m:r>
            </m:sup>
            <m:e>
              <m:sSub>
                <m:e>
                  <m:r>
                    <m:t>w</m:t>
                  </m:r>
                </m:e>
                <m:sub>
                  <m:r>
                    <m:t>i</m:t>
                  </m:r>
                </m:sub>
              </m:sSub>
            </m:e>
          </m:nary>
          <m:sSub>
            <m:e>
              <m:r>
                <m:t>s</m:t>
              </m:r>
            </m:e>
            <m:sub>
              <m:r>
                <m:t>i</m:t>
              </m:r>
            </m:sub>
          </m:sSub>
        </m:oMath>
      </m:oMathPara>
    </w:p>
    <w:p>
      <w:r>
        <w:t>Where:</w:t>
      </w:r>
    </w:p>
    <w:p>
      <w:pPr>
        <w:pStyle w:val="ListBullet"/>
      </w:pPr>
      <m:oMath>
        <m:sSub>
          <m:e>
            <m:r>
              <m:t>S</m:t>
            </m:r>
          </m:e>
          <m:sub>
            <m:r>
              <m:t>W</m:t>
            </m:r>
          </m:sub>
        </m:sSub>
      </m:oMath>
      <w:r>
        <w:t xml:space="preserve"> = weighted score.</w:t>
      </w:r>
    </w:p>
    <w:p>
      <w:pPr>
        <w:pStyle w:val="ListBullet"/>
      </w:pPr>
      <m:oMath>
        <m:sSub>
          <m:e>
            <m:r>
              <m:t>w</m:t>
            </m:r>
          </m:e>
          <m:sub>
            <m:r>
              <m:t>i</m:t>
            </m:r>
          </m:sub>
        </m:sSub>
      </m:oMath>
      <w:r>
        <w:t xml:space="preserve"> = criterion weight expressed as a fraction.</w:t>
      </w:r>
    </w:p>
    <w:p>
      <w:pPr>
        <w:pStyle w:val="ListBullet"/>
      </w:pPr>
      <m:oMath>
        <m:sSub>
          <m:e>
            <m:r>
              <m:t>s</m:t>
            </m:r>
          </m:e>
          <m:sub>
            <m:r>
              <m:t>i</m:t>
            </m:r>
          </m:sub>
        </m:sSub>
      </m:oMath>
      <w:r>
        <w:t xml:space="preserve"> = score assigned to the criterion.</w:t>
      </w:r>
    </w:p>
    <w:p>
      <w:pPr>
        <w:pStyle w:val="ListBullet"/>
      </w:pPr>
      <m:oMath>
        <m:r>
          <m:t>n</m:t>
        </m:r>
      </m:oMath>
      <w:r>
        <w:t xml:space="preserve"> = number of criteria.</w:t>
      </w:r>
    </w:p>
    <w:p>
      <w:r>
        <w:t>If weights are expressed as fractions summing to 1, the final score uses the same scale as the individual ratings.</w:t>
      </w:r>
    </w:p>
    <w:p>
      <w:r>
        <w:t>Mandatory requirements must remain pass/fail gates where applicable. A high lifecycle score must not override an unacceptable safety condition or a mandatory support requirement.</w:t>
      </w:r>
    </w:p>
    <w:p>
      <w:pPr>
        <w:pStyle w:val="Heading2"/>
      </w:pPr>
      <w:r>
        <w:t>22. Practical example: PLC procurement</w:t>
      </w:r>
    </w:p>
    <w:p>
      <w:r>
        <w:t>Assume a plant is selecting a PLC platform for a new automated machine.</w:t>
      </w:r>
    </w:p>
    <w:p>
      <w:r>
        <w:t>Supplier A offers a lower-cost PLC with limited local service coverage and an uncertain long-term replacement path.</w:t>
      </w:r>
    </w:p>
    <w:p>
      <w:r>
        <w:t>Supplier B offers a higher-cost PLC with documented successor products, broader local support, established engineering tools, and better integration with the plant's existing systems.</w:t>
      </w:r>
    </w:p>
    <w:p>
      <w:r>
        <w:t>The lifecycle review should investigate:</w:t>
      </w:r>
    </w:p>
    <w:p>
      <w:pPr>
        <w:pStyle w:val="ListBullet"/>
      </w:pPr>
      <w:r>
        <w:t>Exact CPU and I/O lifecycle status.</w:t>
      </w:r>
    </w:p>
    <w:p>
      <w:pPr>
        <w:pStyle w:val="ListBullet"/>
      </w:pPr>
      <w:r>
        <w:t>Manufacturer support horizon.</w:t>
      </w:r>
    </w:p>
    <w:p>
      <w:pPr>
        <w:pStyle w:val="ListBullet"/>
      </w:pPr>
      <w:r>
        <w:t>Availability of compatible replacement modules.</w:t>
      </w:r>
    </w:p>
    <w:p>
      <w:pPr>
        <w:pStyle w:val="ListBullet"/>
      </w:pPr>
      <w:r>
        <w:t>Programming software ownership and licensing.</w:t>
      </w:r>
    </w:p>
    <w:p>
      <w:pPr>
        <w:pStyle w:val="ListBullet"/>
      </w:pPr>
      <w:r>
        <w:t>Compatibility with the plant's installed PLC systems.</w:t>
      </w:r>
    </w:p>
    <w:p>
      <w:pPr>
        <w:pStyle w:val="ListBullet"/>
      </w:pPr>
      <w:r>
        <w:t>Required training and engineering tools.</w:t>
      </w:r>
    </w:p>
    <w:p>
      <w:pPr>
        <w:pStyle w:val="ListBullet"/>
      </w:pPr>
      <w:r>
        <w:t>Local repair and replacement lead times.</w:t>
      </w:r>
    </w:p>
    <w:p>
      <w:pPr>
        <w:pStyle w:val="ListBullet"/>
      </w:pPr>
      <w:r>
        <w:t>Migration effort if the selected CPU is discontinued.</w:t>
      </w:r>
    </w:p>
    <w:p>
      <w:pPr>
        <w:pStyle w:val="ListBullet"/>
      </w:pPr>
      <w:r>
        <w:t>Cybersecurity support for related software and communication devices.</w:t>
      </w:r>
    </w:p>
    <w:p>
      <w:pPr>
        <w:pStyle w:val="ListBullet"/>
      </w:pPr>
      <w:r>
        <w:t>Expected downtime impact if a critical module fails.</w:t>
      </w:r>
    </w:p>
    <w:p>
      <w:r>
        <w:t>Supplier B may be preferable if the documented reduction in operational and lifecycle risk justifies the price difference. Supplier A may still be acceptable if the plant can adequately mitigate the identified risks.</w:t>
      </w:r>
    </w:p>
    <w:p>
      <w:r>
        <w:t>The decision should be based on evidence and plant requirements, not brand preference alone.</w:t>
      </w:r>
    </w:p>
    <w:p>
      <w:pPr>
        <w:pStyle w:val="Heading2"/>
      </w:pPr>
      <w:r>
        <w:t>23. Lifecycle documentation and records</w:t>
      </w:r>
    </w:p>
    <w:p>
      <w:r>
        <w:t>Maintain a controlled set of lifecycle records for each critical asset.</w:t>
      </w:r>
    </w:p>
    <w:p>
      <w:r>
        <w:t>Recommended records include:</w:t>
      </w:r>
    </w:p>
    <w:p>
      <w:pPr>
        <w:pStyle w:val="ListBullet"/>
      </w:pPr>
      <w:r>
        <w:t>Asset and installed-base register.</w:t>
      </w:r>
    </w:p>
    <w:p>
      <w:pPr>
        <w:pStyle w:val="ListBullet"/>
      </w:pPr>
      <w:r>
        <w:t>Manufacturer and model information.</w:t>
      </w:r>
    </w:p>
    <w:p>
      <w:pPr>
        <w:pStyle w:val="ListBullet"/>
      </w:pPr>
      <w:r>
        <w:t>Serial and catalog numbers.</w:t>
      </w:r>
    </w:p>
    <w:p>
      <w:pPr>
        <w:pStyle w:val="ListBullet"/>
      </w:pPr>
      <w:r>
        <w:t>Installation and commissioning dates.</w:t>
      </w:r>
    </w:p>
    <w:p>
      <w:pPr>
        <w:pStyle w:val="ListBullet"/>
      </w:pPr>
      <w:r>
        <w:t>Firmware and software versions.</w:t>
      </w:r>
    </w:p>
    <w:p>
      <w:pPr>
        <w:pStyle w:val="ListBullet"/>
      </w:pPr>
      <w:r>
        <w:t>Warranty and support details.</w:t>
      </w:r>
    </w:p>
    <w:p>
      <w:pPr>
        <w:pStyle w:val="ListBullet"/>
      </w:pPr>
      <w:r>
        <w:t>Lifecycle and obsolescence status.</w:t>
      </w:r>
    </w:p>
    <w:p>
      <w:pPr>
        <w:pStyle w:val="ListBullet"/>
      </w:pPr>
      <w:r>
        <w:t>Approved successor products.</w:t>
      </w:r>
    </w:p>
    <w:p>
      <w:pPr>
        <w:pStyle w:val="ListBullet"/>
      </w:pPr>
      <w:r>
        <w:t>Spare stock and lead-time data.</w:t>
      </w:r>
    </w:p>
    <w:p>
      <w:pPr>
        <w:pStyle w:val="ListBullet"/>
      </w:pPr>
      <w:r>
        <w:t>Repair history.</w:t>
      </w:r>
    </w:p>
    <w:p>
      <w:pPr>
        <w:pStyle w:val="ListBullet"/>
      </w:pPr>
      <w:r>
        <w:t>Preventive maintenance history.</w:t>
      </w:r>
    </w:p>
    <w:p>
      <w:pPr>
        <w:pStyle w:val="ListBullet"/>
      </w:pPr>
      <w:r>
        <w:t>Software backups and restoration procedures.</w:t>
      </w:r>
    </w:p>
    <w:p>
      <w:pPr>
        <w:pStyle w:val="ListBullet"/>
      </w:pPr>
      <w:r>
        <w:t>License ownership and recovery records.</w:t>
      </w:r>
    </w:p>
    <w:p>
      <w:pPr>
        <w:pStyle w:val="ListBullet"/>
      </w:pPr>
      <w:r>
        <w:t>Cybersecurity support information.</w:t>
      </w:r>
    </w:p>
    <w:p>
      <w:pPr>
        <w:pStyle w:val="ListBullet"/>
      </w:pPr>
      <w:r>
        <w:t>Migration plans.</w:t>
      </w:r>
    </w:p>
    <w:p>
      <w:pPr>
        <w:pStyle w:val="ListBullet"/>
      </w:pPr>
      <w:r>
        <w:t>Risk register.</w:t>
      </w:r>
    </w:p>
    <w:p>
      <w:pPr>
        <w:pStyle w:val="ListBullet"/>
      </w:pPr>
      <w:r>
        <w:t>Replacement and retirement dates.</w:t>
      </w:r>
    </w:p>
    <w:p>
      <w:r>
        <w:t>For automation systems, link these records to the machine or production-line identity. Knowing that a plant owns a particular PLC model is less useful than knowing exactly which machine uses it, which program version is installed, and what other equipment depends on it.</w:t>
      </w:r>
    </w:p>
    <w:p>
      <w:pPr>
        <w:pStyle w:val="Heading2"/>
      </w:pPr>
      <w:r>
        <w:t>24. Common mistakes in lifecycle evaluation</w:t>
      </w:r>
    </w:p>
    <w:p>
      <w:pPr>
        <w:pStyle w:val="ListBullet"/>
      </w:pPr>
      <w:r>
        <w:t>Selecting equipment based only on purchase price.</w:t>
      </w:r>
    </w:p>
    <w:p>
      <w:pPr>
        <w:pStyle w:val="ListBullet"/>
      </w:pPr>
      <w:r>
        <w:t>Confusing service life with manufacturer support life.</w:t>
      </w:r>
    </w:p>
    <w:p>
      <w:pPr>
        <w:pStyle w:val="ListBullet"/>
      </w:pPr>
      <w:r>
        <w:t>Assuming a currently available product will remain available throughout the project.</w:t>
      </w:r>
    </w:p>
    <w:p>
      <w:pPr>
        <w:pStyle w:val="ListBullet"/>
      </w:pPr>
      <w:r>
        <w:t>Ignoring software and licensing dependencies.</w:t>
      </w:r>
    </w:p>
    <w:p>
      <w:pPr>
        <w:pStyle w:val="ListBullet"/>
      </w:pPr>
      <w:r>
        <w:t>Failing to record exact catalog numbers and firmware versions.</w:t>
      </w:r>
    </w:p>
    <w:p>
      <w:pPr>
        <w:pStyle w:val="ListBullet"/>
      </w:pPr>
      <w:r>
        <w:t>Assuming successor models are direct replacements.</w:t>
      </w:r>
    </w:p>
    <w:p>
      <w:pPr>
        <w:pStyle w:val="ListBullet"/>
      </w:pPr>
      <w:r>
        <w:t>Ignoring the cost of engineering and validation during migration.</w:t>
      </w:r>
    </w:p>
    <w:p>
      <w:pPr>
        <w:pStyle w:val="ListBullet"/>
      </w:pPr>
      <w:r>
        <w:t>Overlooking local service and repair capability.</w:t>
      </w:r>
    </w:p>
    <w:p>
      <w:pPr>
        <w:pStyle w:val="ListBullet"/>
      </w:pPr>
      <w:r>
        <w:t>Estimating downtime without realistic production data.</w:t>
      </w:r>
    </w:p>
    <w:p>
      <w:pPr>
        <w:pStyle w:val="ListBullet"/>
      </w:pPr>
      <w:r>
        <w:t>Stocking obsolete parts without checking authenticity or condition.</w:t>
      </w:r>
    </w:p>
    <w:p>
      <w:pPr>
        <w:pStyle w:val="ListBullet"/>
      </w:pPr>
      <w:r>
        <w:t>Failing to protect project files and license recovery information.</w:t>
      </w:r>
    </w:p>
    <w:p>
      <w:pPr>
        <w:pStyle w:val="ListBullet"/>
      </w:pPr>
      <w:r>
        <w:t>Ignoring cybersecurity support after commissioning.</w:t>
      </w:r>
    </w:p>
    <w:p>
      <w:pPr>
        <w:pStyle w:val="ListBullet"/>
      </w:pPr>
      <w:r>
        <w:t>Accepting verbal promises instead of written commitments.</w:t>
      </w:r>
    </w:p>
    <w:p>
      <w:pPr>
        <w:pStyle w:val="ListBullet"/>
      </w:pPr>
      <w:r>
        <w:t>Failing to assign ownership for lifecycle monitoring.</w:t>
      </w:r>
    </w:p>
    <w:p>
      <w:pPr>
        <w:pStyle w:val="ListBullet"/>
      </w:pPr>
      <w:r>
        <w:t>Treating a weighted score as a substitute for mandatory compliance.</w:t>
      </w:r>
    </w:p>
    <w:p>
      <w:pPr>
        <w:pStyle w:val="Heading2"/>
      </w:pPr>
      <w:r>
        <w:t>25. Lifecycle evaluation checklist</w:t>
      </w:r>
    </w:p>
    <w:p>
      <w:pPr>
        <w:pStyle w:val="ListBullet"/>
      </w:pPr>
      <w:r>
        <w:t>The intended service life and evaluation period are defined.</w:t>
      </w:r>
    </w:p>
    <w:p>
      <w:pPr>
        <w:pStyle w:val="ListBullet"/>
      </w:pPr>
      <w:r>
        <w:t>The total cost of ownership is calculated using consistent assumptions.</w:t>
      </w:r>
    </w:p>
    <w:p>
      <w:pPr>
        <w:pStyle w:val="ListBullet"/>
      </w:pPr>
      <w:r>
        <w:t>Downtime costs are based on an approved estimation method.</w:t>
      </w:r>
    </w:p>
    <w:p>
      <w:pPr>
        <w:pStyle w:val="ListBullet"/>
      </w:pPr>
      <w:r>
        <w:t>Product lifecycle status is verified for critical components.</w:t>
      </w:r>
    </w:p>
    <w:p>
      <w:pPr>
        <w:pStyle w:val="ListBullet"/>
      </w:pPr>
      <w:r>
        <w:t>Manufacturer support commitments are documented.</w:t>
      </w:r>
    </w:p>
    <w:p>
      <w:pPr>
        <w:pStyle w:val="ListBullet"/>
      </w:pPr>
      <w:r>
        <w:t>Spare availability and lead times are assessed.</w:t>
      </w:r>
    </w:p>
    <w:p>
      <w:pPr>
        <w:pStyle w:val="ListBullet"/>
      </w:pPr>
      <w:r>
        <w:t>Repairability and service arrangements are reviewed.</w:t>
      </w:r>
    </w:p>
    <w:p>
      <w:pPr>
        <w:pStyle w:val="ListBullet"/>
      </w:pPr>
      <w:r>
        <w:t>Software, firmware, and operating-system dependencies are recorded.</w:t>
      </w:r>
    </w:p>
    <w:p>
      <w:pPr>
        <w:pStyle w:val="ListBullet"/>
      </w:pPr>
      <w:r>
        <w:t>Engineering license ownership and recovery are addressed.</w:t>
      </w:r>
    </w:p>
    <w:p>
      <w:pPr>
        <w:pStyle w:val="ListBullet"/>
      </w:pPr>
      <w:r>
        <w:t>Successor-product compatibility is assessed.</w:t>
      </w:r>
    </w:p>
    <w:p>
      <w:pPr>
        <w:pStyle w:val="ListBullet"/>
      </w:pPr>
      <w:r>
        <w:t>Upgrade and migration requirements are identified.</w:t>
      </w:r>
    </w:p>
    <w:p>
      <w:pPr>
        <w:pStyle w:val="ListBullet"/>
      </w:pPr>
      <w:r>
        <w:t>Cybersecurity support and end-of-support risks are evaluated.</w:t>
      </w:r>
    </w:p>
    <w:p>
      <w:pPr>
        <w:pStyle w:val="ListBullet"/>
      </w:pPr>
      <w:r>
        <w:t>Training and internal maintenance capability are considered.</w:t>
      </w:r>
    </w:p>
    <w:p>
      <w:pPr>
        <w:pStyle w:val="ListBullet"/>
      </w:pPr>
      <w:r>
        <w:t>Critical lifecycle risks have owners and mitigation actions.</w:t>
      </w:r>
    </w:p>
    <w:p>
      <w:pPr>
        <w:pStyle w:val="ListBullet"/>
      </w:pPr>
      <w:r>
        <w:t>Required source programs and documentation are included in handover.</w:t>
      </w:r>
    </w:p>
    <w:p>
      <w:pPr>
        <w:pStyle w:val="ListBullet"/>
      </w:pPr>
      <w:r>
        <w:t>Backup and restoration procedures are verified.</w:t>
      </w:r>
    </w:p>
    <w:p>
      <w:pPr>
        <w:pStyle w:val="ListBullet"/>
      </w:pPr>
      <w:r>
        <w:t>The replacement and end-of-life strategy is documented.</w:t>
      </w:r>
    </w:p>
    <w:p>
      <w:pPr>
        <w:pStyle w:val="ListBullet"/>
      </w:pPr>
      <w:r>
        <w:t>Lifecycle findings are included in the technical recommendation.</w:t>
      </w:r>
    </w:p>
    <w:p>
      <w:pPr>
        <w:pStyle w:val="Heading2"/>
      </w:pPr>
      <w:r>
        <w:t>26. Interview questions and answers</w:t>
      </w:r>
    </w:p>
    <w:p>
      <w:r>
        <w:t>1\. What are lifecycle considerations in procurement?</w:t>
      </w:r>
    </w:p>
    <w:p>
      <w:r>
        <w:t>They are the factors affecting an asset throughout its useful life, including acquisition, operation, maintenance, support, upgrades, obsolescence, and retirement.</w:t>
      </w:r>
    </w:p>
    <w:p>
      <w:r>
        <w:t>2\. What is total cost of ownership?</w:t>
      </w:r>
    </w:p>
    <w:p>
      <w:r>
        <w:t>TCO is the estimated total cost of acquiring, integrating, operating, maintaining, upgrading, and retiring an asset over a defined period.</w:t>
      </w:r>
    </w:p>
    <w:p>
      <w:r>
        <w:t>3\. What is the difference between service life and support life?</w:t>
      </w:r>
    </w:p>
    <w:p>
      <w:r>
        <w:t>Service life concerns how long equipment is expected to perform its intended function. Support life concerns the period and scope of assistance provided by the manufacturer or service organization.</w:t>
      </w:r>
    </w:p>
    <w:p>
      <w:r>
        <w:t>4\. Why is obsolescence important in industrial automation?</w:t>
      </w:r>
    </w:p>
    <w:p>
      <w:r>
        <w:t>A discontinued controller, drive, HMI, or engineering platform can become difficult to replace or repair, increasing downtime, migration cost, and operational risk.</w:t>
      </w:r>
    </w:p>
    <w:p>
      <w:r>
        <w:t>5\. How should an obsolete PLC be managed?</w:t>
      </w:r>
    </w:p>
    <w:p>
      <w:r>
        <w:t>Identify the exact installed hardware and software, assess the criticality and spare situation, evaluate authorized remaining stock and successor compatibility, and prepare a validated migration plan where necessary.</w:t>
      </w:r>
    </w:p>
    <w:p>
      <w:r>
        <w:t>6\. Why can a higher-priced system have a lower TCO?</w:t>
      </w:r>
    </w:p>
    <w:p>
      <w:r>
        <w:t>It may require less maintenance, shorter repairs, fewer licenses, less downtime, or less expensive future migration.</w:t>
      </w:r>
    </w:p>
    <w:p>
      <w:r>
        <w:t>7\. What is the relationship between lifecycle planning and spare-parts planning?</w:t>
      </w:r>
    </w:p>
    <w:p>
      <w:r>
        <w:t>Lifecycle planning identifies long-term availability and replacement risks. Spare-parts planning determines which components should be stocked, repaired, substituted, or migrated to manage those risks.</w:t>
      </w:r>
    </w:p>
    <w:p>
      <w:r>
        <w:t>8\. Why is software lifecycle support important for PLCs and CNCs?</w:t>
      </w:r>
    </w:p>
    <w:p>
      <w:r>
        <w:t>A working machine may become difficult to modify or restore if engineering tools, operating systems, firmware, or license services are no longer available.</w:t>
      </w:r>
    </w:p>
    <w:p>
      <w:r>
        <w:t>9\. What is migration in automation?</w:t>
      </w:r>
    </w:p>
    <w:p>
      <w:r>
        <w:t>Migration is the controlled transition from an existing product or platform to a replacement, including hardware, software, interfaces, validation, documentation, and commissioning.</w:t>
      </w:r>
    </w:p>
    <w:p>
      <w:r>
        <w:t>10\. What is the most important lifecycle evaluation principle?</w:t>
      </w:r>
    </w:p>
    <w:p>
      <w:r>
        <w:t>Evaluate the equipment's complete support and ownership requirements over its intended service life, using documented evidence rather than relying on purchase price or unsupported supplier assurances.</w:t>
      </w:r>
    </w:p>
    <w:p>
      <w:pPr>
        <w:pStyle w:val="Heading2"/>
      </w:pPr>
      <w:r>
        <w:t>27. Final engineering principle</w:t>
      </w:r>
    </w:p>
    <w:p>
      <w:r>
        <w:t>Lifecycle considerations determine whether an industrial system remains maintainable, supportable, secure, and economically viable after the initial purchase.</w:t>
      </w:r>
    </w:p>
    <w:p>
      <w:r>
        <w:t>For every critical asset, establish what is installed, how it is supported, how it can be repaired, what can replace it, how migration would be performed, and what the consequences of delayed replacement would be.</w:t>
      </w:r>
    </w:p>
    <w:p>
      <w:r>
        <w:t>A procurement decision is incomplete if it evaluates only whether the equipment can be purchased today. It must also evaluate whether the plant can operate, maintain, repair, and eventually replace that equipment throughout its intended service life.</w:t>
      </w:r>
    </w:p>
    <w:p>
      <w:pPr>
        <w:pStyle w:val="Heading2"/>
      </w:pPr>
      <w:r>
        <w:t>NEXT TOPIC</w:t>
      </w:r>
    </w:p>
    <w:p>
      <w:r>
        <w:rPr>
          <w:rFonts w:ascii="Consolas" w:hAnsi="Consolas"/>
          <w:color w:val="333333"/>
          <w:sz w:val="19"/>
          <w:shd w:val="clear" w:color="auto" w:fill="EFEFEF"/>
        </w:rPr>
        <w:t>02_PLAN_WISE_2026\02_INDUSTRY3_0\09_Procurement\02_Technical_Bid_Evaluation\07_Spare_Availability - Spare availability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02_PLAN_WISE_2026\02_INDUSTRY3_0\09_Procurement\02_Technical_Bid_Evaluation\06_Lifecycle_Considerations - Lifecycle considerations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