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02_PLAN_WISE_2026\02_INDUSTRY3_0\09_Procurement\02_Technical_Bid_Evaluation\09_Vendor_Support - Vendor support</w:t>
      </w:r>
    </w:p>
    <w:p>
      <w:pPr>
        <w:pStyle w:val="Heading2"/>
      </w:pPr>
      <w:r>
        <w:t>1. Definition and purpose</w:t>
      </w:r>
    </w:p>
    <w:p>
      <w:r>
        <w:t>Vendor support is the technical, operational, and commercial assistance provided by an equipment manufacturer, system integrator, software provider, or authorized service partner throughout the equipment lifecycle.</w:t>
      </w:r>
    </w:p>
    <w:p>
      <w:r>
        <w:t>In industrial automation, vendor support may include troubleshooting, commissioning assistance, software and firmware updates, spare-parts supply, repair services, engineering consultation, cybersecurity advisories, training, warranty service, and long-term lifecycle assistance.</w:t>
      </w:r>
    </w:p>
    <w:p>
      <w:r>
        <w:t>Vendor support is a procurement requirement because a machine rarely exists in isolation. It depends on hardware, software, firmware, communication protocols, engineering tools, specialized knowledge, and replacement components. When a serious fault occurs, the plant may need external expertise to restore production safely.</w:t>
      </w:r>
    </w:p>
    <w:p>
      <w:r>
        <w:t>The main procurement question is:</w:t>
      </w:r>
    </w:p>
    <w:p>
      <w:r>
        <w:t>Can the supplier provide the right technical assistance, within an agreed time, using the required expertise and resources, for as long as the equipment needs to remain operational?</w:t>
      </w:r>
    </w:p>
    <w:p>
      <w:r>
        <w:t>Vendor support must be evaluated before purchase because the supplier's response capability, local service presence, technical competence, contractual commitments, and access to replacement parts can directly affect production continuity.</w:t>
      </w:r>
    </w:p>
    <w:p>
      <w:pPr>
        <w:pStyle w:val="Heading2"/>
      </w:pPr>
      <w:r>
        <w:t>2. Types of vendors and support responsibilities</w:t>
      </w:r>
    </w:p>
    <w:p>
      <w:r>
        <w:t>An industrial automation project may involve several parties. Their responsibilities must be distinguished in the purchase specification and contract.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Party</w:t>
            </w:r>
          </w:p>
        </w:tc>
        <w:tc>
          <w:tcPr>
            <w:tcW w:type="dxa" w:w="3600"/>
            <w:shd w:val="clear" w:color="auto" w:fill="EEF2F7"/>
          </w:tcPr>
          <w:p>
            <w:pPr>
              <w:spacing w:after="0" w:before="0" w:line="240" w:lineRule="auto"/>
              <w:jc w:val="left"/>
            </w:pPr>
            <w:r>
              <w:rPr>
                <w:b/>
                <w:color w:val="1A2E4A"/>
              </w:rPr>
              <w:t>Typical responsibility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Original equipment manufacturer (OEM)</w:t>
            </w:r>
          </w:p>
        </w:tc>
        <w:tc>
          <w:tcPr>
            <w:tcW w:type="dxa" w:w="3600"/>
          </w:tcPr>
          <w:p>
            <w:pPr>
              <w:spacing w:after="0" w:before="0" w:line="240" w:lineRule="auto"/>
              <w:jc w:val="left"/>
            </w:pPr>
            <w:r>
              <w:t>Equipment design, proprietary diagnostics, product updates, and specialist repair</w:t>
            </w:r>
          </w:p>
        </w:tc>
        <w:tc>
          <w:tcPr>
            <w:tcW w:type="dxa" w:w="3600"/>
          </w:tcPr>
          <w:p>
            <w:pPr>
              <w:spacing w:after="0" w:before="0" w:line="240" w:lineRule="auto"/>
              <w:jc w:val="left"/>
            </w:pPr>
            <w:r>
              <w:t>CNC machine or robot manufacturer</w:t>
            </w:r>
          </w:p>
        </w:tc>
      </w:tr>
      <w:tr>
        <w:tc>
          <w:tcPr>
            <w:tcW w:type="dxa" w:w="3600"/>
          </w:tcPr>
          <w:p>
            <w:pPr>
              <w:spacing w:after="0" w:before="0" w:line="240" w:lineRule="auto"/>
              <w:jc w:val="left"/>
            </w:pPr>
            <w:r>
              <w:t>System integrator</w:t>
            </w:r>
          </w:p>
        </w:tc>
        <w:tc>
          <w:tcPr>
            <w:tcW w:type="dxa" w:w="3600"/>
          </w:tcPr>
          <w:p>
            <w:pPr>
              <w:spacing w:after="0" w:before="0" w:line="240" w:lineRule="auto"/>
              <w:jc w:val="left"/>
            </w:pPr>
            <w:r>
              <w:t>Integration, application software, interfaces, and system-level troubleshooting</w:t>
            </w:r>
          </w:p>
        </w:tc>
        <w:tc>
          <w:tcPr>
            <w:tcW w:type="dxa" w:w="3600"/>
          </w:tcPr>
          <w:p>
            <w:pPr>
              <w:spacing w:after="0" w:before="0" w:line="240" w:lineRule="auto"/>
              <w:jc w:val="left"/>
            </w:pPr>
            <w:r>
              <w:t>PLC, HMI, robot, and conveyor integration</w:t>
            </w:r>
          </w:p>
        </w:tc>
      </w:tr>
      <w:tr>
        <w:tc>
          <w:tcPr>
            <w:tcW w:type="dxa" w:w="3600"/>
          </w:tcPr>
          <w:p>
            <w:pPr>
              <w:spacing w:after="0" w:before="0" w:line="240" w:lineRule="auto"/>
              <w:jc w:val="left"/>
            </w:pPr>
            <w:r>
              <w:t>Component manufacturer</w:t>
            </w:r>
          </w:p>
        </w:tc>
        <w:tc>
          <w:tcPr>
            <w:tcW w:type="dxa" w:w="3600"/>
          </w:tcPr>
          <w:p>
            <w:pPr>
              <w:spacing w:after="0" w:before="0" w:line="240" w:lineRule="auto"/>
              <w:jc w:val="left"/>
            </w:pPr>
            <w:r>
              <w:t>Product-level support, firmware, replacement parts, and technical specifications</w:t>
            </w:r>
          </w:p>
        </w:tc>
        <w:tc>
          <w:tcPr>
            <w:tcW w:type="dxa" w:w="3600"/>
          </w:tcPr>
          <w:p>
            <w:pPr>
              <w:spacing w:after="0" w:before="0" w:line="240" w:lineRule="auto"/>
              <w:jc w:val="left"/>
            </w:pPr>
            <w:r>
              <w:t>PLC, VFD, sensor, or servo manufacturer</w:t>
            </w:r>
          </w:p>
        </w:tc>
      </w:tr>
      <w:tr>
        <w:tc>
          <w:tcPr>
            <w:tcW w:type="dxa" w:w="3600"/>
          </w:tcPr>
          <w:p>
            <w:pPr>
              <w:spacing w:after="0" w:before="0" w:line="240" w:lineRule="auto"/>
              <w:jc w:val="left"/>
            </w:pPr>
            <w:r>
              <w:t>Authorized distributor</w:t>
            </w:r>
          </w:p>
        </w:tc>
        <w:tc>
          <w:tcPr>
            <w:tcW w:type="dxa" w:w="3600"/>
          </w:tcPr>
          <w:p>
            <w:pPr>
              <w:spacing w:after="0" w:before="0" w:line="240" w:lineRule="auto"/>
              <w:jc w:val="left"/>
            </w:pPr>
            <w:r>
              <w:t>Sales, logistics, product selection, and agreed technical assistance</w:t>
            </w:r>
          </w:p>
        </w:tc>
        <w:tc>
          <w:tcPr>
            <w:tcW w:type="dxa" w:w="3600"/>
          </w:tcPr>
          <w:p>
            <w:pPr>
              <w:spacing w:after="0" w:before="0" w:line="240" w:lineRule="auto"/>
              <w:jc w:val="left"/>
            </w:pPr>
            <w:r>
              <w:t>Industrial automation component supplier</w:t>
            </w:r>
          </w:p>
        </w:tc>
      </w:tr>
      <w:tr>
        <w:tc>
          <w:tcPr>
            <w:tcW w:type="dxa" w:w="3600"/>
          </w:tcPr>
          <w:p>
            <w:pPr>
              <w:spacing w:after="0" w:before="0" w:line="240" w:lineRule="auto"/>
              <w:jc w:val="left"/>
            </w:pPr>
            <w:r>
              <w:t>Authorized service partner</w:t>
            </w:r>
          </w:p>
        </w:tc>
        <w:tc>
          <w:tcPr>
            <w:tcW w:type="dxa" w:w="3600"/>
          </w:tcPr>
          <w:p>
            <w:pPr>
              <w:spacing w:after="0" w:before="0" w:line="240" w:lineRule="auto"/>
              <w:jc w:val="left"/>
            </w:pPr>
            <w:r>
              <w:t>Field service, repairs, commissioning, and maintenance</w:t>
            </w:r>
          </w:p>
        </w:tc>
        <w:tc>
          <w:tcPr>
            <w:tcW w:type="dxa" w:w="3600"/>
          </w:tcPr>
          <w:p>
            <w:pPr>
              <w:spacing w:after="0" w:before="0" w:line="240" w:lineRule="auto"/>
              <w:jc w:val="left"/>
            </w:pPr>
            <w:r>
              <w:t>Regional CNC or drive service provider</w:t>
            </w:r>
          </w:p>
        </w:tc>
      </w:tr>
      <w:tr>
        <w:tc>
          <w:tcPr>
            <w:tcW w:type="dxa" w:w="3600"/>
          </w:tcPr>
          <w:p>
            <w:pPr>
              <w:spacing w:after="0" w:before="0" w:line="240" w:lineRule="auto"/>
              <w:jc w:val="left"/>
            </w:pPr>
            <w:r>
              <w:t>Plant maintenance team</w:t>
            </w:r>
          </w:p>
        </w:tc>
        <w:tc>
          <w:tcPr>
            <w:tcW w:type="dxa" w:w="3600"/>
          </w:tcPr>
          <w:p>
            <w:pPr>
              <w:spacing w:after="0" w:before="0" w:line="240" w:lineRule="auto"/>
              <w:jc w:val="left"/>
            </w:pPr>
            <w:r>
              <w:t>Routine inspection, first-line diagnosis, authorized repair, and recovery</w:t>
            </w:r>
          </w:p>
        </w:tc>
        <w:tc>
          <w:tcPr>
            <w:tcW w:type="dxa" w:w="3600"/>
          </w:tcPr>
          <w:p>
            <w:pPr>
              <w:spacing w:after="0" w:before="0" w:line="240" w:lineRule="auto"/>
              <w:jc w:val="left"/>
            </w:pPr>
            <w:r>
              <w:t>Central maintenance or machine maintenance team</w:t>
            </w:r>
          </w:p>
        </w:tc>
      </w:tr>
      <w:tr>
        <w:tc>
          <w:tcPr>
            <w:tcW w:type="dxa" w:w="3600"/>
          </w:tcPr>
          <w:p>
            <w:pPr>
              <w:spacing w:after="0" w:before="0" w:line="240" w:lineRule="auto"/>
              <w:jc w:val="left"/>
            </w:pPr>
            <w:r>
              <w:t>IT/OT support team</w:t>
            </w:r>
          </w:p>
        </w:tc>
        <w:tc>
          <w:tcPr>
            <w:tcW w:type="dxa" w:w="3600"/>
          </w:tcPr>
          <w:p>
            <w:pPr>
              <w:spacing w:after="0" w:before="0" w:line="240" w:lineRule="auto"/>
              <w:jc w:val="left"/>
            </w:pPr>
            <w:r>
              <w:t>Network, server, endpoint, identity, and cybersecurity support within its responsibility</w:t>
            </w:r>
          </w:p>
        </w:tc>
        <w:tc>
          <w:tcPr>
            <w:tcW w:type="dxa" w:w="3600"/>
          </w:tcPr>
          <w:p>
            <w:pPr>
              <w:spacing w:after="0" w:before="0" w:line="240" w:lineRule="auto"/>
              <w:jc w:val="left"/>
            </w:pPr>
            <w:r>
              <w:t>Industrial network or SCADA infrastructure</w:t>
            </w:r>
          </w:p>
        </w:tc>
      </w:tr>
      <w:tr>
        <w:tc>
          <w:tcPr>
            <w:tcW w:type="dxa" w:w="3600"/>
          </w:tcPr>
          <w:p>
            <w:pPr>
              <w:spacing w:after="0" w:before="0" w:line="240" w:lineRule="auto"/>
              <w:jc w:val="left"/>
            </w:pPr>
            <w:r>
              <w:t>Software provider</w:t>
            </w:r>
          </w:p>
        </w:tc>
        <w:tc>
          <w:tcPr>
            <w:tcW w:type="dxa" w:w="3600"/>
          </w:tcPr>
          <w:p>
            <w:pPr>
              <w:spacing w:after="0" w:before="0" w:line="240" w:lineRule="auto"/>
              <w:jc w:val="left"/>
            </w:pPr>
            <w:r>
              <w:t>Software defects, licensing, compatibility, and supported-version guidance</w:t>
            </w:r>
          </w:p>
        </w:tc>
        <w:tc>
          <w:tcPr>
            <w:tcW w:type="dxa" w:w="3600"/>
          </w:tcPr>
          <w:p>
            <w:pPr>
              <w:spacing w:after="0" w:before="0" w:line="240" w:lineRule="auto"/>
              <w:jc w:val="left"/>
            </w:pPr>
            <w:r>
              <w:t>SCADA or engineering software supplier</w:t>
            </w:r>
          </w:p>
        </w:tc>
      </w:tr>
    </w:tbl>
    <w:p/>
    <w:p>
      <w:r>
        <w:t>A supplier may subcontract some work, but subcontracting does not automatically remove the primary supplier's contractual responsibility. The contract should identify who owns the issue, coordinates the response, and remains accountable for closure.</w:t>
      </w:r>
    </w:p>
    <w:p>
      <w:pPr>
        <w:pStyle w:val="Heading2"/>
      </w:pPr>
      <w:r>
        <w:t>3. Why vendor support matters in procurement</w:t>
      </w:r>
    </w:p>
    <w:p>
      <w:r>
        <w:t>Vendor support affects several aspects of industrial operations:</w:t>
      </w:r>
    </w:p>
    <w:p>
      <w:pPr>
        <w:pStyle w:val="ListBullet"/>
      </w:pPr>
      <w:r>
        <w:t>Production continuity: Faster technical response can reduce prolonged equipment downtime.</w:t>
      </w:r>
    </w:p>
    <w:p>
      <w:pPr>
        <w:pStyle w:val="ListBullet"/>
      </w:pPr>
      <w:r>
        <w:t>Fault diagnosis: Specialist knowledge may be required for complex controller, CNC, robot, drive, or software failures.</w:t>
      </w:r>
    </w:p>
    <w:p>
      <w:pPr>
        <w:pStyle w:val="ListBullet"/>
      </w:pPr>
      <w:r>
        <w:t>Commissioning: Vendor assistance can be necessary for configuration, tuning, integration, and acceptance testing.</w:t>
      </w:r>
    </w:p>
    <w:p>
      <w:pPr>
        <w:pStyle w:val="ListBullet"/>
      </w:pPr>
      <w:r>
        <w:t>Quality: Incorrect troubleshooting or configuration changes may affect machine accuracy, process capability, and product quality.</w:t>
      </w:r>
    </w:p>
    <w:p>
      <w:pPr>
        <w:pStyle w:val="ListBullet"/>
      </w:pPr>
      <w:r>
        <w:t>Safety: Some repairs and configuration changes require manufacturer-specific procedures or qualified personnel.</w:t>
      </w:r>
    </w:p>
    <w:p>
      <w:pPr>
        <w:pStyle w:val="ListBullet"/>
      </w:pPr>
      <w:r>
        <w:t>Cybersecurity: Vulnerability notices, firmware updates, and supported software versions may be essential for secure operation.</w:t>
      </w:r>
    </w:p>
    <w:p>
      <w:pPr>
        <w:pStyle w:val="ListBullet"/>
      </w:pPr>
      <w:r>
        <w:t>Lifecycle planning: Product changes and discontinuation can affect repair strategies and replacement compatibility.</w:t>
      </w:r>
    </w:p>
    <w:p>
      <w:pPr>
        <w:pStyle w:val="ListBullet"/>
      </w:pPr>
      <w:r>
        <w:t>Cost control: Poorly defined support can result in unexpected field-service charges, travel costs, license fees, and emergency procurement.</w:t>
      </w:r>
    </w:p>
    <w:p>
      <w:pPr>
        <w:pStyle w:val="ListBullet"/>
      </w:pPr>
      <w:r>
        <w:t>Knowledge transfer: Good support should increase the plant team's ability to resolve future faults independently.</w:t>
      </w:r>
    </w:p>
    <w:p>
      <w:r>
        <w:t>The objective is not to make the plant dependent on the vendor for every minor fault. It is to ensure that specialist help is available when needed while developing sustainable in-house maintenance capability.</w:t>
      </w:r>
    </w:p>
    <w:p>
      <w:pPr>
        <w:pStyle w:val="Heading2"/>
      </w:pPr>
      <w:r>
        <w:t>4. Categories of vendor support</w:t>
      </w:r>
    </w:p>
    <w:p>
      <w:pPr>
        <w:pStyle w:val="Heading3"/>
      </w:pPr>
      <w:r>
        <w:t>4.1 Pre-sales technical support</w:t>
      </w:r>
    </w:p>
    <w:p>
      <w:r>
        <w:t>Pre-sales support helps the plant determine whether the proposed solution is technically suitable.</w:t>
      </w:r>
    </w:p>
    <w:p>
      <w:r>
        <w:t>Typical activities include:</w:t>
      </w:r>
    </w:p>
    <w:p>
      <w:pPr>
        <w:pStyle w:val="ListBullet"/>
      </w:pPr>
      <w:r>
        <w:t>Requirement clarification and technical consultation.</w:t>
      </w:r>
    </w:p>
    <w:p>
      <w:pPr>
        <w:pStyle w:val="ListBullet"/>
      </w:pPr>
      <w:r>
        <w:t>Site surveys and application assessments.</w:t>
      </w:r>
    </w:p>
    <w:p>
      <w:pPr>
        <w:pStyle w:val="ListBullet"/>
      </w:pPr>
      <w:r>
        <w:t>Equipment selection and sizing.</w:t>
      </w:r>
    </w:p>
    <w:p>
      <w:pPr>
        <w:pStyle w:val="ListBullet"/>
      </w:pPr>
      <w:r>
        <w:t>Compatibility verification.</w:t>
      </w:r>
    </w:p>
    <w:p>
      <w:pPr>
        <w:pStyle w:val="ListBullet"/>
      </w:pPr>
      <w:r>
        <w:t>Network and system architecture review.</w:t>
      </w:r>
    </w:p>
    <w:p>
      <w:pPr>
        <w:pStyle w:val="ListBullet"/>
      </w:pPr>
      <w:r>
        <w:t>Technical bid clarification.</w:t>
      </w:r>
    </w:p>
    <w:p>
      <w:pPr>
        <w:pStyle w:val="ListBullet"/>
      </w:pPr>
      <w:r>
        <w:t>Lifecycle and obsolescence information.</w:t>
      </w:r>
    </w:p>
    <w:p>
      <w:pPr>
        <w:pStyle w:val="ListBullet"/>
      </w:pPr>
      <w:r>
        <w:t>Preliminary spare-parts recommendations.</w:t>
      </w:r>
    </w:p>
    <w:p>
      <w:pPr>
        <w:pStyle w:val="ListBullet"/>
      </w:pPr>
      <w:r>
        <w:t>Technical risk identification.</w:t>
      </w:r>
    </w:p>
    <w:p>
      <w:r>
        <w:t>Procurement check: Ensure that important technical commitments made during discussions are captured in the approved offer, technical specification, clarification record, or contract. Verbal assurances are difficult to enforce when the project reaches an inconvenient stage.</w:t>
      </w:r>
    </w:p>
    <w:p>
      <w:pPr>
        <w:pStyle w:val="Heading3"/>
      </w:pPr>
      <w:r>
        <w:t>4.2 Installation and commissioning support</w:t>
      </w:r>
    </w:p>
    <w:p>
      <w:r>
        <w:t>Commissioning support may include:</w:t>
      </w:r>
    </w:p>
    <w:p>
      <w:pPr>
        <w:pStyle w:val="ListBullet"/>
      </w:pPr>
      <w:r>
        <w:t>Installation supervision.</w:t>
      </w:r>
    </w:p>
    <w:p>
      <w:pPr>
        <w:pStyle w:val="ListBullet"/>
      </w:pPr>
      <w:r>
        <w:t>Hardware inspection and configuration.</w:t>
      </w:r>
    </w:p>
    <w:p>
      <w:pPr>
        <w:pStyle w:val="ListBullet"/>
      </w:pPr>
      <w:r>
        <w:t>PLC, HMI, CNC, robot, and drive commissioning.</w:t>
      </w:r>
    </w:p>
    <w:p>
      <w:pPr>
        <w:pStyle w:val="ListBullet"/>
      </w:pPr>
      <w:r>
        <w:t>Network setup and communication verification.</w:t>
      </w:r>
    </w:p>
    <w:p>
      <w:pPr>
        <w:pStyle w:val="ListBullet"/>
      </w:pPr>
      <w:r>
        <w:t>Motor and motion tuning.</w:t>
      </w:r>
    </w:p>
    <w:p>
      <w:pPr>
        <w:pStyle w:val="ListBullet"/>
      </w:pPr>
      <w:r>
        <w:t>Safety-function verification within the agreed scope.</w:t>
      </w:r>
    </w:p>
    <w:p>
      <w:pPr>
        <w:pStyle w:val="ListBullet"/>
      </w:pPr>
      <w:r>
        <w:t>Integration with existing equipment.</w:t>
      </w:r>
    </w:p>
    <w:p>
      <w:pPr>
        <w:pStyle w:val="ListBullet"/>
      </w:pPr>
      <w:r>
        <w:t>FAT and SAT assistance.</w:t>
      </w:r>
    </w:p>
    <w:p>
      <w:pPr>
        <w:pStyle w:val="ListBullet"/>
      </w:pPr>
      <w:r>
        <w:t>Performance optimization and defect closure.</w:t>
      </w:r>
    </w:p>
    <w:p>
      <w:pPr>
        <w:pStyle w:val="ListBullet"/>
      </w:pPr>
      <w:r>
        <w:t>Documentation and training handover.</w:t>
      </w:r>
    </w:p>
    <w:p>
      <w:r>
        <w:t>The contract should identify the number of included visits, the duration of support, the personnel required, travel arrangements, and charges for additional visits.</w:t>
      </w:r>
    </w:p>
    <w:p>
      <w:pPr>
        <w:pStyle w:val="Heading3"/>
      </w:pPr>
      <w:r>
        <w:t>4.3 Breakdown and troubleshooting support</w:t>
      </w:r>
    </w:p>
    <w:p>
      <w:r>
        <w:t>Breakdown support applies when the equipment has failed or its operation has degraded.</w:t>
      </w:r>
    </w:p>
    <w:p>
      <w:r>
        <w:t>Possible service channels include:</w:t>
      </w:r>
    </w:p>
    <w:p>
      <w:pPr>
        <w:pStyle w:val="ListBullet"/>
      </w:pPr>
      <w:r>
        <w:t>Telephone or messaging-based assistance.</w:t>
      </w:r>
    </w:p>
    <w:p>
      <w:pPr>
        <w:pStyle w:val="ListBullet"/>
      </w:pPr>
      <w:r>
        <w:t>Email and ticket-based troubleshooting.</w:t>
      </w:r>
    </w:p>
    <w:p>
      <w:pPr>
        <w:pStyle w:val="ListBullet"/>
      </w:pPr>
      <w:r>
        <w:t>Secure remote diagnostic sessions.</w:t>
      </w:r>
    </w:p>
    <w:p>
      <w:pPr>
        <w:pStyle w:val="ListBullet"/>
      </w:pPr>
      <w:r>
        <w:t>Video-assisted inspection.</w:t>
      </w:r>
    </w:p>
    <w:p>
      <w:pPr>
        <w:pStyle w:val="ListBullet"/>
      </w:pPr>
      <w:r>
        <w:t>On-site technical visits.</w:t>
      </w:r>
    </w:p>
    <w:p>
      <w:pPr>
        <w:pStyle w:val="ListBullet"/>
      </w:pPr>
      <w:r>
        <w:t>Workshop repair or exchange-unit arrangements.</w:t>
      </w:r>
    </w:p>
    <w:p>
      <w:pPr>
        <w:pStyle w:val="ListBullet"/>
      </w:pPr>
      <w:r>
        <w:t>Escalation to product engineering.</w:t>
      </w:r>
    </w:p>
    <w:p>
      <w:r>
        <w:t>The supplier should define how a request is registered, how its severity is assessed, who coordinates the response, and how the fault is closed.</w:t>
      </w:r>
    </w:p>
    <w:p>
      <w:pPr>
        <w:pStyle w:val="Heading3"/>
      </w:pPr>
      <w:r>
        <w:t>4.4 Preventive and predictive maintenance support</w:t>
      </w:r>
    </w:p>
    <w:p>
      <w:r>
        <w:t>This support may include:</w:t>
      </w:r>
    </w:p>
    <w:p>
      <w:pPr>
        <w:pStyle w:val="ListBullet"/>
      </w:pPr>
      <w:r>
        <w:t>Recommended preventive maintenance schedules.</w:t>
      </w:r>
    </w:p>
    <w:p>
      <w:pPr>
        <w:pStyle w:val="ListBullet"/>
      </w:pPr>
      <w:r>
        <w:t>Inspection and service procedures.</w:t>
      </w:r>
    </w:p>
    <w:p>
      <w:pPr>
        <w:pStyle w:val="ListBullet"/>
      </w:pPr>
      <w:r>
        <w:t>Condition-monitoring interpretation.</w:t>
      </w:r>
    </w:p>
    <w:p>
      <w:pPr>
        <w:pStyle w:val="ListBullet"/>
      </w:pPr>
      <w:r>
        <w:t>Diagnostic log analysis.</w:t>
      </w:r>
    </w:p>
    <w:p>
      <w:pPr>
        <w:pStyle w:val="ListBullet"/>
      </w:pPr>
      <w:r>
        <w:t>Drive, servo, robot, or CNC health checks.</w:t>
      </w:r>
    </w:p>
    <w:p>
      <w:pPr>
        <w:pStyle w:val="ListBullet"/>
      </w:pPr>
      <w:r>
        <w:t>Calibration recommendations.</w:t>
      </w:r>
    </w:p>
    <w:p>
      <w:pPr>
        <w:pStyle w:val="ListBullet"/>
      </w:pPr>
      <w:r>
        <w:t>Firmware and software maintenance planning.</w:t>
      </w:r>
    </w:p>
    <w:p>
      <w:pPr>
        <w:pStyle w:val="ListBullet"/>
      </w:pPr>
      <w:r>
        <w:t>Failure-trend analysis.</w:t>
      </w:r>
    </w:p>
    <w:p>
      <w:pPr>
        <w:pStyle w:val="ListBullet"/>
      </w:pPr>
      <w:r>
        <w:t>Root-cause analysis for recurring failures.</w:t>
      </w:r>
    </w:p>
    <w:p>
      <w:r>
        <w:t>The plant should confirm whether these services are included in the purchase price, warranty, service agreement, or a separate annual contract.</w:t>
      </w:r>
    </w:p>
    <w:p>
      <w:pPr>
        <w:pStyle w:val="Heading3"/>
      </w:pPr>
      <w:r>
        <w:t>4.5 Software and engineering support</w:t>
      </w:r>
    </w:p>
    <w:p>
      <w:r>
        <w:t>Industrial equipment often depends on engineering software and proprietary configuration tools.</w:t>
      </w:r>
    </w:p>
    <w:p>
      <w:r>
        <w:t>Support may cover:</w:t>
      </w:r>
    </w:p>
    <w:p>
      <w:pPr>
        <w:pStyle w:val="ListBullet"/>
      </w:pPr>
      <w:r>
        <w:t>PLC, HMI, CNC, robot, and drive programming tools.</w:t>
      </w:r>
    </w:p>
    <w:p>
      <w:pPr>
        <w:pStyle w:val="ListBullet"/>
      </w:pPr>
      <w:r>
        <w:t>Software installation and activation.</w:t>
      </w:r>
    </w:p>
    <w:p>
      <w:pPr>
        <w:pStyle w:val="ListBullet"/>
      </w:pPr>
      <w:r>
        <w:t>License recovery or transfer.</w:t>
      </w:r>
    </w:p>
    <w:p>
      <w:pPr>
        <w:pStyle w:val="ListBullet"/>
      </w:pPr>
      <w:r>
        <w:t>Compatibility between firmware and engineering software.</w:t>
      </w:r>
    </w:p>
    <w:p>
      <w:pPr>
        <w:pStyle w:val="ListBullet"/>
      </w:pPr>
      <w:r>
        <w:t>Application defects and troubleshooting.</w:t>
      </w:r>
    </w:p>
    <w:p>
      <w:pPr>
        <w:pStyle w:val="ListBullet"/>
      </w:pPr>
      <w:r>
        <w:t>Approved software updates.</w:t>
      </w:r>
    </w:p>
    <w:p>
      <w:pPr>
        <w:pStyle w:val="ListBullet"/>
      </w:pPr>
      <w:r>
        <w:t>Configuration backups and restoration.</w:t>
      </w:r>
    </w:p>
    <w:p>
      <w:pPr>
        <w:pStyle w:val="ListBullet"/>
      </w:pPr>
      <w:r>
        <w:t>Migration to newer supported versions.</w:t>
      </w:r>
    </w:p>
    <w:p>
      <w:pPr>
        <w:pStyle w:val="ListBullet"/>
      </w:pPr>
      <w:r>
        <w:t>Access to manuals, release notes, and technical advisories.</w:t>
      </w:r>
    </w:p>
    <w:p>
      <w:r>
        <w:t>Clarify whether the supplier supports the actual installed software version, rather than merely offering a current version that may not be compatible with the production equipment.</w:t>
      </w:r>
    </w:p>
    <w:p>
      <w:pPr>
        <w:pStyle w:val="Heading3"/>
      </w:pPr>
      <w:r>
        <w:t>4.6 Training and knowledge transfer</w:t>
      </w:r>
    </w:p>
    <w:p>
      <w:r>
        <w:t>Training may include:</w:t>
      </w:r>
    </w:p>
    <w:p>
      <w:pPr>
        <w:pStyle w:val="ListBullet"/>
      </w:pPr>
      <w:r>
        <w:t>Operator-level fault recognition.</w:t>
      </w:r>
    </w:p>
    <w:p>
      <w:pPr>
        <w:pStyle w:val="ListBullet"/>
      </w:pPr>
      <w:r>
        <w:t>Technician-level diagnosis and replacement.</w:t>
      </w:r>
    </w:p>
    <w:p>
      <w:pPr>
        <w:pStyle w:val="ListBullet"/>
      </w:pPr>
      <w:r>
        <w:t>Engineer-level programming and configuration recovery.</w:t>
      </w:r>
    </w:p>
    <w:p>
      <w:pPr>
        <w:pStyle w:val="ListBullet"/>
      </w:pPr>
      <w:r>
        <w:t>Advanced diagnostics and root-cause analysis.</w:t>
      </w:r>
    </w:p>
    <w:p>
      <w:pPr>
        <w:pStyle w:val="ListBullet"/>
      </w:pPr>
      <w:r>
        <w:t>Backup and restore procedures.</w:t>
      </w:r>
    </w:p>
    <w:p>
      <w:pPr>
        <w:pStyle w:val="ListBullet"/>
      </w:pPr>
      <w:r>
        <w:t>Safe servicing and isolation.</w:t>
      </w:r>
    </w:p>
    <w:p>
      <w:pPr>
        <w:pStyle w:val="ListBullet"/>
      </w:pPr>
      <w:r>
        <w:t>Software version management.</w:t>
      </w:r>
    </w:p>
    <w:p>
      <w:pPr>
        <w:pStyle w:val="ListBullet"/>
      </w:pPr>
      <w:r>
        <w:t>Troubleshooting using diagnostic tools.</w:t>
      </w:r>
    </w:p>
    <w:p>
      <w:r>
        <w:t>Training should specify the target audience, course content, duration, language, practical exercises, required prerequisites, training materials, and competency assessment.</w:t>
      </w:r>
    </w:p>
    <w:p>
      <w:pPr>
        <w:pStyle w:val="Heading3"/>
      </w:pPr>
      <w:r>
        <w:t>4.7 Warranty and post-warranty support</w:t>
      </w:r>
    </w:p>
    <w:p>
      <w:r>
        <w:t>Warranty support generally addresses defined defects or failures under specified terms. Post-warranty support covers assistance after the warranty expires.</w:t>
      </w:r>
    </w:p>
    <w:p>
      <w:r>
        <w:t>The contract should clarify:</w:t>
      </w:r>
    </w:p>
    <w:p>
      <w:pPr>
        <w:pStyle w:val="ListBullet"/>
      </w:pPr>
      <w:r>
        <w:t>Warranty duration and commencement date.</w:t>
      </w:r>
    </w:p>
    <w:p>
      <w:pPr>
        <w:pStyle w:val="ListBullet"/>
      </w:pPr>
      <w:r>
        <w:t>Covered components, labor, and service activities.</w:t>
      </w:r>
    </w:p>
    <w:p>
      <w:pPr>
        <w:pStyle w:val="ListBullet"/>
      </w:pPr>
      <w:r>
        <w:t>Exclusions and conditions.</w:t>
      </w:r>
    </w:p>
    <w:p>
      <w:pPr>
        <w:pStyle w:val="ListBullet"/>
      </w:pPr>
      <w:r>
        <w:t>Response and repair arrangements.</w:t>
      </w:r>
    </w:p>
    <w:p>
      <w:pPr>
        <w:pStyle w:val="ListBullet"/>
      </w:pPr>
      <w:r>
        <w:t>Treatment of consumables and wear parts.</w:t>
      </w:r>
    </w:p>
    <w:p>
      <w:pPr>
        <w:pStyle w:val="ListBullet"/>
      </w:pPr>
      <w:r>
        <w:t>Travel, accommodation, freight, and emergency charges.</w:t>
      </w:r>
    </w:p>
    <w:p>
      <w:pPr>
        <w:pStyle w:val="ListBullet"/>
      </w:pPr>
      <w:r>
        <w:t>Availability of paid support after warranty.</w:t>
      </w:r>
    </w:p>
    <w:p>
      <w:pPr>
        <w:pStyle w:val="ListBullet"/>
      </w:pPr>
      <w:r>
        <w:t>Repair or replacement arrangements for discontinued products.</w:t>
      </w:r>
    </w:p>
    <w:p>
      <w:r>
        <w:t>A warranty does not automatically guarantee rapid restoration. A supplier may accept a defect claim but still take considerable time to provide a replacement. Warranty terms and operational service commitments must therefore be evaluated separately.</w:t>
      </w:r>
    </w:p>
    <w:p>
      <w:pPr>
        <w:pStyle w:val="Heading2"/>
      </w:pPr>
      <w:r>
        <w:t>5. Support levels and escalation structure</w:t>
      </w:r>
    </w:p>
    <w:p>
      <w:r>
        <w:t>A defined support hierarchy helps route faults to the correct expertise without wasting time repeating basic checks.</w:t>
      </w:r>
    </w:p>
    <w:p>
      <w:r>
        <w:t>A typical model is:</w:t>
      </w:r>
    </w:p>
    <w:p>
      <w:pPr>
        <w:shd w:val="clear" w:color="auto" w:fill="F4F4F4"/>
        <w:spacing w:before="0" w:after="0" w:line="240" w:lineRule="auto"/>
        <w:ind w:left="216" w:right="216"/>
        <w:jc w:val="left"/>
      </w:pPr>
      <w:r>
        <w:rPr>
          <w:rFonts w:ascii="Consolas" w:hAnsi="Consolas"/>
          <w:color w:val="202020"/>
          <w:sz w:val="18"/>
        </w:rPr>
        <w:t>Plant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maintenance / first-line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technical helpdesk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 specialist / application engineer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OEM engineering / advanced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On-site specialist or formal repair facility</w:t>
      </w:r>
    </w:p>
    <w:p/>
    <w:p>
      <w:r>
        <w:t>The actual sequence depends on equipment criticality and the agreed support model. A production-critical failure may require immediate parallel escalation rather than waiting for every level to complete its work.</w:t>
      </w:r>
    </w:p>
    <w:p>
      <w:pPr>
        <w:pStyle w:val="Heading3"/>
      </w:pPr>
      <w:r>
        <w:t>5.1 Level 1: First-line support</w:t>
      </w:r>
    </w:p>
    <w:p>
      <w:r>
        <w:t>Typical activities:</w:t>
      </w:r>
    </w:p>
    <w:p>
      <w:pPr>
        <w:pStyle w:val="ListBullet"/>
      </w:pPr>
      <w:r>
        <w:t>Collect the alarm or fault code.</w:t>
      </w:r>
    </w:p>
    <w:p>
      <w:pPr>
        <w:pStyle w:val="ListBullet"/>
      </w:pPr>
      <w:r>
        <w:t>Record the time and operating conditions.</w:t>
      </w:r>
    </w:p>
    <w:p>
      <w:pPr>
        <w:pStyle w:val="ListBullet"/>
      </w:pPr>
      <w:r>
        <w:t>Verify basic power, communication, and status indications.</w:t>
      </w:r>
    </w:p>
    <w:p>
      <w:pPr>
        <w:pStyle w:val="ListBullet"/>
      </w:pPr>
      <w:r>
        <w:t>Check documented operating and maintenance procedures.</w:t>
      </w:r>
    </w:p>
    <w:p>
      <w:pPr>
        <w:pStyle w:val="ListBullet"/>
      </w:pPr>
      <w:r>
        <w:t>Collect photographs, diagnostic logs, and relevant measurements.</w:t>
      </w:r>
    </w:p>
    <w:p>
      <w:pPr>
        <w:pStyle w:val="ListBullet"/>
      </w:pPr>
      <w:r>
        <w:t>Confirm whether the issue is reproducible.</w:t>
      </w:r>
    </w:p>
    <w:p>
      <w:pPr>
        <w:pStyle w:val="ListBullet"/>
      </w:pPr>
      <w:r>
        <w:t>Escalate when the fault exceeds the team's authorization or competence.</w:t>
      </w:r>
    </w:p>
    <w:p>
      <w:r>
        <w:t>First-line support should not involve uncontrolled software changes, unsafe measurements, or repeated resets that erase useful diagnostic evidence.</w:t>
      </w:r>
    </w:p>
    <w:p>
      <w:pPr>
        <w:pStyle w:val="Heading3"/>
      </w:pPr>
      <w:r>
        <w:t>5.2 Level 2: Technical specialist support</w:t>
      </w:r>
    </w:p>
    <w:p>
      <w:r>
        <w:t>Typical activities:</w:t>
      </w:r>
    </w:p>
    <w:p>
      <w:pPr>
        <w:pStyle w:val="ListBullet"/>
      </w:pPr>
      <w:r>
        <w:t>Analyze detailed diagnostic logs.</w:t>
      </w:r>
    </w:p>
    <w:p>
      <w:pPr>
        <w:pStyle w:val="ListBullet"/>
      </w:pPr>
      <w:r>
        <w:t>Interpret PLC, CNC, robot, drive, or network faults.</w:t>
      </w:r>
    </w:p>
    <w:p>
      <w:pPr>
        <w:pStyle w:val="ListBullet"/>
      </w:pPr>
      <w:r>
        <w:t>Verify hardware and software compatibility.</w:t>
      </w:r>
    </w:p>
    <w:p>
      <w:pPr>
        <w:pStyle w:val="ListBullet"/>
      </w:pPr>
      <w:r>
        <w:t>Recommend documented diagnostic tests.</w:t>
      </w:r>
    </w:p>
    <w:p>
      <w:pPr>
        <w:pStyle w:val="ListBullet"/>
      </w:pPr>
      <w:r>
        <w:t>Review application configuration.</w:t>
      </w:r>
    </w:p>
    <w:p>
      <w:pPr>
        <w:pStyle w:val="ListBullet"/>
      </w:pPr>
      <w:r>
        <w:t>Determine whether replacement, repair, or further escalation is necessary.</w:t>
      </w:r>
    </w:p>
    <w:p>
      <w:pPr>
        <w:pStyle w:val="Heading3"/>
      </w:pPr>
      <w:r>
        <w:t>5.3 Level 3: OEM or engineering escalation</w:t>
      </w:r>
    </w:p>
    <w:p>
      <w:r>
        <w:t>Typical activities:</w:t>
      </w:r>
    </w:p>
    <w:p>
      <w:pPr>
        <w:pStyle w:val="ListBullet"/>
      </w:pPr>
      <w:r>
        <w:t>Investigate suspected product defects.</w:t>
      </w:r>
    </w:p>
    <w:p>
      <w:pPr>
        <w:pStyle w:val="ListBullet"/>
      </w:pPr>
      <w:r>
        <w:t>Analyze complex firmware or hardware failures.</w:t>
      </w:r>
    </w:p>
    <w:p>
      <w:pPr>
        <w:pStyle w:val="ListBullet"/>
      </w:pPr>
      <w:r>
        <w:t>Resolve software defects and integration problems.</w:t>
      </w:r>
    </w:p>
    <w:p>
      <w:pPr>
        <w:pStyle w:val="ListBullet"/>
      </w:pPr>
      <w:r>
        <w:t>Provide engineering-level corrective actions.</w:t>
      </w:r>
    </w:p>
    <w:p>
      <w:pPr>
        <w:pStyle w:val="ListBullet"/>
      </w:pPr>
      <w:r>
        <w:t>Issue approved workarounds or product updates.</w:t>
      </w:r>
    </w:p>
    <w:p>
      <w:pPr>
        <w:pStyle w:val="ListBullet"/>
      </w:pPr>
      <w:r>
        <w:t>Coordinate repair, replacement, or engineering changes.</w:t>
      </w:r>
    </w:p>
    <w:p>
      <w:r>
        <w:t>A support contract should define how the supplier escalates a case when the assigned engineer cannot resolve it.</w:t>
      </w:r>
    </w:p>
    <w:p>
      <w:pPr>
        <w:pStyle w:val="Heading2"/>
      </w:pPr>
      <w:r>
        <w:t>6. Service-level agreements</w:t>
      </w:r>
    </w:p>
    <w:p>
      <w:r>
        <w:t>A service-level agreement (SLA) defines measurable support commitments between the customer and supplier.</w:t>
      </w:r>
    </w:p>
    <w:p>
      <w:r>
        <w:t>It may specify support hours, acknowledgment time, response time, escalation, remote support availability, on-site attendance, restoration targets, and reporting requirements.</w:t>
      </w:r>
    </w:p>
    <w:p>
      <w:pPr>
        <w:pStyle w:val="Heading3"/>
      </w:pPr>
      <w:r>
        <w:t>6.1 Key SLA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Support hours</w:t>
            </w:r>
          </w:p>
        </w:tc>
        <w:tc>
          <w:tcPr>
            <w:tcW w:type="dxa" w:w="3600"/>
          </w:tcPr>
          <w:p>
            <w:pPr>
              <w:spacing w:after="0" w:before="0" w:line="240" w:lineRule="auto"/>
              <w:jc w:val="left"/>
            </w:pPr>
            <w:r>
              <w:t>Period during which the contracted support channel operates</w:t>
            </w:r>
          </w:p>
        </w:tc>
        <w:tc>
          <w:tcPr>
            <w:tcW w:type="dxa" w:w="3600"/>
          </w:tcPr>
          <w:p>
            <w:pPr>
              <w:spacing w:after="0" w:before="0" w:line="240" w:lineRule="auto"/>
              <w:jc w:val="left"/>
            </w:pPr>
            <w:r>
              <w:t>24 hours a day, 7 days a week</w:t>
            </w:r>
          </w:p>
        </w:tc>
      </w:tr>
      <w:tr>
        <w:tc>
          <w:tcPr>
            <w:tcW w:type="dxa" w:w="3600"/>
          </w:tcPr>
          <w:p>
            <w:pPr>
              <w:spacing w:after="0" w:before="0" w:line="240" w:lineRule="auto"/>
              <w:jc w:val="left"/>
            </w:pPr>
            <w:r>
              <w:t>Acknowledgment time</w:t>
            </w:r>
          </w:p>
        </w:tc>
        <w:tc>
          <w:tcPr>
            <w:tcW w:type="dxa" w:w="3600"/>
          </w:tcPr>
          <w:p>
            <w:pPr>
              <w:spacing w:after="0" w:before="0" w:line="240" w:lineRule="auto"/>
              <w:jc w:val="left"/>
            </w:pPr>
            <w:r>
              <w:t>Time until the supplier confirms receipt of the request</w:t>
            </w:r>
          </w:p>
        </w:tc>
        <w:tc>
          <w:tcPr>
            <w:tcW w:type="dxa" w:w="3600"/>
          </w:tcPr>
          <w:p>
            <w:pPr>
              <w:spacing w:after="0" w:before="0" w:line="240" w:lineRule="auto"/>
              <w:jc w:val="left"/>
            </w:pPr>
            <w:r>
              <w:t>15 minutes</w:t>
            </w:r>
          </w:p>
        </w:tc>
      </w:tr>
      <w:tr>
        <w:tc>
          <w:tcPr>
            <w:tcW w:type="dxa" w:w="3600"/>
          </w:tcPr>
          <w:p>
            <w:pPr>
              <w:spacing w:after="0" w:before="0" w:line="240" w:lineRule="auto"/>
              <w:jc w:val="left"/>
            </w:pPr>
            <w:r>
              <w:t>Initial response time</w:t>
            </w:r>
          </w:p>
        </w:tc>
        <w:tc>
          <w:tcPr>
            <w:tcW w:type="dxa" w:w="3600"/>
          </w:tcPr>
          <w:p>
            <w:pPr>
              <w:spacing w:after="0" w:before="0" w:line="240" w:lineRule="auto"/>
              <w:jc w:val="left"/>
            </w:pPr>
            <w:r>
              <w:t>Time until meaningful technical engagement begins</w:t>
            </w:r>
          </w:p>
        </w:tc>
        <w:tc>
          <w:tcPr>
            <w:tcW w:type="dxa" w:w="3600"/>
          </w:tcPr>
          <w:p>
            <w:pPr>
              <w:spacing w:after="0" w:before="0" w:line="240" w:lineRule="auto"/>
              <w:jc w:val="left"/>
            </w:pPr>
            <w:r>
              <w:t>30 minutes</w:t>
            </w:r>
          </w:p>
        </w:tc>
      </w:tr>
      <w:tr>
        <w:tc>
          <w:tcPr>
            <w:tcW w:type="dxa" w:w="3600"/>
          </w:tcPr>
          <w:p>
            <w:pPr>
              <w:spacing w:after="0" w:before="0" w:line="240" w:lineRule="auto"/>
              <w:jc w:val="left"/>
            </w:pPr>
            <w:r>
              <w:t>Remote engagement time</w:t>
            </w:r>
          </w:p>
        </w:tc>
        <w:tc>
          <w:tcPr>
            <w:tcW w:type="dxa" w:w="3600"/>
          </w:tcPr>
          <w:p>
            <w:pPr>
              <w:spacing w:after="0" w:before="0" w:line="240" w:lineRule="auto"/>
              <w:jc w:val="left"/>
            </w:pPr>
            <w:r>
              <w:t>Time until an engineer starts remote diagnosis</w:t>
            </w:r>
          </w:p>
        </w:tc>
        <w:tc>
          <w:tcPr>
            <w:tcW w:type="dxa" w:w="3600"/>
          </w:tcPr>
          <w:p>
            <w:pPr>
              <w:spacing w:after="0" w:before="0" w:line="240" w:lineRule="auto"/>
              <w:jc w:val="left"/>
            </w:pPr>
            <w:r>
              <w:t>45 minutes</w:t>
            </w:r>
          </w:p>
        </w:tc>
      </w:tr>
      <w:tr>
        <w:tc>
          <w:tcPr>
            <w:tcW w:type="dxa" w:w="3600"/>
          </w:tcPr>
          <w:p>
            <w:pPr>
              <w:spacing w:after="0" w:before="0" w:line="240" w:lineRule="auto"/>
              <w:jc w:val="left"/>
            </w:pPr>
            <w:r>
              <w:t>On-site attendance time</w:t>
            </w:r>
          </w:p>
        </w:tc>
        <w:tc>
          <w:tcPr>
            <w:tcW w:type="dxa" w:w="3600"/>
          </w:tcPr>
          <w:p>
            <w:pPr>
              <w:spacing w:after="0" w:before="0" w:line="240" w:lineRule="auto"/>
              <w:jc w:val="left"/>
            </w:pPr>
            <w:r>
              <w:t>Time until the required engineer reaches the site</w:t>
            </w:r>
          </w:p>
        </w:tc>
        <w:tc>
          <w:tcPr>
            <w:tcW w:type="dxa" w:w="3600"/>
          </w:tcPr>
          <w:p>
            <w:pPr>
              <w:spacing w:after="0" w:before="0" w:line="240" w:lineRule="auto"/>
              <w:jc w:val="left"/>
            </w:pPr>
            <w:r>
              <w:t>4 hours</w:t>
            </w:r>
          </w:p>
        </w:tc>
      </w:tr>
      <w:tr>
        <w:tc>
          <w:tcPr>
            <w:tcW w:type="dxa" w:w="3600"/>
          </w:tcPr>
          <w:p>
            <w:pPr>
              <w:spacing w:after="0" w:before="0" w:line="240" w:lineRule="auto"/>
              <w:jc w:val="left"/>
            </w:pPr>
            <w:r>
              <w:t>Restoration target</w:t>
            </w:r>
          </w:p>
        </w:tc>
        <w:tc>
          <w:tcPr>
            <w:tcW w:type="dxa" w:w="3600"/>
          </w:tcPr>
          <w:p>
            <w:pPr>
              <w:spacing w:after="0" w:before="0" w:line="240" w:lineRule="auto"/>
              <w:jc w:val="left"/>
            </w:pPr>
            <w:r>
              <w:t>Target time to restore the defined required function</w:t>
            </w:r>
          </w:p>
        </w:tc>
        <w:tc>
          <w:tcPr>
            <w:tcW w:type="dxa" w:w="3600"/>
          </w:tcPr>
          <w:p>
            <w:pPr>
              <w:spacing w:after="0" w:before="0" w:line="240" w:lineRule="auto"/>
              <w:jc w:val="left"/>
            </w:pPr>
            <w:r>
              <w:t>8 hours, subject to agreed assumptions</w:t>
            </w:r>
          </w:p>
        </w:tc>
      </w:tr>
      <w:tr>
        <w:tc>
          <w:tcPr>
            <w:tcW w:type="dxa" w:w="3600"/>
          </w:tcPr>
          <w:p>
            <w:pPr>
              <w:spacing w:after="0" w:before="0" w:line="240" w:lineRule="auto"/>
              <w:jc w:val="left"/>
            </w:pPr>
            <w:r>
              <w:t>Escalation time</w:t>
            </w:r>
          </w:p>
        </w:tc>
        <w:tc>
          <w:tcPr>
            <w:tcW w:type="dxa" w:w="3600"/>
          </w:tcPr>
          <w:p>
            <w:pPr>
              <w:spacing w:after="0" w:before="0" w:line="240" w:lineRule="auto"/>
              <w:jc w:val="left"/>
            </w:pPr>
            <w:r>
              <w:t>Time before the case is escalated to a higher support level</w:t>
            </w:r>
          </w:p>
        </w:tc>
        <w:tc>
          <w:tcPr>
            <w:tcW w:type="dxa" w:w="3600"/>
          </w:tcPr>
          <w:p>
            <w:pPr>
              <w:spacing w:after="0" w:before="0" w:line="240" w:lineRule="auto"/>
              <w:jc w:val="left"/>
            </w:pPr>
            <w:r>
              <w:t>60 minutes without progress</w:t>
            </w:r>
          </w:p>
        </w:tc>
      </w:tr>
      <w:tr>
        <w:tc>
          <w:tcPr>
            <w:tcW w:type="dxa" w:w="3600"/>
          </w:tcPr>
          <w:p>
            <w:pPr>
              <w:spacing w:after="0" w:before="0" w:line="240" w:lineRule="auto"/>
              <w:jc w:val="left"/>
            </w:pPr>
            <w:r>
              <w:t>Update frequency</w:t>
            </w:r>
          </w:p>
        </w:tc>
        <w:tc>
          <w:tcPr>
            <w:tcW w:type="dxa" w:w="3600"/>
          </w:tcPr>
          <w:p>
            <w:pPr>
              <w:spacing w:after="0" w:before="0" w:line="240" w:lineRule="auto"/>
              <w:jc w:val="left"/>
            </w:pPr>
            <w:r>
              <w:t>Maximum interval between meaningful status updates</w:t>
            </w:r>
          </w:p>
        </w:tc>
        <w:tc>
          <w:tcPr>
            <w:tcW w:type="dxa" w:w="3600"/>
          </w:tcPr>
          <w:p>
            <w:pPr>
              <w:spacing w:after="0" w:before="0" w:line="240" w:lineRule="auto"/>
              <w:jc w:val="left"/>
            </w:pPr>
            <w:r>
              <w:t>Every 60 minutes during a critical incident</w:t>
            </w:r>
          </w:p>
        </w:tc>
      </w:tr>
      <w:tr>
        <w:tc>
          <w:tcPr>
            <w:tcW w:type="dxa" w:w="3600"/>
          </w:tcPr>
          <w:p>
            <w:pPr>
              <w:spacing w:after="0" w:before="0" w:line="240" w:lineRule="auto"/>
              <w:jc w:val="left"/>
            </w:pPr>
            <w:r>
              <w:t>Resolution time</w:t>
            </w:r>
          </w:p>
        </w:tc>
        <w:tc>
          <w:tcPr>
            <w:tcW w:type="dxa" w:w="3600"/>
          </w:tcPr>
          <w:p>
            <w:pPr>
              <w:spacing w:after="0" w:before="0" w:line="240" w:lineRule="auto"/>
              <w:jc w:val="left"/>
            </w:pPr>
            <w:r>
              <w:t>Time until the issue is resolved according to the agreed definition</w:t>
            </w:r>
          </w:p>
        </w:tc>
        <w:tc>
          <w:tcPr>
            <w:tcW w:type="dxa" w:w="3600"/>
          </w:tcPr>
          <w:p>
            <w:pPr>
              <w:spacing w:after="0" w:before="0" w:line="240" w:lineRule="auto"/>
              <w:jc w:val="left"/>
            </w:pPr>
            <w:r>
              <w:t>Defined by incident category and service scope</w:t>
            </w:r>
          </w:p>
        </w:tc>
      </w:tr>
    </w:tbl>
    <w:p/>
    <w:p>
      <w:r>
        <w:t>These figures are illustrative only. They are not industry-wide guarantees. Appropriate targets depend on equipment criticality, site location, available spares, support hours, and the consequences of downtime.</w:t>
      </w:r>
    </w:p>
    <w:p>
      <w:pPr>
        <w:pStyle w:val="Heading3"/>
      </w:pPr>
      <w:r>
        <w:t>6.2 Response time versus resolution time</w:t>
      </w:r>
    </w:p>
    <w:p>
      <w:r>
        <w:t>These terms must not be confused.</w:t>
      </w:r>
    </w:p>
    <w:p>
      <w:pPr>
        <w:pStyle w:val="ListBullet"/>
      </w:pPr>
      <w:r>
        <w:t>Acknowledgment time: The supplier confirms that the case has been received.</w:t>
      </w:r>
    </w:p>
    <w:p>
      <w:pPr>
        <w:pStyle w:val="ListBullet"/>
      </w:pPr>
      <w:r>
        <w:t>Response time: The supplier begins the agreed level of meaningful engagement.</w:t>
      </w:r>
    </w:p>
    <w:p>
      <w:pPr>
        <w:pStyle w:val="ListBullet"/>
      </w:pPr>
      <w:r>
        <w:t>Diagnosis time: The supplier identifies or narrows the probable cause.</w:t>
      </w:r>
    </w:p>
    <w:p>
      <w:pPr>
        <w:pStyle w:val="ListBullet"/>
      </w:pPr>
      <w:r>
        <w:t>Restoration time: The equipment is returned to the agreed operational condition.</w:t>
      </w:r>
    </w:p>
    <w:p>
      <w:pPr>
        <w:pStyle w:val="ListBullet"/>
      </w:pPr>
      <w:r>
        <w:t>Resolution time: The issue is addressed according to the contract's definition, which may require permanent corrective action in addition to restoration.</w:t>
      </w:r>
    </w:p>
    <w:p>
      <w:r>
        <w:t>A supplier can satisfy a five-minute acknowledgment SLA while leaving the plant waiting all day for an engineer. The contract must measure the commitments that actually matter to production.</w:t>
      </w:r>
    </w:p>
    <w:p>
      <w:pPr>
        <w:pStyle w:val="Heading3"/>
      </w:pPr>
      <w:r>
        <w:t>6.3 Incident severity classification</w:t>
      </w:r>
    </w:p>
    <w:p>
      <w:r>
        <w:t>Define severity based on operational impact, safety, quality, and redundancy rather than the supplier's convenience.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Severity</w:t>
            </w:r>
          </w:p>
        </w:tc>
        <w:tc>
          <w:tcPr>
            <w:tcW w:type="dxa" w:w="3600"/>
            <w:shd w:val="clear" w:color="auto" w:fill="EEF2F7"/>
          </w:tcPr>
          <w:p>
            <w:pPr>
              <w:spacing w:after="0" w:before="0" w:line="240" w:lineRule="auto"/>
              <w:jc w:val="left"/>
            </w:pPr>
            <w:r>
              <w:rPr>
                <w:b/>
                <w:color w:val="1A2E4A"/>
              </w:rPr>
              <w:t>Typical condition</w:t>
            </w:r>
          </w:p>
        </w:tc>
        <w:tc>
          <w:tcPr>
            <w:tcW w:type="dxa" w:w="3600"/>
            <w:shd w:val="clear" w:color="auto" w:fill="EEF2F7"/>
          </w:tcPr>
          <w:p>
            <w:pPr>
              <w:spacing w:after="0" w:before="0" w:line="240" w:lineRule="auto"/>
              <w:jc w:val="left"/>
            </w:pPr>
            <w:r>
              <w:rPr>
                <w:b/>
                <w:color w:val="1A2E4A"/>
              </w:rPr>
              <w:t>Support expectation</w:t>
            </w:r>
          </w:p>
        </w:tc>
      </w:tr>
      <w:tr>
        <w:tc>
          <w:tcPr>
            <w:tcW w:type="dxa" w:w="3600"/>
          </w:tcPr>
          <w:p>
            <w:pPr>
              <w:spacing w:after="0" w:before="0" w:line="240" w:lineRule="auto"/>
              <w:jc w:val="left"/>
            </w:pPr>
            <w:r>
              <w:t>Critical</w:t>
            </w:r>
          </w:p>
        </w:tc>
        <w:tc>
          <w:tcPr>
            <w:tcW w:type="dxa" w:w="3600"/>
          </w:tcPr>
          <w:p>
            <w:pPr>
              <w:spacing w:after="0" w:before="0" w:line="240" w:lineRule="auto"/>
              <w:jc w:val="left"/>
            </w:pPr>
            <w:r>
              <w:t>Complete loss of a critical production function or serious system-level incident</w:t>
            </w:r>
          </w:p>
        </w:tc>
        <w:tc>
          <w:tcPr>
            <w:tcW w:type="dxa" w:w="3600"/>
          </w:tcPr>
          <w:p>
            <w:pPr>
              <w:spacing w:after="0" w:before="0" w:line="240" w:lineRule="auto"/>
              <w:jc w:val="left"/>
            </w:pPr>
            <w:r>
              <w:t>Immediate escalation and highest agreed support priority</w:t>
            </w:r>
          </w:p>
        </w:tc>
      </w:tr>
      <w:tr>
        <w:tc>
          <w:tcPr>
            <w:tcW w:type="dxa" w:w="3600"/>
          </w:tcPr>
          <w:p>
            <w:pPr>
              <w:spacing w:after="0" w:before="0" w:line="240" w:lineRule="auto"/>
              <w:jc w:val="left"/>
            </w:pPr>
            <w:r>
              <w:t>High</w:t>
            </w:r>
          </w:p>
        </w:tc>
        <w:tc>
          <w:tcPr>
            <w:tcW w:type="dxa" w:w="3600"/>
          </w:tcPr>
          <w:p>
            <w:pPr>
              <w:spacing w:after="0" w:before="0" w:line="240" w:lineRule="auto"/>
              <w:jc w:val="left"/>
            </w:pPr>
            <w:r>
              <w:t>Major functional degradation with substantial production impact</w:t>
            </w:r>
          </w:p>
        </w:tc>
        <w:tc>
          <w:tcPr>
            <w:tcW w:type="dxa" w:w="3600"/>
          </w:tcPr>
          <w:p>
            <w:pPr>
              <w:spacing w:after="0" w:before="0" w:line="240" w:lineRule="auto"/>
              <w:jc w:val="left"/>
            </w:pPr>
            <w:r>
              <w:t>Expedited diagnosis and recovery</w:t>
            </w:r>
          </w:p>
        </w:tc>
      </w:tr>
      <w:tr>
        <w:tc>
          <w:tcPr>
            <w:tcW w:type="dxa" w:w="3600"/>
          </w:tcPr>
          <w:p>
            <w:pPr>
              <w:spacing w:after="0" w:before="0" w:line="240" w:lineRule="auto"/>
              <w:jc w:val="left"/>
            </w:pPr>
            <w:r>
              <w:t>Medium</w:t>
            </w:r>
          </w:p>
        </w:tc>
        <w:tc>
          <w:tcPr>
            <w:tcW w:type="dxa" w:w="3600"/>
          </w:tcPr>
          <w:p>
            <w:pPr>
              <w:spacing w:after="0" w:before="0" w:line="240" w:lineRule="auto"/>
              <w:jc w:val="left"/>
            </w:pPr>
            <w:r>
              <w:t>Partial degradation with a viable temporary operating arrangement</w:t>
            </w:r>
          </w:p>
        </w:tc>
        <w:tc>
          <w:tcPr>
            <w:tcW w:type="dxa" w:w="3600"/>
          </w:tcPr>
          <w:p>
            <w:pPr>
              <w:spacing w:after="0" w:before="0" w:line="240" w:lineRule="auto"/>
              <w:jc w:val="left"/>
            </w:pPr>
            <w:r>
              <w:t>Planned but prioritized corrective action</w:t>
            </w:r>
          </w:p>
        </w:tc>
      </w:tr>
      <w:tr>
        <w:tc>
          <w:tcPr>
            <w:tcW w:type="dxa" w:w="3600"/>
          </w:tcPr>
          <w:p>
            <w:pPr>
              <w:spacing w:after="0" w:before="0" w:line="240" w:lineRule="auto"/>
              <w:jc w:val="left"/>
            </w:pPr>
            <w:r>
              <w:t>Low</w:t>
            </w:r>
          </w:p>
        </w:tc>
        <w:tc>
          <w:tcPr>
            <w:tcW w:type="dxa" w:w="3600"/>
          </w:tcPr>
          <w:p>
            <w:pPr>
              <w:spacing w:after="0" w:before="0" w:line="240" w:lineRule="auto"/>
              <w:jc w:val="left"/>
            </w:pPr>
            <w:r>
              <w:t>Minor issue, documentation request, or non-urgent improvement</w:t>
            </w:r>
          </w:p>
        </w:tc>
        <w:tc>
          <w:tcPr>
            <w:tcW w:type="dxa" w:w="3600"/>
          </w:tcPr>
          <w:p>
            <w:pPr>
              <w:spacing w:after="0" w:before="0" w:line="240" w:lineRule="auto"/>
              <w:jc w:val="left"/>
            </w:pPr>
            <w:r>
              <w:t>Normal support queue</w:t>
            </w:r>
          </w:p>
        </w:tc>
      </w:tr>
    </w:tbl>
    <w:p/>
    <w:p>
      <w:r>
        <w:t>Safety incidents and cybersecurity incidents may require separate escalation paths. A cybersecurity incident should not be treated as an ordinary breakdown if immediate containment or formal incident response is necessary.</w:t>
      </w:r>
    </w:p>
    <w:p>
      <w:pPr>
        <w:pStyle w:val="Heading3"/>
      </w:pPr>
      <w:r>
        <w:t>6.4 SLA measurement</w:t>
      </w:r>
    </w:p>
    <w:p>
      <w:r>
        <w:t>For each support case, record:</w:t>
      </w:r>
    </w:p>
    <w:p>
      <w:pPr>
        <w:pStyle w:val="ListBullet"/>
      </w:pPr>
      <w:r>
        <w:t>Incident identification and registration time.</w:t>
      </w:r>
    </w:p>
    <w:p>
      <w:pPr>
        <w:pStyle w:val="ListBullet"/>
      </w:pPr>
      <w:r>
        <w:t>Acknowledgment time.</w:t>
      </w:r>
    </w:p>
    <w:p>
      <w:pPr>
        <w:pStyle w:val="ListBullet"/>
      </w:pPr>
      <w:r>
        <w:t>First meaningful technical response.</w:t>
      </w:r>
    </w:p>
    <w:p>
      <w:pPr>
        <w:pStyle w:val="ListBullet"/>
      </w:pPr>
      <w:r>
        <w:t>Start of diagnosis.</w:t>
      </w:r>
    </w:p>
    <w:p>
      <w:pPr>
        <w:pStyle w:val="ListBullet"/>
      </w:pPr>
      <w:r>
        <w:t>Escalation timestamps.</w:t>
      </w:r>
    </w:p>
    <w:p>
      <w:pPr>
        <w:pStyle w:val="ListBullet"/>
      </w:pPr>
      <w:r>
        <w:t>On-site arrival, if applicable.</w:t>
      </w:r>
    </w:p>
    <w:p>
      <w:pPr>
        <w:pStyle w:val="ListBullet"/>
      </w:pPr>
      <w:r>
        <w:t>Time of functional restoration.</w:t>
      </w:r>
    </w:p>
    <w:p>
      <w:pPr>
        <w:pStyle w:val="ListBullet"/>
      </w:pPr>
      <w:r>
        <w:t>Time of permanent corrective action.</w:t>
      </w:r>
    </w:p>
    <w:p>
      <w:pPr>
        <w:pStyle w:val="ListBullet"/>
      </w:pPr>
      <w:r>
        <w:t>Periods of waiting and their causes.</w:t>
      </w:r>
    </w:p>
    <w:p>
      <w:pPr>
        <w:pStyle w:val="ListBullet"/>
      </w:pPr>
      <w:r>
        <w:t>Any contractual exclusions or pauses.</w:t>
      </w:r>
    </w:p>
    <w:p>
      <w:r>
        <w:t>For example:</w:t>
      </w:r>
    </w:p>
    <w:p>
      <w:pPr>
        <w:spacing w:before="120" w:after="160"/>
        <w:jc w:val="center"/>
      </w:pPr>
      <m:oMathPara>
        <m:oMath>
          <m:sSub>
            <m:e>
              <m:r>
                <m:t>T</m:t>
              </m:r>
            </m:e>
            <m:sub>
              <m:r>
                <m:rPr>
                  <m:nor/>
                </m:rPr>
                <m:t>response</m:t>
              </m:r>
            </m:sub>
          </m:sSub>
          <m:r>
            <m:t>=</m:t>
          </m:r>
          <m:sSub>
            <m:e>
              <m:r>
                <m:t>T</m:t>
              </m:r>
            </m:e>
            <m:sub>
              <m:r>
                <m:rPr>
                  <m:nor/>
                </m:rPr>
                <m:t>first meaningful response</m:t>
              </m:r>
            </m:sub>
          </m:sSub>
          <m:r>
            <m:t>−</m:t>
          </m:r>
          <m:sSub>
            <m:e>
              <m:r>
                <m:t>T</m:t>
              </m:r>
            </m:e>
            <m:sub>
              <m:r>
                <m:rPr>
                  <m:nor/>
                </m:rPr>
                <m:t>ticket registration</m:t>
              </m:r>
            </m:sub>
          </m:sSub>
        </m:oMath>
      </m:oMathPara>
    </w:p>
    <w:p>
      <w:pPr>
        <w:spacing w:before="120" w:after="160"/>
        <w:jc w:val="center"/>
      </w:pPr>
      <m:oMathPara>
        <m:oMath>
          <m:sSub>
            <m:e>
              <m:r>
                <m:t>T</m:t>
              </m:r>
            </m:e>
            <m:sub>
              <m:r>
                <m:rPr>
                  <m:nor/>
                </m:rPr>
                <m:t>restoration</m:t>
              </m:r>
            </m:sub>
          </m:sSub>
          <m:r>
            <m:t>=</m:t>
          </m:r>
          <m:sSub>
            <m:e>
              <m:r>
                <m:t>T</m:t>
              </m:r>
            </m:e>
            <m:sub>
              <m:r>
                <m:rPr>
                  <m:nor/>
                </m:rPr>
                <m:t>functional restoration</m:t>
              </m:r>
            </m:sub>
          </m:sSub>
          <m:r>
            <m:t>−</m:t>
          </m:r>
          <m:sSub>
            <m:e>
              <m:r>
                <m:t>T</m:t>
              </m:r>
            </m:e>
            <m:sub>
              <m:r>
                <m:rPr>
                  <m:nor/>
                </m:rPr>
                <m:t>incident start</m:t>
              </m:r>
            </m:sub>
          </m:sSub>
        </m:oMath>
      </m:oMathPara>
    </w:p>
    <w:p>
      <w:r>
        <w:t>The SLA should specify the exact event timestamps, clock rules, business-hour treatment, and permitted exclusions. Otherwise, supplier and customer reports may produce different results from the same incident.</w:t>
      </w:r>
    </w:p>
    <w:p>
      <w:pPr>
        <w:pStyle w:val="Heading2"/>
      </w:pPr>
      <w:r>
        <w:t>7. Vendor support in industrial automation</w:t>
      </w:r>
    </w:p>
    <w:p>
      <w:pPr>
        <w:pStyle w:val="Heading3"/>
      </w:pPr>
      <w:r>
        <w:t>7.1 PLC and remote I/O support</w:t>
      </w:r>
    </w:p>
    <w:p>
      <w:r>
        <w:t>Specify support for:</w:t>
      </w:r>
    </w:p>
    <w:p>
      <w:pPr>
        <w:pStyle w:val="ListBullet"/>
      </w:pPr>
      <w:r>
        <w:t>Controller and I/O module diagnostics.</w:t>
      </w:r>
    </w:p>
    <w:p>
      <w:pPr>
        <w:pStyle w:val="ListBullet"/>
      </w:pPr>
      <w:r>
        <w:t>Firmware and engineering software compatibility.</w:t>
      </w:r>
    </w:p>
    <w:p>
      <w:pPr>
        <w:pStyle w:val="ListBullet"/>
      </w:pPr>
      <w:r>
        <w:t>Communication adapter and network faults.</w:t>
      </w:r>
    </w:p>
    <w:p>
      <w:pPr>
        <w:pStyle w:val="ListBullet"/>
      </w:pPr>
      <w:r>
        <w:t>PLC program recovery and hardware configuration.</w:t>
      </w:r>
    </w:p>
    <w:p>
      <w:pPr>
        <w:pStyle w:val="ListBullet"/>
      </w:pPr>
      <w:r>
        <w:t>Module replacement and configuration restoration.</w:t>
      </w:r>
    </w:p>
    <w:p>
      <w:pPr>
        <w:pStyle w:val="ListBullet"/>
      </w:pPr>
      <w:r>
        <w:t>Online monitoring and diagnostic procedures.</w:t>
      </w:r>
    </w:p>
    <w:p>
      <w:pPr>
        <w:pStyle w:val="ListBullet"/>
      </w:pPr>
      <w:r>
        <w:t>Supported software versions and known product issues.</w:t>
      </w:r>
    </w:p>
    <w:p>
      <w:pPr>
        <w:pStyle w:val="ListBullet"/>
      </w:pPr>
      <w:r>
        <w:t>Controller migration and replacement planning.</w:t>
      </w:r>
    </w:p>
    <w:p>
      <w:r>
        <w:t>Ask the supplier whether support engineers can access the exact installed controller family and software version. General experience with a manufacturer's products is not sufficient proof of competence with a specific platform.</w:t>
      </w:r>
    </w:p>
    <w:p>
      <w:pPr>
        <w:pStyle w:val="Heading3"/>
      </w:pPr>
      <w:r>
        <w:t>7.2 HMI, SCADA, and industrial PC support</w:t>
      </w:r>
    </w:p>
    <w:p>
      <w:r>
        <w:t>Specify support for:</w:t>
      </w:r>
    </w:p>
    <w:p>
      <w:pPr>
        <w:pStyle w:val="ListBullet"/>
      </w:pPr>
      <w:r>
        <w:t>Runtime application faults.</w:t>
      </w:r>
    </w:p>
    <w:p>
      <w:pPr>
        <w:pStyle w:val="ListBullet"/>
      </w:pPr>
      <w:r>
        <w:t>HMI-to-PLC communication problems.</w:t>
      </w:r>
    </w:p>
    <w:p>
      <w:pPr>
        <w:pStyle w:val="ListBullet"/>
      </w:pPr>
      <w:r>
        <w:t>SCADA services, tags, alarms, and historian issues.</w:t>
      </w:r>
    </w:p>
    <w:p>
      <w:pPr>
        <w:pStyle w:val="ListBullet"/>
      </w:pPr>
      <w:r>
        <w:t>Operating-system and driver compatibility.</w:t>
      </w:r>
    </w:p>
    <w:p>
      <w:pPr>
        <w:pStyle w:val="ListBullet"/>
      </w:pPr>
      <w:r>
        <w:t>Database connectivity and data recovery.</w:t>
      </w:r>
    </w:p>
    <w:p>
      <w:pPr>
        <w:pStyle w:val="ListBullet"/>
      </w:pPr>
      <w:r>
        <w:t>Runtime licensing and activation.</w:t>
      </w:r>
    </w:p>
    <w:p>
      <w:pPr>
        <w:pStyle w:val="ListBullet"/>
      </w:pPr>
      <w:r>
        <w:t>Backup restoration and application migration.</w:t>
      </w:r>
    </w:p>
    <w:p>
      <w:pPr>
        <w:pStyle w:val="ListBullet"/>
      </w:pPr>
      <w:r>
        <w:t>System logs, diagnostic exports, and supported configurations.</w:t>
      </w:r>
    </w:p>
    <w:p>
      <w:r>
        <w:t>For a system that uses SQL Server, Node-RED, Grafana, or other connected software, clarify which party owns each layer. A PLC supplier may not be responsible for the database, network, or dashboard application unless those responsibilities are explicitly included.</w:t>
      </w:r>
    </w:p>
    <w:p>
      <w:pPr>
        <w:pStyle w:val="Heading3"/>
      </w:pPr>
      <w:r>
        <w:t>7.3 VFD and servo support</w:t>
      </w:r>
    </w:p>
    <w:p>
      <w:r>
        <w:t>Specify support for:</w:t>
      </w:r>
    </w:p>
    <w:p>
      <w:pPr>
        <w:pStyle w:val="ListBullet"/>
      </w:pPr>
      <w:r>
        <w:t>Drive fault analysis and event-log interpretation.</w:t>
      </w:r>
    </w:p>
    <w:p>
      <w:pPr>
        <w:pStyle w:val="ListBullet"/>
      </w:pPr>
      <w:r>
        <w:t>Motor and feedback-device compatibility.</w:t>
      </w:r>
    </w:p>
    <w:p>
      <w:pPr>
        <w:pStyle w:val="ListBullet"/>
      </w:pPr>
      <w:r>
        <w:t>Parameter recovery and firmware requirements.</w:t>
      </w:r>
    </w:p>
    <w:p>
      <w:pPr>
        <w:pStyle w:val="ListBullet"/>
      </w:pPr>
      <w:r>
        <w:t>Drive tuning and application-specific configuration.</w:t>
      </w:r>
    </w:p>
    <w:p>
      <w:pPr>
        <w:pStyle w:val="ListBullet"/>
      </w:pPr>
      <w:r>
        <w:t>Power-stage, cooling, and control-circuit faults.</w:t>
      </w:r>
    </w:p>
    <w:p>
      <w:pPr>
        <w:pStyle w:val="ListBullet"/>
      </w:pPr>
      <w:r>
        <w:t>Replacement-drive selection.</w:t>
      </w:r>
    </w:p>
    <w:p>
      <w:pPr>
        <w:pStyle w:val="ListBullet"/>
      </w:pPr>
      <w:r>
        <w:t>Safety-function configuration and verification.</w:t>
      </w:r>
    </w:p>
    <w:p>
      <w:pPr>
        <w:pStyle w:val="ListBullet"/>
      </w:pPr>
      <w:r>
        <w:t>Post-repair testing and recommissioning.</w:t>
      </w:r>
    </w:p>
    <w:p>
      <w:r>
        <w:t>The supplier should state which activities plant personnel may perform and which require specialist authorization, tools, or manufacturer procedures.</w:t>
      </w:r>
    </w:p>
    <w:p>
      <w:pPr>
        <w:pStyle w:val="Heading3"/>
      </w:pPr>
      <w:r>
        <w:t>7.4 CNC support</w:t>
      </w:r>
    </w:p>
    <w:p>
      <w:r>
        <w:t>Specify support for:</w:t>
      </w:r>
    </w:p>
    <w:p>
      <w:pPr>
        <w:pStyle w:val="ListBullet"/>
      </w:pPr>
      <w:r>
        <w:t>CNC control and servo alarm diagnosis.</w:t>
      </w:r>
    </w:p>
    <w:p>
      <w:pPr>
        <w:pStyle w:val="ListBullet"/>
      </w:pPr>
      <w:r>
        <w:t>Machine-builder PLC and interface problems.</w:t>
      </w:r>
    </w:p>
    <w:p>
      <w:pPr>
        <w:pStyle w:val="ListBullet"/>
      </w:pPr>
      <w:r>
        <w:t>Program and parameter recovery.</w:t>
      </w:r>
    </w:p>
    <w:p>
      <w:pPr>
        <w:pStyle w:val="ListBullet"/>
      </w:pPr>
      <w:r>
        <w:t>Axis, spindle, encoder, and feedback faults.</w:t>
      </w:r>
    </w:p>
    <w:p>
      <w:pPr>
        <w:pStyle w:val="ListBullet"/>
      </w:pPr>
      <w:r>
        <w:t>Machine accuracy and compensation checks.</w:t>
      </w:r>
    </w:p>
    <w:p>
      <w:pPr>
        <w:pStyle w:val="ListBullet"/>
      </w:pPr>
      <w:r>
        <w:t>Software and firmware compatibility.</w:t>
      </w:r>
    </w:p>
    <w:p>
      <w:pPr>
        <w:pStyle w:val="ListBullet"/>
      </w:pPr>
      <w:r>
        <w:t>Replacement control hardware.</w:t>
      </w:r>
    </w:p>
    <w:p>
      <w:pPr>
        <w:pStyle w:val="ListBullet"/>
      </w:pPr>
      <w:r>
        <w:t>Machine-builder-specific configuration and documentation.</w:t>
      </w:r>
    </w:p>
    <w:p>
      <w:r>
        <w:t>The purchase contract should identify the responsibility split between the CNC control manufacturer and the machine builder. A control manufacturer may support the control hardware while the machine builder owns machine-specific PLC logic, geometry, and peripheral integration.</w:t>
      </w:r>
    </w:p>
    <w:p>
      <w:pPr>
        <w:pStyle w:val="Heading3"/>
      </w:pPr>
      <w:r>
        <w:t>7.5 Robot support</w:t>
      </w:r>
    </w:p>
    <w:p>
      <w:r>
        <w:t>Specify support for:</w:t>
      </w:r>
    </w:p>
    <w:p>
      <w:pPr>
        <w:pStyle w:val="ListBullet"/>
      </w:pPr>
      <w:r>
        <w:t>Controller, servo, and communication faults.</w:t>
      </w:r>
    </w:p>
    <w:p>
      <w:pPr>
        <w:pStyle w:val="ListBullet"/>
      </w:pPr>
      <w:r>
        <w:t>Robot programs and configuration recovery.</w:t>
      </w:r>
    </w:p>
    <w:p>
      <w:pPr>
        <w:pStyle w:val="ListBullet"/>
      </w:pPr>
      <w:r>
        <w:t>Tool and user-frame data.</w:t>
      </w:r>
    </w:p>
    <w:p>
      <w:pPr>
        <w:pStyle w:val="ListBullet"/>
      </w:pPr>
      <w:r>
        <w:t>Mastering and calibration procedures.</w:t>
      </w:r>
    </w:p>
    <w:p>
      <w:pPr>
        <w:pStyle w:val="ListBullet"/>
      </w:pPr>
      <w:r>
        <w:t>Robot-to-PLC handshake problems.</w:t>
      </w:r>
    </w:p>
    <w:p>
      <w:pPr>
        <w:pStyle w:val="ListBullet"/>
      </w:pPr>
      <w:r>
        <w:t>Fieldbus and peripheral integration.</w:t>
      </w:r>
    </w:p>
    <w:p>
      <w:pPr>
        <w:pStyle w:val="ListBullet"/>
      </w:pPr>
      <w:r>
        <w:t>Safety-system diagnostics and validation.</w:t>
      </w:r>
    </w:p>
    <w:p>
      <w:pPr>
        <w:pStyle w:val="ListBullet"/>
      </w:pPr>
      <w:r>
        <w:t>Controller replacement and migration.</w:t>
      </w:r>
    </w:p>
    <w:p>
      <w:r>
        <w:t>The supplier must distinguish routine troubleshooting from tasks that require specialized robot expertise or manufacturer-approved procedures.</w:t>
      </w:r>
    </w:p>
    <w:p>
      <w:pPr>
        <w:pStyle w:val="Heading3"/>
      </w:pPr>
      <w:r>
        <w:t>7.6 Industrial network and OT support</w:t>
      </w:r>
    </w:p>
    <w:p>
      <w:r>
        <w:t>Support requirements may include:</w:t>
      </w:r>
    </w:p>
    <w:p>
      <w:pPr>
        <w:pStyle w:val="ListBullet"/>
      </w:pPr>
      <w:r>
        <w:t>Industrial Ethernet and fieldbus diagnostics.</w:t>
      </w:r>
    </w:p>
    <w:p>
      <w:pPr>
        <w:pStyle w:val="ListBullet"/>
      </w:pPr>
      <w:r>
        <w:t>Switch, gateway, and communication-adapter faults.</w:t>
      </w:r>
    </w:p>
    <w:p>
      <w:pPr>
        <w:pStyle w:val="ListBullet"/>
      </w:pPr>
      <w:r>
        <w:t>Network topology and port configuration.</w:t>
      </w:r>
    </w:p>
    <w:p>
      <w:pPr>
        <w:pStyle w:val="ListBullet"/>
      </w:pPr>
      <w:r>
        <w:t>Redundancy and recovery behavior.</w:t>
      </w:r>
    </w:p>
    <w:p>
      <w:pPr>
        <w:pStyle w:val="ListBullet"/>
      </w:pPr>
      <w:r>
        <w:t>Firmware and configuration backups.</w:t>
      </w:r>
    </w:p>
    <w:p>
      <w:pPr>
        <w:pStyle w:val="ListBullet"/>
      </w:pPr>
      <w:r>
        <w:t>Network performance and error analysis.</w:t>
      </w:r>
    </w:p>
    <w:p>
      <w:pPr>
        <w:pStyle w:val="ListBullet"/>
      </w:pPr>
      <w:r>
        <w:t>Secure remote-access arrangements.</w:t>
      </w:r>
    </w:p>
    <w:p>
      <w:pPr>
        <w:pStyle w:val="ListBullet"/>
      </w:pPr>
      <w:r>
        <w:t>Cybersecurity advisories and approved patch guidance.</w:t>
      </w:r>
    </w:p>
    <w:p>
      <w:r>
        <w:t>Remote access should be explicitly authorized, logged, time-limited where appropriate, and controlled through the plant's approved OT security process. Vendor convenience does not justify an uncontrolled permanent connection to production equipment.</w:t>
      </w:r>
    </w:p>
    <w:p>
      <w:pPr>
        <w:pStyle w:val="Heading2"/>
      </w:pPr>
      <w:r>
        <w:t>8. Remote support and cybersecurity</w:t>
      </w:r>
    </w:p>
    <w:p>
      <w:r>
        <w:t>Remote support can reduce travel delays and allow specialists to inspect diagnostic information quickly. It also introduces access and cybersecurity risks.</w:t>
      </w:r>
    </w:p>
    <w:p>
      <w:pPr>
        <w:pStyle w:val="Heading3"/>
      </w:pPr>
      <w:r>
        <w:t>8.1 Remote-support requirements</w:t>
      </w:r>
    </w:p>
    <w:p>
      <w:r>
        <w:t>Define:</w:t>
      </w:r>
    </w:p>
    <w:p>
      <w:pPr>
        <w:pStyle w:val="ListBullet"/>
      </w:pPr>
      <w:r>
        <w:t>Approved connection method and responsible owner.</w:t>
      </w:r>
    </w:p>
    <w:p>
      <w:pPr>
        <w:pStyle w:val="ListBullet"/>
      </w:pPr>
      <w:r>
        <w:t>Authorized users and authentication requirements.</w:t>
      </w:r>
    </w:p>
    <w:p>
      <w:pPr>
        <w:pStyle w:val="ListBullet"/>
      </w:pPr>
      <w:r>
        <w:t>Approval process before a remote session begins.</w:t>
      </w:r>
    </w:p>
    <w:p>
      <w:pPr>
        <w:pStyle w:val="ListBullet"/>
      </w:pPr>
      <w:r>
        <w:t>Access boundaries and permitted activities.</w:t>
      </w:r>
    </w:p>
    <w:p>
      <w:pPr>
        <w:pStyle w:val="ListBullet"/>
      </w:pPr>
      <w:r>
        <w:t>Session logging and evidence retention.</w:t>
      </w:r>
    </w:p>
    <w:p>
      <w:pPr>
        <w:pStyle w:val="ListBullet"/>
      </w:pPr>
      <w:r>
        <w:t>Restrictions on file transfer and software installation.</w:t>
      </w:r>
    </w:p>
    <w:p>
      <w:pPr>
        <w:pStyle w:val="ListBullet"/>
      </w:pPr>
      <w:r>
        <w:t>Rules for program downloads and parameter changes.</w:t>
      </w:r>
    </w:p>
    <w:p>
      <w:pPr>
        <w:pStyle w:val="ListBullet"/>
      </w:pPr>
      <w:r>
        <w:t>Emergency termination and revocation procedures.</w:t>
      </w:r>
    </w:p>
    <w:p>
      <w:pPr>
        <w:pStyle w:val="ListBullet"/>
      </w:pPr>
      <w:r>
        <w:t>Requirements for secure handling of diagnostic data.</w:t>
      </w:r>
    </w:p>
    <w:p>
      <w:pPr>
        <w:pStyle w:val="ListBullet"/>
      </w:pPr>
      <w:r>
        <w:t>Conditions for disabling remote access after the support event.</w:t>
      </w:r>
    </w:p>
    <w:p>
      <w:r>
        <w:t>Remote monitoring, read-only diagnostics, and remote control are different permission levels and should not be treated as interchangeable.</w:t>
      </w:r>
    </w:p>
    <w:p>
      <w:pPr>
        <w:pStyle w:val="Heading3"/>
      </w:pPr>
      <w:r>
        <w:t>8.2 Changes during remote support</w:t>
      </w:r>
    </w:p>
    <w:p>
      <w:r>
        <w:t>Before making a change, the supplier should identify:</w:t>
      </w:r>
    </w:p>
    <w:p>
      <w:pPr>
        <w:pStyle w:val="ListBullet"/>
      </w:pPr>
      <w:r>
        <w:t>The reason for the proposed change.</w:t>
      </w:r>
    </w:p>
    <w:p>
      <w:pPr>
        <w:pStyle w:val="ListBullet"/>
      </w:pPr>
      <w:r>
        <w:t>The affected equipment and expected consequences.</w:t>
      </w:r>
    </w:p>
    <w:p>
      <w:pPr>
        <w:pStyle w:val="ListBullet"/>
      </w:pPr>
      <w:r>
        <w:t>The approved backup or rollback procedure.</w:t>
      </w:r>
    </w:p>
    <w:p>
      <w:pPr>
        <w:pStyle w:val="ListBullet"/>
      </w:pPr>
      <w:r>
        <w:t>Required machine-state and isolation conditions.</w:t>
      </w:r>
    </w:p>
    <w:p>
      <w:pPr>
        <w:pStyle w:val="ListBullet"/>
      </w:pPr>
      <w:r>
        <w:t>The test plan and acceptance criteria.</w:t>
      </w:r>
    </w:p>
    <w:p>
      <w:pPr>
        <w:pStyle w:val="ListBullet"/>
      </w:pPr>
      <w:r>
        <w:t>The responsible person authorizing the change.</w:t>
      </w:r>
    </w:p>
    <w:p>
      <w:r>
        <w:t>Changes to PLC logic, safety configuration, motion parameters, network settings, and production recipes may affect machine safety, quality, or availability. They should follow the plant's change-management process.</w:t>
      </w:r>
    </w:p>
    <w:p>
      <w:pPr>
        <w:pStyle w:val="Heading3"/>
      </w:pPr>
      <w:r>
        <w:t>8.3 Cybersecurity support</w:t>
      </w:r>
    </w:p>
    <w:p>
      <w:r>
        <w:t>For connected automation systems, require clear arrangements for:</w:t>
      </w:r>
    </w:p>
    <w:p>
      <w:pPr>
        <w:pStyle w:val="ListBullet"/>
      </w:pPr>
      <w:r>
        <w:t>Vulnerability notifications.</w:t>
      </w:r>
    </w:p>
    <w:p>
      <w:pPr>
        <w:pStyle w:val="ListBullet"/>
      </w:pPr>
      <w:r>
        <w:t>Supported firmware and software versions.</w:t>
      </w:r>
    </w:p>
    <w:p>
      <w:pPr>
        <w:pStyle w:val="ListBullet"/>
      </w:pPr>
      <w:r>
        <w:t>Security patches and compatibility information.</w:t>
      </w:r>
    </w:p>
    <w:p>
      <w:pPr>
        <w:pStyle w:val="ListBullet"/>
      </w:pPr>
      <w:r>
        <w:t>End-of-support announcements.</w:t>
      </w:r>
    </w:p>
    <w:p>
      <w:pPr>
        <w:pStyle w:val="ListBullet"/>
      </w:pPr>
      <w:r>
        <w:t>Remote-access security.</w:t>
      </w:r>
    </w:p>
    <w:p>
      <w:pPr>
        <w:pStyle w:val="ListBullet"/>
      </w:pPr>
      <w:r>
        <w:t>Authentication and credential management.</w:t>
      </w:r>
    </w:p>
    <w:p>
      <w:pPr>
        <w:pStyle w:val="ListBullet"/>
      </w:pPr>
      <w:r>
        <w:t>Incident escalation and technical investigation.</w:t>
      </w:r>
    </w:p>
    <w:p>
      <w:pPr>
        <w:pStyle w:val="ListBullet"/>
      </w:pPr>
      <w:r>
        <w:t>Backup integrity and restoration.</w:t>
      </w:r>
    </w:p>
    <w:p>
      <w:pPr>
        <w:pStyle w:val="ListBullet"/>
      </w:pPr>
      <w:r>
        <w:t>Security implications of obsolete components.</w:t>
      </w:r>
    </w:p>
    <w:p>
      <w:r>
        <w:t>A patch should not be installed blindly on a running production system. Compatibility, validation, backup, rollback, and downtime planning must be addressed before deployment.</w:t>
      </w:r>
    </w:p>
    <w:p>
      <w:pPr>
        <w:pStyle w:val="Heading2"/>
      </w:pPr>
      <w:r>
        <w:t>9. Spare parts, repair logistics, and field service</w:t>
      </w:r>
    </w:p>
    <w:p>
      <w:r>
        <w:t>Vendor support is only useful if the required parts, people, and repair facilities are available when needed.</w:t>
      </w:r>
    </w:p>
    <w:p>
      <w:pPr>
        <w:pStyle w:val="Heading3"/>
      </w:pPr>
      <w:r>
        <w:t>9.1 Spare-parts support</w:t>
      </w:r>
    </w:p>
    <w:p>
      <w:r>
        <w:t>Confirm:</w:t>
      </w:r>
    </w:p>
    <w:p>
      <w:pPr>
        <w:pStyle w:val="ListBullet"/>
      </w:pPr>
      <w:r>
        <w:t>Critical spare-parts list and recommended quantities.</w:t>
      </w:r>
    </w:p>
    <w:p>
      <w:pPr>
        <w:pStyle w:val="ListBullet"/>
      </w:pPr>
      <w:r>
        <w:t>Exact manufacturer part numbers and compatible alternatives.</w:t>
      </w:r>
    </w:p>
    <w:p>
      <w:pPr>
        <w:pStyle w:val="ListBullet"/>
      </w:pPr>
      <w:r>
        <w:t>Local inventory and regional distribution arrangements.</w:t>
      </w:r>
    </w:p>
    <w:p>
      <w:pPr>
        <w:pStyle w:val="ListBullet"/>
      </w:pPr>
      <w:r>
        <w:t>Normal and emergency dispatch lead times.</w:t>
      </w:r>
    </w:p>
    <w:p>
      <w:pPr>
        <w:pStyle w:val="ListBullet"/>
      </w:pPr>
      <w:r>
        <w:t>Repairable versus non-repairable items.</w:t>
      </w:r>
    </w:p>
    <w:p>
      <w:pPr>
        <w:pStyle w:val="ListBullet"/>
      </w:pPr>
      <w:r>
        <w:t>Exchange-unit availability and return conditions.</w:t>
      </w:r>
    </w:p>
    <w:p>
      <w:pPr>
        <w:pStyle w:val="ListBullet"/>
      </w:pPr>
      <w:r>
        <w:t>Warranty coverage for replacement parts.</w:t>
      </w:r>
    </w:p>
    <w:p>
      <w:pPr>
        <w:pStyle w:val="ListBullet"/>
      </w:pPr>
      <w:r>
        <w:t>Pricing validity and expected price changes.</w:t>
      </w:r>
    </w:p>
    <w:p>
      <w:pPr>
        <w:pStyle w:val="ListBullet"/>
      </w:pPr>
      <w:r>
        <w:t>Availability commitments for production-critical components.</w:t>
      </w:r>
    </w:p>
    <w:p>
      <w:r>
        <w:t>The supplier's statement that a part is “available” must be clarified. It may mean available in a global warehouse, available for order, or physically stocked near the plant. These are very different situations during a breakdown.</w:t>
      </w:r>
    </w:p>
    <w:p>
      <w:pPr>
        <w:pStyle w:val="Heading3"/>
      </w:pPr>
      <w:r>
        <w:t>9.2 Repair logistics</w:t>
      </w:r>
    </w:p>
    <w:p>
      <w:r>
        <w:t>For repairable components, define:</w:t>
      </w:r>
    </w:p>
    <w:p>
      <w:pPr>
        <w:pStyle w:val="ListBullet"/>
      </w:pPr>
      <w:r>
        <w:t>Fault reporting and return authorization procedures.</w:t>
      </w:r>
    </w:p>
    <w:p>
      <w:pPr>
        <w:pStyle w:val="ListBullet"/>
      </w:pPr>
      <w:r>
        <w:t>Packaging and transport requirements.</w:t>
      </w:r>
    </w:p>
    <w:p>
      <w:pPr>
        <w:pStyle w:val="ListBullet"/>
      </w:pPr>
      <w:r>
        <w:t>Repair assessment charges.</w:t>
      </w:r>
    </w:p>
    <w:p>
      <w:pPr>
        <w:pStyle w:val="ListBullet"/>
      </w:pPr>
      <w:r>
        <w:t>Maximum quoted repair turnaround, if contractually agreed.</w:t>
      </w:r>
    </w:p>
    <w:p>
      <w:pPr>
        <w:pStyle w:val="ListBullet"/>
      </w:pPr>
      <w:r>
        <w:t>Exchange-unit arrangements.</w:t>
      </w:r>
    </w:p>
    <w:p>
      <w:pPr>
        <w:pStyle w:val="ListBullet"/>
      </w:pPr>
      <w:r>
        <w:t>Repair warranty.</w:t>
      </w:r>
    </w:p>
    <w:p>
      <w:pPr>
        <w:pStyle w:val="ListBullet"/>
      </w:pPr>
      <w:r>
        <w:t>Failure-analysis report requirements.</w:t>
      </w:r>
    </w:p>
    <w:p>
      <w:pPr>
        <w:pStyle w:val="ListBullet"/>
      </w:pPr>
      <w:r>
        <w:t>Procedures for handling units deemed beyond economical repair.</w:t>
      </w:r>
    </w:p>
    <w:p>
      <w:pPr>
        <w:pStyle w:val="ListBullet"/>
      </w:pPr>
      <w:r>
        <w:t>Ownership and disposal of failed components.</w:t>
      </w:r>
    </w:p>
    <w:p>
      <w:r>
        <w:t>For critical equipment, an exchange-unit arrangement may be more useful than a conventional repair service if it can provide a compatible replacement quickly.</w:t>
      </w:r>
    </w:p>
    <w:p>
      <w:pPr>
        <w:pStyle w:val="Heading3"/>
      </w:pPr>
      <w:r>
        <w:t>9.3 On-site service capability</w:t>
      </w:r>
    </w:p>
    <w:p>
      <w:r>
        <w:t>Evaluate:</w:t>
      </w:r>
    </w:p>
    <w:p>
      <w:pPr>
        <w:pStyle w:val="ListBullet"/>
      </w:pPr>
      <w:r>
        <w:t>Number and location of qualified field-service engineers.</w:t>
      </w:r>
    </w:p>
    <w:p>
      <w:pPr>
        <w:pStyle w:val="ListBullet"/>
      </w:pPr>
      <w:r>
        <w:t>Travel time to the plant.</w:t>
      </w:r>
    </w:p>
    <w:p>
      <w:pPr>
        <w:pStyle w:val="ListBullet"/>
      </w:pPr>
      <w:r>
        <w:t>Experience with the installed equipment family.</w:t>
      </w:r>
    </w:p>
    <w:p>
      <w:pPr>
        <w:pStyle w:val="ListBullet"/>
      </w:pPr>
      <w:r>
        <w:t>Availability during nights, weekends, shutdowns, and holidays.</w:t>
      </w:r>
    </w:p>
    <w:p>
      <w:pPr>
        <w:pStyle w:val="ListBullet"/>
      </w:pPr>
      <w:r>
        <w:t>Availability of specialist tools and diagnostic software.</w:t>
      </w:r>
    </w:p>
    <w:p>
      <w:pPr>
        <w:pStyle w:val="ListBullet"/>
      </w:pPr>
      <w:r>
        <w:t>Ability to support multiple simultaneous incidents.</w:t>
      </w:r>
    </w:p>
    <w:p>
      <w:pPr>
        <w:pStyle w:val="ListBullet"/>
      </w:pPr>
      <w:r>
        <w:t>Procedures for site entry, safety induction, and work permits.</w:t>
      </w:r>
    </w:p>
    <w:p>
      <w:pPr>
        <w:pStyle w:val="ListBullet"/>
      </w:pPr>
      <w:r>
        <w:t>Availability of backup engineers if the primary specialist is unavailable.</w:t>
      </w:r>
    </w:p>
    <w:p>
      <w:r>
        <w:t>A supplier's regional office is not proof that a qualified specialist will be available during a critical breakdown. Require evidence of the actual service arrangement.</w:t>
      </w:r>
    </w:p>
    <w:p>
      <w:pPr>
        <w:pStyle w:val="Heading2"/>
      </w:pPr>
      <w:r>
        <w:t>10. Technical competence and qualification of support personnel</w:t>
      </w:r>
    </w:p>
    <w:p>
      <w:r>
        <w:t>Vendor support quality depends on the expertise of the people assigned to the equipment.</w:t>
      </w:r>
    </w:p>
    <w:p>
      <w:pPr>
        <w:pStyle w:val="Heading3"/>
      </w:pPr>
      <w:r>
        <w:t>10.1 Competence requirements</w:t>
      </w:r>
    </w:p>
    <w:p>
      <w:r>
        <w:t>Assess whether the supplier has personnel with relevant experience in:</w:t>
      </w:r>
    </w:p>
    <w:p>
      <w:pPr>
        <w:pStyle w:val="ListBullet"/>
      </w:pPr>
      <w:r>
        <w:t>The specific controller, drive, CNC, robot, or HMI platform.</w:t>
      </w:r>
    </w:p>
    <w:p>
      <w:pPr>
        <w:pStyle w:val="ListBullet"/>
      </w:pPr>
      <w:r>
        <w:t>Industrial communication and network troubleshooting.</w:t>
      </w:r>
    </w:p>
    <w:p>
      <w:pPr>
        <w:pStyle w:val="ListBullet"/>
      </w:pPr>
      <w:r>
        <w:t>Machine integration and interlock logic.</w:t>
      </w:r>
    </w:p>
    <w:p>
      <w:pPr>
        <w:pStyle w:val="ListBullet"/>
      </w:pPr>
      <w:r>
        <w:t>Software configuration and restoration.</w:t>
      </w:r>
    </w:p>
    <w:p>
      <w:pPr>
        <w:pStyle w:val="ListBullet"/>
      </w:pPr>
      <w:r>
        <w:t>Mechanical and electrical fault diagnosis.</w:t>
      </w:r>
    </w:p>
    <w:p>
      <w:pPr>
        <w:pStyle w:val="ListBullet"/>
      </w:pPr>
      <w:r>
        <w:t>Safety-related systems within their authorized scope.</w:t>
      </w:r>
    </w:p>
    <w:p>
      <w:pPr>
        <w:pStyle w:val="ListBullet"/>
      </w:pPr>
      <w:r>
        <w:t>Root-cause analysis and corrective-action methods.</w:t>
      </w:r>
    </w:p>
    <w:p>
      <w:pPr>
        <w:pStyle w:val="ListBullet"/>
      </w:pPr>
      <w:r>
        <w:t>Firmware, licensing, and lifecycle management.</w:t>
      </w:r>
    </w:p>
    <w:p>
      <w:pPr>
        <w:pStyle w:val="Heading3"/>
      </w:pPr>
      <w:r>
        <w:t>10.2 Evidence of competence</w:t>
      </w:r>
    </w:p>
    <w:p>
      <w:r>
        <w:t>Request relevant evidence, such as:</w:t>
      </w:r>
    </w:p>
    <w:p>
      <w:pPr>
        <w:pStyle w:val="ListBullet"/>
      </w:pPr>
      <w:r>
        <w:t>Manufacturer training or authorization records.</w:t>
      </w:r>
    </w:p>
    <w:p>
      <w:pPr>
        <w:pStyle w:val="ListBullet"/>
      </w:pPr>
      <w:r>
        <w:t>Platform-specific qualifications.</w:t>
      </w:r>
    </w:p>
    <w:p>
      <w:pPr>
        <w:pStyle w:val="ListBullet"/>
      </w:pPr>
      <w:r>
        <w:t>Experience with similar equipment and applications.</w:t>
      </w:r>
    </w:p>
    <w:p>
      <w:pPr>
        <w:pStyle w:val="ListBullet"/>
      </w:pPr>
      <w:r>
        <w:t>Examples of troubleshooting and restoration work.</w:t>
      </w:r>
    </w:p>
    <w:p>
      <w:pPr>
        <w:pStyle w:val="ListBullet"/>
      </w:pPr>
      <w:r>
        <w:t>Availability of specialist escalation engineers.</w:t>
      </w:r>
    </w:p>
    <w:p>
      <w:pPr>
        <w:pStyle w:val="ListBullet"/>
      </w:pPr>
      <w:r>
        <w:t>Training and knowledge-transfer plans.</w:t>
      </w:r>
    </w:p>
    <w:p>
      <w:pPr>
        <w:pStyle w:val="ListBullet"/>
      </w:pPr>
      <w:r>
        <w:t>Defined responsibility for subcontracted support.</w:t>
      </w:r>
    </w:p>
    <w:p>
      <w:r>
        <w:t>Certificates can support an evaluation, but practical competence must also be demonstrated where the task is critical.</w:t>
      </w:r>
    </w:p>
    <w:p>
      <w:pPr>
        <w:pStyle w:val="Heading3"/>
      </w:pPr>
      <w:r>
        <w:t>10.3 Knowledge transfer</w:t>
      </w:r>
    </w:p>
    <w:p>
      <w:r>
        <w:t>Support should not remain a permanent black box accessible only through the vendor's telephone number.</w:t>
      </w:r>
    </w:p>
    <w:p>
      <w:r>
        <w:t>Require agreed knowledge-transfer activities, including:</w:t>
      </w:r>
    </w:p>
    <w:p>
      <w:pPr>
        <w:pStyle w:val="ListBullet"/>
      </w:pPr>
      <w:r>
        <w:t>Joint troubleshooting during commissioning.</w:t>
      </w:r>
    </w:p>
    <w:p>
      <w:pPr>
        <w:pStyle w:val="ListBullet"/>
      </w:pPr>
      <w:r>
        <w:t>Explanation of diagnostic methods and fault patterns.</w:t>
      </w:r>
    </w:p>
    <w:p>
      <w:pPr>
        <w:pStyle w:val="ListBullet"/>
      </w:pPr>
      <w:r>
        <w:t>Handover of configuration and recovery procedures.</w:t>
      </w:r>
    </w:p>
    <w:p>
      <w:pPr>
        <w:pStyle w:val="ListBullet"/>
      </w:pPr>
      <w:r>
        <w:t>Training on software tools and approved maintenance tasks.</w:t>
      </w:r>
    </w:p>
    <w:p>
      <w:pPr>
        <w:pStyle w:val="ListBullet"/>
      </w:pPr>
      <w:r>
        <w:t>Documentation of recurring faults and corrective actions.</w:t>
      </w:r>
    </w:p>
    <w:p>
      <w:pPr>
        <w:pStyle w:val="ListBullet"/>
      </w:pPr>
      <w:r>
        <w:t>Review of unresolved issues before project closure.</w:t>
      </w:r>
    </w:p>
    <w:p>
      <w:r>
        <w:t>This helps build internal capability and reduces avoidable vendor dependency.</w:t>
      </w:r>
    </w:p>
    <w:p>
      <w:pPr>
        <w:pStyle w:val="Heading2"/>
      </w:pPr>
      <w:r>
        <w:t>11. Root-cause analysis and corrective-action support</w:t>
      </w:r>
    </w:p>
    <w:p>
      <w:r>
        <w:t>For significant or recurring failures, require a structured investigation rather than repeated resets or component replacements.</w:t>
      </w:r>
    </w:p>
    <w:p>
      <w:pPr>
        <w:pStyle w:val="Heading3"/>
      </w:pPr>
      <w:r>
        <w:t>11.1 Root-cause analysis process</w:t>
      </w:r>
    </w:p>
    <w:p>
      <w:pPr>
        <w:shd w:val="clear" w:color="auto" w:fill="F4F4F4"/>
        <w:spacing w:before="0" w:after="0" w:line="240" w:lineRule="auto"/>
        <w:ind w:left="216" w:right="216"/>
        <w:jc w:val="left"/>
      </w:pPr>
      <w:r>
        <w:rPr>
          <w:rFonts w:ascii="Consolas" w:hAnsi="Consolas"/>
          <w:color w:val="202020"/>
          <w:sz w:val="18"/>
        </w:rPr>
        <w:t>Record the incident and its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alarms, logs, measurements,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 the immediate problem and restore safely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failure mechanism and contributing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the verified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corrective and preventive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effectiveness and monitor recurrence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the incident with documented evidence</w:t>
      </w:r>
    </w:p>
    <w:p/>
    <w:p>
      <w:r>
        <w:t>Restoring production and identifying the root cause are related but separate activities. Production may need to resume before the full investigation is complete, provided the interim operating condition is safe and approved.</w:t>
      </w:r>
    </w:p>
    <w:p>
      <w:pPr>
        <w:pStyle w:val="Heading3"/>
      </w:pPr>
      <w:r>
        <w:t>11.2 What a vendor failure report should contain</w:t>
      </w:r>
    </w:p>
    <w:p>
      <w:pPr>
        <w:pStyle w:val="ListBullet"/>
      </w:pPr>
      <w:r>
        <w:t>Equipment identity and affected subsystem.</w:t>
      </w:r>
    </w:p>
    <w:p>
      <w:pPr>
        <w:pStyle w:val="ListBullet"/>
      </w:pPr>
      <w:r>
        <w:t>Incident date, time, and production impact.</w:t>
      </w:r>
    </w:p>
    <w:p>
      <w:pPr>
        <w:pStyle w:val="ListBullet"/>
      </w:pPr>
      <w:r>
        <w:t>Reported symptoms and alarm history.</w:t>
      </w:r>
    </w:p>
    <w:p>
      <w:pPr>
        <w:pStyle w:val="ListBullet"/>
      </w:pPr>
      <w:r>
        <w:t>Tests performed and evidence collected.</w:t>
      </w:r>
    </w:p>
    <w:p>
      <w:pPr>
        <w:pStyle w:val="ListBullet"/>
      </w:pPr>
      <w:r>
        <w:t>Failed component or confirmed failure mechanism.</w:t>
      </w:r>
    </w:p>
    <w:p>
      <w:pPr>
        <w:pStyle w:val="ListBullet"/>
      </w:pPr>
      <w:r>
        <w:t>Root cause and contributing factors.</w:t>
      </w:r>
    </w:p>
    <w:p>
      <w:pPr>
        <w:pStyle w:val="ListBullet"/>
      </w:pPr>
      <w:r>
        <w:t>Immediate corrective action.</w:t>
      </w:r>
    </w:p>
    <w:p>
      <w:pPr>
        <w:pStyle w:val="ListBullet"/>
      </w:pPr>
      <w:r>
        <w:t>Permanent corrective and preventive actions.</w:t>
      </w:r>
    </w:p>
    <w:p>
      <w:pPr>
        <w:pStyle w:val="ListBullet"/>
      </w:pPr>
      <w:r>
        <w:t>Required software, hardware, or design changes.</w:t>
      </w:r>
    </w:p>
    <w:p>
      <w:pPr>
        <w:pStyle w:val="ListBullet"/>
      </w:pPr>
      <w:r>
        <w:t>Validation results.</w:t>
      </w:r>
    </w:p>
    <w:p>
      <w:pPr>
        <w:pStyle w:val="ListBullet"/>
      </w:pPr>
      <w:r>
        <w:t>Recommended monitoring or follow-up.</w:t>
      </w:r>
    </w:p>
    <w:p>
      <w:pPr>
        <w:pStyle w:val="ListBullet"/>
      </w:pPr>
      <w:r>
        <w:t>Responsibility and target dates for open actions.</w:t>
      </w:r>
    </w:p>
    <w:p>
      <w:r>
        <w:t>The report should distinguish verified causes from hypotheses. Replacing a failed module and observing that the machine runs again does not, by itself, prove why the module failed.</w:t>
      </w:r>
    </w:p>
    <w:p>
      <w:pPr>
        <w:pStyle w:val="Heading3"/>
      </w:pPr>
      <w:r>
        <w:t>11.3 Repeat-fault escalation</w:t>
      </w:r>
    </w:p>
    <w:p>
      <w:r>
        <w:t>The contract may require formal escalation when:</w:t>
      </w:r>
    </w:p>
    <w:p>
      <w:pPr>
        <w:pStyle w:val="ListBullet"/>
      </w:pPr>
      <w:r>
        <w:t>The same fault recurs within a defined period.</w:t>
      </w:r>
    </w:p>
    <w:p>
      <w:pPr>
        <w:pStyle w:val="ListBullet"/>
      </w:pPr>
      <w:r>
        <w:t>A corrective action fails to prevent recurrence.</w:t>
      </w:r>
    </w:p>
    <w:p>
      <w:pPr>
        <w:pStyle w:val="ListBullet"/>
      </w:pPr>
      <w:r>
        <w:t>The failure affects multiple machines or production lines.</w:t>
      </w:r>
    </w:p>
    <w:p>
      <w:pPr>
        <w:pStyle w:val="ListBullet"/>
      </w:pPr>
      <w:r>
        <w:t>A product defect or common design issue is suspected.</w:t>
      </w:r>
    </w:p>
    <w:p>
      <w:pPr>
        <w:pStyle w:val="ListBullet"/>
      </w:pPr>
      <w:r>
        <w:t>A safety or cybersecurity concern is identified.</w:t>
      </w:r>
    </w:p>
    <w:p>
      <w:r>
        <w:t>For repeated failures, request evidence that the corrective action addresses the failure mechanism rather than only its immediate symptom.</w:t>
      </w:r>
    </w:p>
    <w:p>
      <w:pPr>
        <w:pStyle w:val="Heading2"/>
      </w:pPr>
      <w:r>
        <w:t>12. Warranty and service contract evaluation</w:t>
      </w:r>
    </w:p>
    <w:p>
      <w:r>
        <w:t>Warranty terms and paid service agreements should be evaluated as separate but connected commercial arrangements.</w:t>
      </w:r>
    </w:p>
    <w:p>
      <w:pPr>
        <w:pStyle w:val="Heading3"/>
      </w:pPr>
      <w:r>
        <w:t>12.1 Warranty evaluation</w:t>
      </w:r>
    </w:p>
    <w:p>
      <w:r>
        <w:t>Review:</w:t>
      </w:r>
    </w:p>
    <w:p>
      <w:pPr>
        <w:pStyle w:val="ListBullet"/>
      </w:pPr>
      <w:r>
        <w:t>Warranty start date and duration.</w:t>
      </w:r>
    </w:p>
    <w:p>
      <w:pPr>
        <w:pStyle w:val="ListBullet"/>
      </w:pPr>
      <w:r>
        <w:t>Whether coverage starts at dispatch, delivery, commissioning, or acceptance.</w:t>
      </w:r>
    </w:p>
    <w:p>
      <w:pPr>
        <w:pStyle w:val="ListBullet"/>
      </w:pPr>
      <w:r>
        <w:t>Parts, labor, travel, and transportation coverage.</w:t>
      </w:r>
    </w:p>
    <w:p>
      <w:pPr>
        <w:pStyle w:val="ListBullet"/>
      </w:pPr>
      <w:r>
        <w:t>Exclusions for wear, consumables, misuse, or unauthorized modifications.</w:t>
      </w:r>
    </w:p>
    <w:p>
      <w:pPr>
        <w:pStyle w:val="ListBullet"/>
      </w:pPr>
      <w:r>
        <w:t>Treatment of third-party components and software.</w:t>
      </w:r>
    </w:p>
    <w:p>
      <w:pPr>
        <w:pStyle w:val="ListBullet"/>
      </w:pPr>
      <w:r>
        <w:t>Repair and replacement timelines.</w:t>
      </w:r>
    </w:p>
    <w:p>
      <w:pPr>
        <w:pStyle w:val="ListBullet"/>
      </w:pPr>
      <w:r>
        <w:t>Warranty extension following repair or replacement.</w:t>
      </w:r>
    </w:p>
    <w:p>
      <w:pPr>
        <w:pStyle w:val="ListBullet"/>
      </w:pPr>
      <w:r>
        <w:t>Required maintenance records and compliance conditions.</w:t>
      </w:r>
    </w:p>
    <w:p>
      <w:pPr>
        <w:pStyle w:val="ListBullet"/>
      </w:pPr>
      <w:r>
        <w:t>Procedures for defect reporting and claim acceptance.</w:t>
      </w:r>
    </w:p>
    <w:p>
      <w:r>
        <w:t>The contract should avoid ambiguity where a delay in installation or acceptance could consume a substantial part of the effective warranty period.</w:t>
      </w:r>
    </w:p>
    <w:p>
      <w:pPr>
        <w:pStyle w:val="Heading3"/>
      </w:pPr>
      <w:r>
        <w:t>12.2 Annual maintenance and support contracts</w:t>
      </w:r>
    </w:p>
    <w:p>
      <w:r>
        <w:t>A maintenance or support contract may include:</w:t>
      </w:r>
    </w:p>
    <w:p>
      <w:pPr>
        <w:pStyle w:val="ListBullet"/>
      </w:pPr>
      <w:r>
        <w:t>Scheduled preventive maintenance visits.</w:t>
      </w:r>
    </w:p>
    <w:p>
      <w:pPr>
        <w:pStyle w:val="ListBullet"/>
      </w:pPr>
      <w:r>
        <w:t>Breakdown support and emergency attendance.</w:t>
      </w:r>
    </w:p>
    <w:p>
      <w:pPr>
        <w:pStyle w:val="ListBullet"/>
      </w:pPr>
      <w:r>
        <w:t>Remote technical assistance.</w:t>
      </w:r>
    </w:p>
    <w:p>
      <w:pPr>
        <w:pStyle w:val="ListBullet"/>
      </w:pPr>
      <w:r>
        <w:t>Software and firmware assistance.</w:t>
      </w:r>
    </w:p>
    <w:p>
      <w:pPr>
        <w:pStyle w:val="ListBullet"/>
      </w:pPr>
      <w:r>
        <w:t>Diagnostic inspections.</w:t>
      </w:r>
    </w:p>
    <w:p>
      <w:pPr>
        <w:pStyle w:val="ListBullet"/>
      </w:pPr>
      <w:r>
        <w:t>Training refreshers.</w:t>
      </w:r>
    </w:p>
    <w:p>
      <w:pPr>
        <w:pStyle w:val="ListBullet"/>
      </w:pPr>
      <w:r>
        <w:t>Repair labor and parts, subject to agreed scope.</w:t>
      </w:r>
    </w:p>
    <w:p>
      <w:pPr>
        <w:pStyle w:val="ListBullet"/>
      </w:pPr>
      <w:r>
        <w:t>Reporting and performance reviews.</w:t>
      </w:r>
    </w:p>
    <w:p>
      <w:r>
        <w:t>Clarify what is included and what is chargeable. “Comprehensive support” is not meaningful until the scope, exclusions, response commitments, and costs are defined.</w:t>
      </w:r>
    </w:p>
    <w:p>
      <w:pPr>
        <w:pStyle w:val="Heading3"/>
      </w:pPr>
      <w:r>
        <w:t>12.3 Contractual terms to verify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Contract item</w:t>
            </w:r>
          </w:p>
        </w:tc>
        <w:tc>
          <w:tcPr>
            <w:tcW w:type="dxa" w:w="5400"/>
            <w:shd w:val="clear" w:color="auto" w:fill="EEF2F7"/>
          </w:tcPr>
          <w:p>
            <w:pPr>
              <w:spacing w:after="0" w:before="0" w:line="240" w:lineRule="auto"/>
              <w:jc w:val="left"/>
            </w:pPr>
            <w:r>
              <w:rPr>
                <w:b/>
                <w:color w:val="1A2E4A"/>
              </w:rPr>
              <w:t>Evaluation requirement</w:t>
            </w:r>
          </w:p>
        </w:tc>
      </w:tr>
      <w:tr>
        <w:tc>
          <w:tcPr>
            <w:tcW w:type="dxa" w:w="5400"/>
          </w:tcPr>
          <w:p>
            <w:pPr>
              <w:spacing w:after="0" w:before="0" w:line="240" w:lineRule="auto"/>
              <w:jc w:val="left"/>
            </w:pPr>
            <w:r>
              <w:t>Scope</w:t>
            </w:r>
          </w:p>
        </w:tc>
        <w:tc>
          <w:tcPr>
            <w:tcW w:type="dxa" w:w="5400"/>
          </w:tcPr>
          <w:p>
            <w:pPr>
              <w:spacing w:after="0" w:before="0" w:line="240" w:lineRule="auto"/>
              <w:jc w:val="left"/>
            </w:pPr>
            <w:r>
              <w:t>Equipment, software, and activities covered</w:t>
            </w:r>
          </w:p>
        </w:tc>
      </w:tr>
      <w:tr>
        <w:tc>
          <w:tcPr>
            <w:tcW w:type="dxa" w:w="5400"/>
          </w:tcPr>
          <w:p>
            <w:pPr>
              <w:spacing w:after="0" w:before="0" w:line="240" w:lineRule="auto"/>
              <w:jc w:val="left"/>
            </w:pPr>
            <w:r>
              <w:t>Support hours</w:t>
            </w:r>
          </w:p>
        </w:tc>
        <w:tc>
          <w:tcPr>
            <w:tcW w:type="dxa" w:w="5400"/>
          </w:tcPr>
          <w:p>
            <w:pPr>
              <w:spacing w:after="0" w:before="0" w:line="240" w:lineRule="auto"/>
              <w:jc w:val="left"/>
            </w:pPr>
            <w:r>
              <w:t>Normal, extended, or 24/7 coverage</w:t>
            </w:r>
          </w:p>
        </w:tc>
      </w:tr>
      <w:tr>
        <w:tc>
          <w:tcPr>
            <w:tcW w:type="dxa" w:w="5400"/>
          </w:tcPr>
          <w:p>
            <w:pPr>
              <w:spacing w:after="0" w:before="0" w:line="240" w:lineRule="auto"/>
              <w:jc w:val="left"/>
            </w:pPr>
            <w:r>
              <w:t>SLA</w:t>
            </w:r>
          </w:p>
        </w:tc>
        <w:tc>
          <w:tcPr>
            <w:tcW w:type="dxa" w:w="5400"/>
          </w:tcPr>
          <w:p>
            <w:pPr>
              <w:spacing w:after="0" w:before="0" w:line="240" w:lineRule="auto"/>
              <w:jc w:val="left"/>
            </w:pPr>
            <w:r>
              <w:t>Defined acknowledgment, response, escalation, and restoration targets</w:t>
            </w:r>
          </w:p>
        </w:tc>
      </w:tr>
      <w:tr>
        <w:tc>
          <w:tcPr>
            <w:tcW w:type="dxa" w:w="5400"/>
          </w:tcPr>
          <w:p>
            <w:pPr>
              <w:spacing w:after="0" w:before="0" w:line="240" w:lineRule="auto"/>
              <w:jc w:val="left"/>
            </w:pPr>
            <w:r>
              <w:t>Pricing</w:t>
            </w:r>
          </w:p>
        </w:tc>
        <w:tc>
          <w:tcPr>
            <w:tcW w:type="dxa" w:w="5400"/>
          </w:tcPr>
          <w:p>
            <w:pPr>
              <w:spacing w:after="0" w:before="0" w:line="240" w:lineRule="auto"/>
              <w:jc w:val="left"/>
            </w:pPr>
            <w:r>
              <w:t>Annual fees, visit charges, hourly rates, and emergency premiums</w:t>
            </w:r>
          </w:p>
        </w:tc>
      </w:tr>
      <w:tr>
        <w:tc>
          <w:tcPr>
            <w:tcW w:type="dxa" w:w="5400"/>
          </w:tcPr>
          <w:p>
            <w:pPr>
              <w:spacing w:after="0" w:before="0" w:line="240" w:lineRule="auto"/>
              <w:jc w:val="left"/>
            </w:pPr>
            <w:r>
              <w:t>Travel</w:t>
            </w:r>
          </w:p>
        </w:tc>
        <w:tc>
          <w:tcPr>
            <w:tcW w:type="dxa" w:w="5400"/>
          </w:tcPr>
          <w:p>
            <w:pPr>
              <w:spacing w:after="0" w:before="0" w:line="240" w:lineRule="auto"/>
              <w:jc w:val="left"/>
            </w:pPr>
            <w:r>
              <w:t>Travel time, transport, accommodation, and expenses</w:t>
            </w:r>
          </w:p>
        </w:tc>
      </w:tr>
      <w:tr>
        <w:tc>
          <w:tcPr>
            <w:tcW w:type="dxa" w:w="5400"/>
          </w:tcPr>
          <w:p>
            <w:pPr>
              <w:spacing w:after="0" w:before="0" w:line="240" w:lineRule="auto"/>
              <w:jc w:val="left"/>
            </w:pPr>
            <w:r>
              <w:t>Parts</w:t>
            </w:r>
          </w:p>
        </w:tc>
        <w:tc>
          <w:tcPr>
            <w:tcW w:type="dxa" w:w="5400"/>
          </w:tcPr>
          <w:p>
            <w:pPr>
              <w:spacing w:after="0" w:before="0" w:line="240" w:lineRule="auto"/>
              <w:jc w:val="left"/>
            </w:pPr>
            <w:r>
              <w:t>Included parts, excluded parts, and pricing rules</w:t>
            </w:r>
          </w:p>
        </w:tc>
      </w:tr>
      <w:tr>
        <w:tc>
          <w:tcPr>
            <w:tcW w:type="dxa" w:w="5400"/>
          </w:tcPr>
          <w:p>
            <w:pPr>
              <w:spacing w:after="0" w:before="0" w:line="240" w:lineRule="auto"/>
              <w:jc w:val="left"/>
            </w:pPr>
            <w:r>
              <w:t>Renewal</w:t>
            </w:r>
          </w:p>
        </w:tc>
        <w:tc>
          <w:tcPr>
            <w:tcW w:type="dxa" w:w="5400"/>
          </w:tcPr>
          <w:p>
            <w:pPr>
              <w:spacing w:after="0" w:before="0" w:line="240" w:lineRule="auto"/>
              <w:jc w:val="left"/>
            </w:pPr>
            <w:r>
              <w:t>Renewal terms, notice periods, and price revisions</w:t>
            </w:r>
          </w:p>
        </w:tc>
      </w:tr>
      <w:tr>
        <w:tc>
          <w:tcPr>
            <w:tcW w:type="dxa" w:w="5400"/>
          </w:tcPr>
          <w:p>
            <w:pPr>
              <w:spacing w:after="0" w:before="0" w:line="240" w:lineRule="auto"/>
              <w:jc w:val="left"/>
            </w:pPr>
            <w:r>
              <w:t>Performance review</w:t>
            </w:r>
          </w:p>
        </w:tc>
        <w:tc>
          <w:tcPr>
            <w:tcW w:type="dxa" w:w="5400"/>
          </w:tcPr>
          <w:p>
            <w:pPr>
              <w:spacing w:after="0" w:before="0" w:line="240" w:lineRule="auto"/>
              <w:jc w:val="left"/>
            </w:pPr>
            <w:r>
              <w:t>Reporting frequency and review mechanism</w:t>
            </w:r>
          </w:p>
        </w:tc>
      </w:tr>
      <w:tr>
        <w:tc>
          <w:tcPr>
            <w:tcW w:type="dxa" w:w="5400"/>
          </w:tcPr>
          <w:p>
            <w:pPr>
              <w:spacing w:after="0" w:before="0" w:line="240" w:lineRule="auto"/>
              <w:jc w:val="left"/>
            </w:pPr>
            <w:r>
              <w:t>Subcontracting</w:t>
            </w:r>
          </w:p>
        </w:tc>
        <w:tc>
          <w:tcPr>
            <w:tcW w:type="dxa" w:w="5400"/>
          </w:tcPr>
          <w:p>
            <w:pPr>
              <w:spacing w:after="0" w:before="0" w:line="240" w:lineRule="auto"/>
              <w:jc w:val="left"/>
            </w:pPr>
            <w:r>
              <w:t>Approval and accountability arrangements</w:t>
            </w:r>
          </w:p>
        </w:tc>
      </w:tr>
      <w:tr>
        <w:tc>
          <w:tcPr>
            <w:tcW w:type="dxa" w:w="5400"/>
          </w:tcPr>
          <w:p>
            <w:pPr>
              <w:spacing w:after="0" w:before="0" w:line="240" w:lineRule="auto"/>
              <w:jc w:val="left"/>
            </w:pPr>
            <w:r>
              <w:t>Exit and transition</w:t>
            </w:r>
          </w:p>
        </w:tc>
        <w:tc>
          <w:tcPr>
            <w:tcW w:type="dxa" w:w="5400"/>
          </w:tcPr>
          <w:p>
            <w:pPr>
              <w:spacing w:after="0" w:before="0" w:line="240" w:lineRule="auto"/>
              <w:jc w:val="left"/>
            </w:pPr>
            <w:r>
              <w:t>Handover of records, configurations, and open cases</w:t>
            </w:r>
          </w:p>
        </w:tc>
      </w:tr>
      <w:tr>
        <w:tc>
          <w:tcPr>
            <w:tcW w:type="dxa" w:w="5400"/>
          </w:tcPr>
          <w:p>
            <w:pPr>
              <w:spacing w:after="0" w:before="0" w:line="240" w:lineRule="auto"/>
              <w:jc w:val="left"/>
            </w:pPr>
            <w:r>
              <w:t>Liability and remedies</w:t>
            </w:r>
          </w:p>
        </w:tc>
        <w:tc>
          <w:tcPr>
            <w:tcW w:type="dxa" w:w="5400"/>
          </w:tcPr>
          <w:p>
            <w:pPr>
              <w:spacing w:after="0" w:before="0" w:line="240" w:lineRule="auto"/>
              <w:jc w:val="left"/>
            </w:pPr>
            <w:r>
              <w:t>Contractually agreed consequences of non-performance</w:t>
            </w:r>
          </w:p>
        </w:tc>
      </w:tr>
      <w:tr>
        <w:tc>
          <w:tcPr>
            <w:tcW w:type="dxa" w:w="5400"/>
          </w:tcPr>
          <w:p>
            <w:pPr>
              <w:spacing w:after="0" w:before="0" w:line="240" w:lineRule="auto"/>
              <w:jc w:val="left"/>
            </w:pPr>
            <w:r>
              <w:t>Post-warranty support</w:t>
            </w:r>
          </w:p>
        </w:tc>
        <w:tc>
          <w:tcPr>
            <w:tcW w:type="dxa" w:w="5400"/>
          </w:tcPr>
          <w:p>
            <w:pPr>
              <w:spacing w:after="0" w:before="0" w:line="240" w:lineRule="auto"/>
              <w:jc w:val="left"/>
            </w:pPr>
            <w:r>
              <w:t>Availability, scope, and pricing after warranty expiry</w:t>
            </w:r>
          </w:p>
        </w:tc>
      </w:tr>
    </w:tbl>
    <w:p/>
    <w:p>
      <w:r>
        <w:t>Legal and commercial teams should review enforceability, liability, remedies, and other contractual terms. Technical teams should ensure that the commitments accurately reflect operational needs.</w:t>
      </w:r>
    </w:p>
    <w:p>
      <w:pPr>
        <w:pStyle w:val="Heading2"/>
      </w:pPr>
      <w:r>
        <w:t>13. Vendor support cost and lifecycle impact</w:t>
      </w:r>
    </w:p>
    <w:p>
      <w:r>
        <w:t>Support costs extend beyond the quoted service fee.</w:t>
      </w:r>
    </w:p>
    <w:p>
      <w:r>
        <w:t>A lifecycle support-cost model may include:</w:t>
      </w:r>
    </w:p>
    <w:p>
      <w:pPr>
        <w:spacing w:before="120" w:after="160"/>
        <w:jc w:val="center"/>
      </w:pPr>
      <m:oMathPara>
        <m:oMath>
          <m:sSub>
            <m:e>
              <m:r>
                <m:t>C</m:t>
              </m:r>
            </m:e>
            <m:sub>
              <m:r>
                <m:rPr>
                  <m:nor/>
                </m:rPr>
                <m:t>support</m:t>
              </m:r>
            </m:sub>
          </m:sSub>
          <m:r>
            <m:t>=</m:t>
          </m:r>
          <m:sSub>
            <m:e>
              <m:r>
                <m:t>C</m:t>
              </m:r>
            </m:e>
            <m:sub>
              <m:r>
                <m:rPr>
                  <m:nor/>
                </m:rPr>
                <m:t>contract</m:t>
              </m:r>
            </m:sub>
          </m:sSub>
          <m:r>
            <m:t>+</m:t>
          </m:r>
          <m:sSub>
            <m:e>
              <m:r>
                <m:t>C</m:t>
              </m:r>
            </m:e>
            <m:sub>
              <m:r>
                <m:rPr>
                  <m:nor/>
                </m:rPr>
                <m:t>visits</m:t>
              </m:r>
            </m:sub>
          </m:sSub>
          <m:r>
            <m:t>+</m:t>
          </m:r>
          <m:sSub>
            <m:e>
              <m:r>
                <m:t>C</m:t>
              </m:r>
            </m:e>
            <m:sub>
              <m:r>
                <m:rPr>
                  <m:nor/>
                </m:rPr>
                <m:t>travel</m:t>
              </m:r>
            </m:sub>
          </m:sSub>
          <m:r>
            <m:t>+</m:t>
          </m:r>
          <m:sSub>
            <m:e>
              <m:r>
                <m:t>C</m:t>
              </m:r>
            </m:e>
            <m:sub>
              <m:r>
                <m:rPr>
                  <m:nor/>
                </m:rPr>
                <m:t>repairs</m:t>
              </m:r>
            </m:sub>
          </m:sSub>
          <m:r>
            <m:t>+</m:t>
          </m:r>
          <m:sSub>
            <m:e>
              <m:r>
                <m:t>C</m:t>
              </m:r>
            </m:e>
            <m:sub>
              <m:r>
                <m:rPr>
                  <m:nor/>
                </m:rPr>
                <m:t>software</m:t>
              </m:r>
            </m:sub>
          </m:sSub>
          <m:r>
            <m:t>+</m:t>
          </m:r>
          <m:sSub>
            <m:e>
              <m:r>
                <m:t>C</m:t>
              </m:r>
            </m:e>
            <m:sub>
              <m:r>
                <m:rPr>
                  <m:nor/>
                </m:rPr>
                <m:t>training</m:t>
              </m:r>
            </m:sub>
          </m:sSub>
          <m:r>
            <m:t>+</m:t>
          </m:r>
          <m:sSub>
            <m:e>
              <m:r>
                <m:t>C</m:t>
              </m:r>
            </m:e>
            <m:sub>
              <m:r>
                <m:rPr>
                  <m:nor/>
                </m:rPr>
                <m:t>support downtime</m:t>
              </m:r>
            </m:sub>
          </m:sSub>
        </m:oMath>
      </m:oMathPara>
    </w:p>
    <w:p>
      <w:r>
        <w:t>The cost categories should be defined to avoid double-counting. If downtime is already included in another lifecycle-cost calculation, it should not be added again without adjusting the model.</w:t>
      </w:r>
    </w:p>
    <w:p>
      <w:pPr>
        <w:pStyle w:val="Heading3"/>
      </w:pPr>
      <w:r>
        <w:t>13.1 Cost comparison</w:t>
      </w:r>
    </w:p>
    <w:p>
      <w:r>
        <w:t>Consider two suppliers offering similar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or capability</w:t>
            </w:r>
          </w:p>
        </w:tc>
        <w:tc>
          <w:tcPr>
            <w:tcW w:type="dxa" w:w="3600"/>
            <w:shd w:val="clear" w:color="auto" w:fill="EEF2F7"/>
          </w:tcPr>
          <w:p>
            <w:pPr>
              <w:spacing w:after="0" w:before="0" w:line="240" w:lineRule="auto"/>
              <w:jc w:val="left"/>
            </w:pPr>
            <w:r>
              <w:rPr>
                <w:b/>
                <w:color w:val="1A2E4A"/>
              </w:rPr>
              <w:t>Supplier A</w:t>
            </w:r>
          </w:p>
        </w:tc>
        <w:tc>
          <w:tcPr>
            <w:tcW w:type="dxa" w:w="3600"/>
            <w:shd w:val="clear" w:color="auto" w:fill="EEF2F7"/>
          </w:tcPr>
          <w:p>
            <w:pPr>
              <w:spacing w:after="0" w:before="0" w:line="240" w:lineRule="auto"/>
              <w:jc w:val="left"/>
            </w:pPr>
            <w:r>
              <w:rPr>
                <w:b/>
                <w:color w:val="1A2E4A"/>
              </w:rPr>
              <w:t>Supplier B</w:t>
            </w:r>
          </w:p>
        </w:tc>
      </w:tr>
      <w:tr>
        <w:tc>
          <w:tcPr>
            <w:tcW w:type="dxa" w:w="3600"/>
          </w:tcPr>
          <w:p>
            <w:pPr>
              <w:spacing w:after="0" w:before="0" w:line="240" w:lineRule="auto"/>
              <w:jc w:val="left"/>
            </w:pPr>
            <w:r>
              <w:t>Annual support fee</w:t>
            </w:r>
          </w:p>
        </w:tc>
        <w:tc>
          <w:tcPr>
            <w:tcW w:type="dxa" w:w="3600"/>
          </w:tcPr>
          <w:p>
            <w:pPr>
              <w:spacing w:after="0" w:before="0" w:line="240" w:lineRule="auto"/>
              <w:jc w:val="left"/>
            </w:pPr>
            <w:r>
              <w:t>Lower</w:t>
            </w:r>
          </w:p>
        </w:tc>
        <w:tc>
          <w:tcPr>
            <w:tcW w:type="dxa" w:w="3600"/>
          </w:tcPr>
          <w:p>
            <w:pPr>
              <w:spacing w:after="0" w:before="0" w:line="240" w:lineRule="auto"/>
              <w:jc w:val="left"/>
            </w:pPr>
            <w:r>
              <w:t>Higher</w:t>
            </w:r>
          </w:p>
        </w:tc>
      </w:tr>
      <w:tr>
        <w:tc>
          <w:tcPr>
            <w:tcW w:type="dxa" w:w="3600"/>
          </w:tcPr>
          <w:p>
            <w:pPr>
              <w:spacing w:after="0" w:before="0" w:line="240" w:lineRule="auto"/>
              <w:jc w:val="left"/>
            </w:pPr>
            <w:r>
              <w:t>Local field-service capability</w:t>
            </w:r>
          </w:p>
        </w:tc>
        <w:tc>
          <w:tcPr>
            <w:tcW w:type="dxa" w:w="3600"/>
          </w:tcPr>
          <w:p>
            <w:pPr>
              <w:spacing w:after="0" w:before="0" w:line="240" w:lineRule="auto"/>
              <w:jc w:val="left"/>
            </w:pPr>
            <w:r>
              <w:t>Limited</w:t>
            </w:r>
          </w:p>
        </w:tc>
        <w:tc>
          <w:tcPr>
            <w:tcW w:type="dxa" w:w="3600"/>
          </w:tcPr>
          <w:p>
            <w:pPr>
              <w:spacing w:after="0" w:before="0" w:line="240" w:lineRule="auto"/>
              <w:jc w:val="left"/>
            </w:pPr>
            <w:r>
              <w:t>Established</w:t>
            </w:r>
          </w:p>
        </w:tc>
      </w:tr>
      <w:tr>
        <w:tc>
          <w:tcPr>
            <w:tcW w:type="dxa" w:w="3600"/>
          </w:tcPr>
          <w:p>
            <w:pPr>
              <w:spacing w:after="0" w:before="0" w:line="240" w:lineRule="auto"/>
              <w:jc w:val="left"/>
            </w:pPr>
            <w:r>
              <w:t>Emergency response</w:t>
            </w:r>
          </w:p>
        </w:tc>
        <w:tc>
          <w:tcPr>
            <w:tcW w:type="dxa" w:w="3600"/>
          </w:tcPr>
          <w:p>
            <w:pPr>
              <w:spacing w:after="0" w:before="0" w:line="240" w:lineRule="auto"/>
              <w:jc w:val="left"/>
            </w:pPr>
            <w:r>
              <w:t>Best effort</w:t>
            </w:r>
          </w:p>
        </w:tc>
        <w:tc>
          <w:tcPr>
            <w:tcW w:type="dxa" w:w="3600"/>
          </w:tcPr>
          <w:p>
            <w:pPr>
              <w:spacing w:after="0" w:before="0" w:line="240" w:lineRule="auto"/>
              <w:jc w:val="left"/>
            </w:pPr>
            <w:r>
              <w:t>Contractually defined</w:t>
            </w:r>
          </w:p>
        </w:tc>
      </w:tr>
      <w:tr>
        <w:tc>
          <w:tcPr>
            <w:tcW w:type="dxa" w:w="3600"/>
          </w:tcPr>
          <w:p>
            <w:pPr>
              <w:spacing w:after="0" w:before="0" w:line="240" w:lineRule="auto"/>
              <w:jc w:val="left"/>
            </w:pPr>
            <w:r>
              <w:t>Software recovery</w:t>
            </w:r>
          </w:p>
        </w:tc>
        <w:tc>
          <w:tcPr>
            <w:tcW w:type="dxa" w:w="3600"/>
          </w:tcPr>
          <w:p>
            <w:pPr>
              <w:spacing w:after="0" w:before="0" w:line="240" w:lineRule="auto"/>
              <w:jc w:val="left"/>
            </w:pPr>
            <w:r>
              <w:t>Chargeable specialist visit</w:t>
            </w:r>
          </w:p>
        </w:tc>
        <w:tc>
          <w:tcPr>
            <w:tcW w:type="dxa" w:w="3600"/>
          </w:tcPr>
          <w:p>
            <w:pPr>
              <w:spacing w:after="0" w:before="0" w:line="240" w:lineRule="auto"/>
              <w:jc w:val="left"/>
            </w:pPr>
            <w:r>
              <w:t>Included within agreed scope</w:t>
            </w:r>
          </w:p>
        </w:tc>
      </w:tr>
      <w:tr>
        <w:tc>
          <w:tcPr>
            <w:tcW w:type="dxa" w:w="3600"/>
          </w:tcPr>
          <w:p>
            <w:pPr>
              <w:spacing w:after="0" w:before="0" w:line="240" w:lineRule="auto"/>
              <w:jc w:val="left"/>
            </w:pPr>
            <w:r>
              <w:t>Critical spares</w:t>
            </w:r>
          </w:p>
        </w:tc>
        <w:tc>
          <w:tcPr>
            <w:tcW w:type="dxa" w:w="3600"/>
          </w:tcPr>
          <w:p>
            <w:pPr>
              <w:spacing w:after="0" w:before="0" w:line="240" w:lineRule="auto"/>
              <w:jc w:val="left"/>
            </w:pPr>
            <w:r>
              <w:t>Imported on demand</w:t>
            </w:r>
          </w:p>
        </w:tc>
        <w:tc>
          <w:tcPr>
            <w:tcW w:type="dxa" w:w="3600"/>
          </w:tcPr>
          <w:p>
            <w:pPr>
              <w:spacing w:after="0" w:before="0" w:line="240" w:lineRule="auto"/>
              <w:jc w:val="left"/>
            </w:pPr>
            <w:r>
              <w:t>Regional stock arrangement</w:t>
            </w:r>
          </w:p>
        </w:tc>
      </w:tr>
      <w:tr>
        <w:tc>
          <w:tcPr>
            <w:tcW w:type="dxa" w:w="3600"/>
          </w:tcPr>
          <w:p>
            <w:pPr>
              <w:spacing w:after="0" w:before="0" w:line="240" w:lineRule="auto"/>
              <w:jc w:val="left"/>
            </w:pPr>
            <w:r>
              <w:t>Technical training</w:t>
            </w:r>
          </w:p>
        </w:tc>
        <w:tc>
          <w:tcPr>
            <w:tcW w:type="dxa" w:w="3600"/>
          </w:tcPr>
          <w:p>
            <w:pPr>
              <w:spacing w:after="0" w:before="0" w:line="240" w:lineRule="auto"/>
              <w:jc w:val="left"/>
            </w:pPr>
            <w:r>
              <w:t>Optional</w:t>
            </w:r>
          </w:p>
        </w:tc>
        <w:tc>
          <w:tcPr>
            <w:tcW w:type="dxa" w:w="3600"/>
          </w:tcPr>
          <w:p>
            <w:pPr>
              <w:spacing w:after="0" w:before="0" w:line="240" w:lineRule="auto"/>
              <w:jc w:val="left"/>
            </w:pPr>
            <w:r>
              <w:t>Included for specified personnel</w:t>
            </w:r>
          </w:p>
        </w:tc>
      </w:tr>
      <w:tr>
        <w:tc>
          <w:tcPr>
            <w:tcW w:type="dxa" w:w="3600"/>
          </w:tcPr>
          <w:p>
            <w:pPr>
              <w:spacing w:after="0" w:before="0" w:line="240" w:lineRule="auto"/>
              <w:jc w:val="left"/>
            </w:pPr>
            <w:r>
              <w:t>Failure analysis</w:t>
            </w:r>
          </w:p>
        </w:tc>
        <w:tc>
          <w:tcPr>
            <w:tcW w:type="dxa" w:w="3600"/>
          </w:tcPr>
          <w:p>
            <w:pPr>
              <w:spacing w:after="0" w:before="0" w:line="240" w:lineRule="auto"/>
              <w:jc w:val="left"/>
            </w:pPr>
            <w:r>
              <w:t>Limited</w:t>
            </w:r>
          </w:p>
        </w:tc>
        <w:tc>
          <w:tcPr>
            <w:tcW w:type="dxa" w:w="3600"/>
          </w:tcPr>
          <w:p>
            <w:pPr>
              <w:spacing w:after="0" w:before="0" w:line="240" w:lineRule="auto"/>
              <w:jc w:val="left"/>
            </w:pPr>
            <w:r>
              <w:t>Formal report for agreed critical incidents</w:t>
            </w:r>
          </w:p>
        </w:tc>
      </w:tr>
    </w:tbl>
    <w:p/>
    <w:p>
      <w:r>
        <w:t>Supplier A may be suitable for a non-critical application with low failure consequences and strong in-house expertise. Supplier B may justify a higher fee for a production-critical system where faster restoration and predictable support reduce expected operational losses.</w:t>
      </w:r>
    </w:p>
    <w:p>
      <w:pPr>
        <w:pStyle w:val="Heading3"/>
      </w:pPr>
      <w:r>
        <w:t>13.2 Expected annual support cost</w:t>
      </w:r>
    </w:p>
    <w:p>
      <w:r>
        <w:t>When useful data is available, expected annual support cost can be estimated using incident frequency and cost per incident:</w:t>
      </w:r>
    </w:p>
    <w:p>
      <w:pPr>
        <w:spacing w:before="120" w:after="160"/>
        <w:jc w:val="center"/>
      </w:pPr>
      <m:oMathPara>
        <m:oMath>
          <m:sSub>
            <m:e>
              <m:r>
                <m:t>C</m:t>
              </m:r>
            </m:e>
            <m:sub>
              <m:r>
                <m:rPr>
                  <m:nor/>
                </m:rPr>
                <m:t>annual expected</m:t>
              </m:r>
            </m:sub>
          </m:sSub>
          <m:r>
            <m:t>=</m:t>
          </m:r>
          <m:sSub>
            <m:e>
              <m:r>
                <m:t>C</m:t>
              </m:r>
            </m:e>
            <m:sub>
              <m:r>
                <m:rPr>
                  <m:nor/>
                </m:rPr>
                <m:t>fixed support</m:t>
              </m:r>
            </m:sub>
          </m:sSub>
          <m:r>
            <m:t>+</m:t>
          </m:r>
          <m:nary>
            <m:naryPr>
              <m:chr m:val="∑"/>
              <m:limLoc m:val="subSup"/>
              <m:grow m:val="1"/>
              <m:subHide m:val="off"/>
              <m:supHide m:val="off"/>
            </m:naryPr>
            <m:sub>
              <m:r>
                <m:t>i=1</m:t>
              </m:r>
            </m:sub>
            <m:sup>
              <m:r>
                <m:t>n</m:t>
              </m:r>
            </m:sup>
            <m:e>
              <m:d>
                <m:dPr>
                  <m:sepChr m:val="×"/>
                </m:dPr>
                <m:e>
                  <m:sSub>
                    <m:e>
                      <m:r>
                        <m:t>λ</m:t>
                      </m:r>
                    </m:e>
                    <m:sub>
                      <m:r>
                        <m:t>i</m:t>
                      </m:r>
                    </m:sub>
                  </m:sSub>
                </m:e>
                <m:e>
                  <m:sSub>
                    <m:e>
                      <m:r>
                        <m:t>C</m:t>
                      </m:r>
                    </m:e>
                    <m:sub>
                      <m:r>
                        <m:t>i</m:t>
                      </m:r>
                    </m:sub>
                  </m:sSub>
                </m:e>
              </m:d>
            </m:e>
          </m:nary>
        </m:oMath>
      </m:oMathPara>
    </w:p>
    <w:p>
      <w:r>
        <w:t>Where:</w:t>
      </w:r>
    </w:p>
    <w:p>
      <w:pPr>
        <w:pStyle w:val="ListBullet"/>
      </w:pPr>
      <m:oMath>
        <m:sSub>
          <m:e>
            <m:r>
              <m:t>C</m:t>
            </m:r>
          </m:e>
          <m:sub>
            <m:r>
              <m:rPr>
                <m:nor/>
              </m:rPr>
              <m:t>fixed support</m:t>
            </m:r>
          </m:sub>
        </m:sSub>
      </m:oMath>
      <w:r>
        <w:t xml:space="preserve"> is the annual fixed support cost.</w:t>
      </w:r>
    </w:p>
    <w:p>
      <w:pPr>
        <w:pStyle w:val="ListBullet"/>
      </w:pPr>
      <m:oMath>
        <m:sSub>
          <m:e>
            <m:r>
              <m:t>λ</m:t>
            </m:r>
          </m:e>
          <m:sub>
            <m:r>
              <m:t>i</m:t>
            </m:r>
          </m:sub>
        </m:sSub>
      </m:oMath>
      <w:r>
        <w:t xml:space="preserve"> is the expected annual frequency of incident type </w:t>
      </w:r>
      <m:oMath>
        <m:r>
          <m:t>i</m:t>
        </m:r>
      </m:oMath>
      <w:r>
        <w:t>.</w:t>
      </w:r>
    </w:p>
    <w:p>
      <w:pPr>
        <w:pStyle w:val="ListBullet"/>
      </w:pPr>
      <m:oMath>
        <m:sSub>
          <m:e>
            <m:r>
              <m:t>C</m:t>
            </m:r>
          </m:e>
          <m:sub>
            <m:r>
              <m:t>i</m:t>
            </m:r>
          </m:sub>
        </m:sSub>
      </m:oMath>
      <w:r>
        <w:t xml:space="preserve"> is the estimated cost per incident, including applicable repair and downtime costs.</w:t>
      </w:r>
    </w:p>
    <w:p>
      <w:r>
        <w:t>This is an estimate, not a guarantee. Failure rates, restoration times, and cost assumptions should be based on evidence where possible. Low-frequency, high-impact events may require separate risk analysis rather than reliance on an average alone.</w:t>
      </w:r>
    </w:p>
    <w:p>
      <w:pPr>
        <w:pStyle w:val="Heading2"/>
      </w:pPr>
      <w:r>
        <w:t>14. Technical bid evaluation matrix for vendor support</w:t>
      </w:r>
    </w:p>
    <w:p>
      <w:r>
        <w:t>An illustrative weighted model can be used to compare bids. Adjust the criteria and weights to match the equipment's criticality and the organization's evaluation policy.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Criterion</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Support availability and SLA commitments</w:t>
            </w:r>
          </w:p>
        </w:tc>
        <w:tc>
          <w:tcPr>
            <w:tcW w:type="dxa" w:w="5400"/>
          </w:tcPr>
          <w:p>
            <w:pPr>
              <w:spacing w:after="0" w:before="0" w:line="240" w:lineRule="auto"/>
              <w:jc w:val="left"/>
            </w:pPr>
            <w:r>
              <w:t>20%</w:t>
            </w:r>
          </w:p>
        </w:tc>
      </w:tr>
      <w:tr>
        <w:tc>
          <w:tcPr>
            <w:tcW w:type="dxa" w:w="5400"/>
          </w:tcPr>
          <w:p>
            <w:pPr>
              <w:spacing w:after="0" w:before="0" w:line="240" w:lineRule="auto"/>
              <w:jc w:val="left"/>
            </w:pPr>
            <w:r>
              <w:t>Technical competence and escalation capability</w:t>
            </w:r>
          </w:p>
        </w:tc>
        <w:tc>
          <w:tcPr>
            <w:tcW w:type="dxa" w:w="5400"/>
          </w:tcPr>
          <w:p>
            <w:pPr>
              <w:spacing w:after="0" w:before="0" w:line="240" w:lineRule="auto"/>
              <w:jc w:val="left"/>
            </w:pPr>
            <w:r>
              <w:t>15%</w:t>
            </w:r>
          </w:p>
        </w:tc>
      </w:tr>
      <w:tr>
        <w:tc>
          <w:tcPr>
            <w:tcW w:type="dxa" w:w="5400"/>
          </w:tcPr>
          <w:p>
            <w:pPr>
              <w:spacing w:after="0" w:before="0" w:line="240" w:lineRule="auto"/>
              <w:jc w:val="left"/>
            </w:pPr>
            <w:r>
              <w:t>Local field service and response capability</w:t>
            </w:r>
          </w:p>
        </w:tc>
        <w:tc>
          <w:tcPr>
            <w:tcW w:type="dxa" w:w="5400"/>
          </w:tcPr>
          <w:p>
            <w:pPr>
              <w:spacing w:after="0" w:before="0" w:line="240" w:lineRule="auto"/>
              <w:jc w:val="left"/>
            </w:pPr>
            <w:r>
              <w:t>15%</w:t>
            </w:r>
          </w:p>
        </w:tc>
      </w:tr>
      <w:tr>
        <w:tc>
          <w:tcPr>
            <w:tcW w:type="dxa" w:w="5400"/>
          </w:tcPr>
          <w:p>
            <w:pPr>
              <w:spacing w:after="0" w:before="0" w:line="240" w:lineRule="auto"/>
              <w:jc w:val="left"/>
            </w:pPr>
            <w:r>
              <w:t>Spare-parts and repair logistics</w:t>
            </w:r>
          </w:p>
        </w:tc>
        <w:tc>
          <w:tcPr>
            <w:tcW w:type="dxa" w:w="5400"/>
          </w:tcPr>
          <w:p>
            <w:pPr>
              <w:spacing w:after="0" w:before="0" w:line="240" w:lineRule="auto"/>
              <w:jc w:val="left"/>
            </w:pPr>
            <w:r>
              <w:t>15%</w:t>
            </w:r>
          </w:p>
        </w:tc>
      </w:tr>
      <w:tr>
        <w:tc>
          <w:tcPr>
            <w:tcW w:type="dxa" w:w="5400"/>
          </w:tcPr>
          <w:p>
            <w:pPr>
              <w:spacing w:after="0" w:before="0" w:line="240" w:lineRule="auto"/>
              <w:jc w:val="left"/>
            </w:pPr>
            <w:r>
              <w:t>Software, firmware, and configuration support</w:t>
            </w:r>
          </w:p>
        </w:tc>
        <w:tc>
          <w:tcPr>
            <w:tcW w:type="dxa" w:w="5400"/>
          </w:tcPr>
          <w:p>
            <w:pPr>
              <w:spacing w:after="0" w:before="0" w:line="240" w:lineRule="auto"/>
              <w:jc w:val="left"/>
            </w:pPr>
            <w:r>
              <w:t>10%</w:t>
            </w:r>
          </w:p>
        </w:tc>
      </w:tr>
      <w:tr>
        <w:tc>
          <w:tcPr>
            <w:tcW w:type="dxa" w:w="5400"/>
          </w:tcPr>
          <w:p>
            <w:pPr>
              <w:spacing w:after="0" w:before="0" w:line="240" w:lineRule="auto"/>
              <w:jc w:val="left"/>
            </w:pPr>
            <w:r>
              <w:t>Root-cause analysis and corrective-action process</w:t>
            </w:r>
          </w:p>
        </w:tc>
        <w:tc>
          <w:tcPr>
            <w:tcW w:type="dxa" w:w="5400"/>
          </w:tcPr>
          <w:p>
            <w:pPr>
              <w:spacing w:after="0" w:before="0" w:line="240" w:lineRule="auto"/>
              <w:jc w:val="left"/>
            </w:pPr>
            <w:r>
              <w:t>10%</w:t>
            </w:r>
          </w:p>
        </w:tc>
      </w:tr>
      <w:tr>
        <w:tc>
          <w:tcPr>
            <w:tcW w:type="dxa" w:w="5400"/>
          </w:tcPr>
          <w:p>
            <w:pPr>
              <w:spacing w:after="0" w:before="0" w:line="240" w:lineRule="auto"/>
              <w:jc w:val="left"/>
            </w:pPr>
            <w:r>
              <w:t>Training and knowledge transfer</w:t>
            </w:r>
          </w:p>
        </w:tc>
        <w:tc>
          <w:tcPr>
            <w:tcW w:type="dxa" w:w="5400"/>
          </w:tcPr>
          <w:p>
            <w:pPr>
              <w:spacing w:after="0" w:before="0" w:line="240" w:lineRule="auto"/>
              <w:jc w:val="left"/>
            </w:pPr>
            <w:r>
              <w:t>5%</w:t>
            </w:r>
          </w:p>
        </w:tc>
      </w:tr>
      <w:tr>
        <w:tc>
          <w:tcPr>
            <w:tcW w:type="dxa" w:w="5400"/>
          </w:tcPr>
          <w:p>
            <w:pPr>
              <w:spacing w:after="0" w:before="0" w:line="240" w:lineRule="auto"/>
              <w:jc w:val="left"/>
            </w:pPr>
            <w:r>
              <w:t>Warranty and post-warranty continuity</w:t>
            </w:r>
          </w:p>
        </w:tc>
        <w:tc>
          <w:tcPr>
            <w:tcW w:type="dxa" w:w="5400"/>
          </w:tcPr>
          <w:p>
            <w:pPr>
              <w:spacing w:after="0" w:before="0" w:line="240" w:lineRule="auto"/>
              <w:jc w:val="left"/>
            </w:pPr>
            <w:r>
              <w:t>5%</w:t>
            </w:r>
          </w:p>
        </w:tc>
      </w:tr>
      <w:tr>
        <w:tc>
          <w:tcPr>
            <w:tcW w:type="dxa" w:w="5400"/>
          </w:tcPr>
          <w:p>
            <w:pPr>
              <w:spacing w:after="0" w:before="0" w:line="240" w:lineRule="auto"/>
              <w:jc w:val="left"/>
            </w:pPr>
            <w:r>
              <w:t>Reporting and support performance review</w:t>
            </w:r>
          </w:p>
        </w:tc>
        <w:tc>
          <w:tcPr>
            <w:tcW w:type="dxa" w:w="5400"/>
          </w:tcPr>
          <w:p>
            <w:pPr>
              <w:spacing w:after="0" w:before="0" w:line="240" w:lineRule="auto"/>
              <w:jc w:val="left"/>
            </w:pPr>
            <w:r>
              <w:t>5%</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Use a consistent evidence-based rating scale:</w:t>
      </w:r>
    </w:p>
    <w:p>
      <w:pPr>
        <w:pStyle w:val="ListBullet"/>
      </w:pPr>
      <w:r>
        <w:t>0: No response or no supporting evidence.</w:t>
      </w:r>
    </w:p>
    <w:p>
      <w:pPr>
        <w:pStyle w:val="ListBullet"/>
      </w:pPr>
      <w:r>
        <w:t>1: Major gaps; capability is inadequate for the stated requirement.</w:t>
      </w:r>
    </w:p>
    <w:p>
      <w:pPr>
        <w:pStyle w:val="ListBullet"/>
      </w:pPr>
      <w:r>
        <w:t>2: Partially compliant; significant limitations remain.</w:t>
      </w:r>
    </w:p>
    <w:p>
      <w:pPr>
        <w:pStyle w:val="ListBullet"/>
      </w:pPr>
      <w:r>
        <w:t>3: Fully meets the specified requirement.</w:t>
      </w:r>
    </w:p>
    <w:p>
      <w:pPr>
        <w:pStyle w:val="ListBullet"/>
      </w:pPr>
      <w:r>
        <w:t>4: Exceeds the requirement with documented evidence.</w:t>
      </w:r>
    </w:p>
    <w:p>
      <w:pPr>
        <w:pStyle w:val="ListBullet"/>
      </w:pPr>
      <w:r>
        <w:t>5: Strong capability demonstrated through evidence, relevant experience, or agreed tests.</w:t>
      </w:r>
    </w:p>
    <w:p>
      <w:r>
        <w:t>The weighted score can be calculated as:</w:t>
      </w:r>
    </w:p>
    <w:p>
      <w:pPr>
        <w:spacing w:before="120" w:after="160"/>
        <w:jc w:val="center"/>
      </w:pPr>
      <m:oMathPara>
        <m:oMath>
          <m:r>
            <m:t>S=</m:t>
          </m:r>
          <m:nary>
            <m:naryPr>
              <m:chr m:val="∑"/>
              <m:limLoc m:val="subSup"/>
              <m:grow m:val="1"/>
              <m:subHide m:val="off"/>
              <m:supHide m:val="off"/>
            </m:naryPr>
            <m:sub>
              <m:r>
                <m:t>i=1</m:t>
              </m:r>
            </m:sub>
            <m:sup>
              <m:r>
                <m:t>n</m:t>
              </m:r>
            </m:sup>
            <m:e>
              <m:d>
                <m:dPr>
                  <m:sepChr m:val="×"/>
                </m:dPr>
                <m:e>
                  <m:f>
                    <m:fPr>
                      <m:type m:val="bar"/>
                    </m:fPr>
                    <m:num>
                      <m:sSub>
                        <m:e>
                          <m:r>
                            <m:t>R</m:t>
                          </m:r>
                        </m:e>
                        <m:sub>
                          <m:r>
                            <m:t>i</m:t>
                          </m:r>
                        </m:sub>
                      </m:sSub>
                    </m:num>
                    <m:den>
                      <m:r>
                        <m:t>5</m:t>
                      </m:r>
                    </m:den>
                  </m:f>
                </m:e>
                <m:e>
                  <m:sSub>
                    <m:e>
                      <m:r>
                        <m:t>W</m:t>
                      </m:r>
                    </m:e>
                    <m:sub>
                      <m:r>
                        <m:t>i</m:t>
                      </m:r>
                    </m:sub>
                  </m:sSub>
                </m:e>
              </m:d>
            </m:e>
          </m:nary>
        </m:oMath>
      </m:oMathPara>
    </w:p>
    <w:p>
      <w:r>
        <w:t xml:space="preserve">Here, </w:t>
      </w:r>
      <m:oMath>
        <m:sSub>
          <m:e>
            <m:r>
              <m:t>R</m:t>
            </m:r>
          </m:e>
          <m:sub>
            <m:r>
              <m:t>i</m:t>
            </m:r>
          </m:sub>
        </m:sSub>
      </m:oMath>
      <w:r>
        <w:t xml:space="preserve"> is the rating out of 5, and </w:t>
      </w:r>
      <m:oMath>
        <m:sSub>
          <m:e>
            <m:r>
              <m:t>W</m:t>
            </m:r>
          </m:e>
          <m:sub>
            <m:r>
              <m:t>i</m:t>
            </m:r>
          </m:sub>
        </m:sSub>
      </m:oMath>
      <w:r>
        <w:t xml:space="preserve"> is the criterion weight in percentage points.</w:t>
      </w:r>
    </w:p>
    <w:p>
      <w:r>
        <w:t>Mandatory requirements, such as minimum support coverage for a critical production line, should be evaluated as pass/fail conditions where required. A high overall score must not conceal failure to meet a critical contractual requirement.</w:t>
      </w:r>
    </w:p>
    <w:p>
      <w:pPr>
        <w:pStyle w:val="Heading3"/>
      </w:pPr>
      <w:r>
        <w:t>14.1 Support evaluation evidence</w:t>
      </w:r>
    </w:p>
    <w:p>
      <w:r>
        <w:t>For each supplier, record:</w:t>
      </w:r>
    </w:p>
    <w:p>
      <w:pPr>
        <w:pStyle w:val="ListBullet"/>
      </w:pPr>
      <w:r>
        <w:t>The exact commitment offered.</w:t>
      </w:r>
    </w:p>
    <w:p>
      <w:pPr>
        <w:pStyle w:val="ListBullet"/>
      </w:pPr>
      <w:r>
        <w:t>Evidence supporting the commitment.</w:t>
      </w:r>
    </w:p>
    <w:p>
      <w:pPr>
        <w:pStyle w:val="ListBullet"/>
      </w:pPr>
      <w:r>
        <w:t>Any exception or deviation.</w:t>
      </w:r>
    </w:p>
    <w:p>
      <w:pPr>
        <w:pStyle w:val="ListBullet"/>
      </w:pPr>
      <w:r>
        <w:t>Impact on plant operations.</w:t>
      </w:r>
    </w:p>
    <w:p>
      <w:pPr>
        <w:pStyle w:val="ListBullet"/>
      </w:pPr>
      <w:r>
        <w:t>Additional cost.</w:t>
      </w:r>
    </w:p>
    <w:p>
      <w:pPr>
        <w:pStyle w:val="ListBullet"/>
      </w:pPr>
      <w:r>
        <w:t>Contractual wording required.</w:t>
      </w:r>
    </w:p>
    <w:p>
      <w:pPr>
        <w:pStyle w:val="ListBullet"/>
      </w:pPr>
      <w:r>
        <w:t>Responsible person for clarification.</w:t>
      </w:r>
    </w:p>
    <w:p>
      <w:pPr>
        <w:pStyle w:val="ListBullet"/>
      </w:pPr>
      <w:r>
        <w:t>Final compliance status.</w:t>
      </w:r>
    </w:p>
    <w:p>
      <w:r>
        <w:t>A claim of “24/7 support” should be checked for actual engineer availability, supported products, response channel, escalation coverage, and whether on-site attendance is included or separately charged.</w:t>
      </w:r>
    </w:p>
    <w:p>
      <w:pPr>
        <w:pStyle w:val="Heading2"/>
      </w:pPr>
      <w:r>
        <w:t>15. Vendor support during FAT, SAT, and handover</w:t>
      </w:r>
    </w:p>
    <w:p>
      <w:r>
        <w:t>Vendor support requirements should be verified during project execution, not postponed until the first breakdown.</w:t>
      </w:r>
    </w:p>
    <w:p>
      <w:pPr>
        <w:pStyle w:val="Heading3"/>
      </w:pPr>
      <w:r>
        <w:t>15.1 Factory Acceptance Test (FAT)</w:t>
      </w:r>
    </w:p>
    <w:p>
      <w:r>
        <w:t>During FAT, verify that:</w:t>
      </w:r>
    </w:p>
    <w:p>
      <w:pPr>
        <w:pStyle w:val="ListBullet"/>
      </w:pPr>
      <w:r>
        <w:t>The supplier demonstrates the agreed diagnostic functions.</w:t>
      </w:r>
    </w:p>
    <w:p>
      <w:pPr>
        <w:pStyle w:val="ListBullet"/>
      </w:pPr>
      <w:r>
        <w:t>Fault codes and alarm messages are documented.</w:t>
      </w:r>
    </w:p>
    <w:p>
      <w:pPr>
        <w:pStyle w:val="ListBullet"/>
      </w:pPr>
      <w:r>
        <w:t>Software and configuration backups are delivered.</w:t>
      </w:r>
    </w:p>
    <w:p>
      <w:pPr>
        <w:pStyle w:val="ListBullet"/>
      </w:pPr>
      <w:r>
        <w:t>The supplier demonstrates backup and restoration where practical.</w:t>
      </w:r>
    </w:p>
    <w:p>
      <w:pPr>
        <w:pStyle w:val="ListBullet"/>
      </w:pPr>
      <w:r>
        <w:t>Required engineering tools and licenses are available.</w:t>
      </w:r>
    </w:p>
    <w:p>
      <w:pPr>
        <w:pStyle w:val="ListBullet"/>
      </w:pPr>
      <w:r>
        <w:t>Troubleshooting and service procedures are reviewed.</w:t>
      </w:r>
    </w:p>
    <w:p>
      <w:pPr>
        <w:pStyle w:val="ListBullet"/>
      </w:pPr>
      <w:r>
        <w:t>Support escalation contacts are confirmed.</w:t>
      </w:r>
    </w:p>
    <w:p>
      <w:pPr>
        <w:pStyle w:val="ListBullet"/>
      </w:pPr>
      <w:r>
        <w:t>Open technical issues are recorded with owners and target dates.</w:t>
      </w:r>
    </w:p>
    <w:p>
      <w:pPr>
        <w:pStyle w:val="Heading3"/>
      </w:pPr>
      <w:r>
        <w:t>15.2 Site Acceptance Test (SAT)</w:t>
      </w:r>
    </w:p>
    <w:p>
      <w:r>
        <w:t>During SAT, verify that:</w:t>
      </w:r>
    </w:p>
    <w:p>
      <w:pPr>
        <w:pStyle w:val="ListBullet"/>
      </w:pPr>
      <w:r>
        <w:t>The supplier supports installation and site-specific integration.</w:t>
      </w:r>
    </w:p>
    <w:p>
      <w:pPr>
        <w:pStyle w:val="ListBullet"/>
      </w:pPr>
      <w:r>
        <w:t>Communication with plant systems operates correctly.</w:t>
      </w:r>
    </w:p>
    <w:p>
      <w:pPr>
        <w:pStyle w:val="ListBullet"/>
      </w:pPr>
      <w:r>
        <w:t>Critical fault-recovery procedures are demonstrated.</w:t>
      </w:r>
    </w:p>
    <w:p>
      <w:pPr>
        <w:pStyle w:val="ListBullet"/>
      </w:pPr>
      <w:r>
        <w:t>Required backups reflect the accepted site configuration.</w:t>
      </w:r>
    </w:p>
    <w:p>
      <w:pPr>
        <w:pStyle w:val="ListBullet"/>
      </w:pPr>
      <w:r>
        <w:t>Plant personnel can access agreed diagnostics.</w:t>
      </w:r>
    </w:p>
    <w:p>
      <w:pPr>
        <w:pStyle w:val="ListBullet"/>
      </w:pPr>
      <w:r>
        <w:t>Training is completed for the assigned personnel.</w:t>
      </w:r>
    </w:p>
    <w:p>
      <w:pPr>
        <w:pStyle w:val="ListBullet"/>
      </w:pPr>
      <w:r>
        <w:t>Service contacts and emergency escalation procedures are tested.</w:t>
      </w:r>
    </w:p>
    <w:p>
      <w:pPr>
        <w:pStyle w:val="ListBullet"/>
      </w:pPr>
      <w:r>
        <w:t>Remaining issues are documented and assigned.</w:t>
      </w:r>
    </w:p>
    <w:p>
      <w:pPr>
        <w:pStyle w:val="Heading3"/>
      </w:pPr>
      <w:r>
        <w:t>15.3 Handover package</w:t>
      </w:r>
    </w:p>
    <w:p>
      <w:r>
        <w:t>The final handover should include, as applicable:</w:t>
      </w:r>
    </w:p>
    <w:p>
      <w:pPr>
        <w:pStyle w:val="ListBullet"/>
      </w:pPr>
      <w:r>
        <w:t>Final approved drawings and equipment lists.</w:t>
      </w:r>
    </w:p>
    <w:p>
      <w:pPr>
        <w:pStyle w:val="ListBullet"/>
      </w:pPr>
      <w:r>
        <w:t>Source projects and configuration backups agreed in the contract.</w:t>
      </w:r>
    </w:p>
    <w:p>
      <w:pPr>
        <w:pStyle w:val="ListBullet"/>
      </w:pPr>
      <w:r>
        <w:t>Software, firmware, and license information.</w:t>
      </w:r>
    </w:p>
    <w:p>
      <w:pPr>
        <w:pStyle w:val="ListBullet"/>
      </w:pPr>
      <w:r>
        <w:t>Operating and maintenance manuals.</w:t>
      </w:r>
    </w:p>
    <w:p>
      <w:pPr>
        <w:pStyle w:val="ListBullet"/>
      </w:pPr>
      <w:r>
        <w:t>Spare-parts lists and ordering details.</w:t>
      </w:r>
    </w:p>
    <w:p>
      <w:pPr>
        <w:pStyle w:val="ListBullet"/>
      </w:pPr>
      <w:r>
        <w:t>Troubleshooting and recovery procedures.</w:t>
      </w:r>
    </w:p>
    <w:p>
      <w:pPr>
        <w:pStyle w:val="ListBullet"/>
      </w:pPr>
      <w:r>
        <w:t>Training records.</w:t>
      </w:r>
    </w:p>
    <w:p>
      <w:pPr>
        <w:pStyle w:val="ListBullet"/>
      </w:pPr>
      <w:r>
        <w:t>Warranty certificates and support-contract details.</w:t>
      </w:r>
    </w:p>
    <w:p>
      <w:pPr>
        <w:pStyle w:val="ListBullet"/>
      </w:pPr>
      <w:r>
        <w:t>Escalation contacts and service procedures.</w:t>
      </w:r>
    </w:p>
    <w:p>
      <w:pPr>
        <w:pStyle w:val="ListBullet"/>
      </w:pPr>
      <w:r>
        <w:t>Outstanding issues and agreed closure dates.</w:t>
      </w:r>
    </w:p>
    <w:p>
      <w:r>
        <w:t>The plant should retain controlled copies of these deliverables in its approved documentation repository.</w:t>
      </w:r>
    </w:p>
    <w:p>
      <w:pPr>
        <w:pStyle w:val="Heading2"/>
      </w:pPr>
      <w:r>
        <w:t>16. Managing vendor support in day-to-day maintenance</w:t>
      </w:r>
    </w:p>
    <w:p>
      <w:r>
        <w:t>A support agreement becomes useful only when maintenance personnel can use it consistently.</w:t>
      </w:r>
    </w:p>
    <w:p>
      <w:pPr>
        <w:pStyle w:val="Heading3"/>
      </w:pPr>
      <w:r>
        <w:t>16.1 Breakdown reporting procedure</w:t>
      </w:r>
    </w:p>
    <w:p>
      <w:pPr>
        <w:shd w:val="clear" w:color="auto" w:fill="F4F4F4"/>
        <w:spacing w:before="0" w:after="0" w:line="240" w:lineRule="auto"/>
        <w:ind w:left="216" w:right="216"/>
        <w:jc w:val="left"/>
      </w:pPr>
      <w:r>
        <w:rPr>
          <w:rFonts w:ascii="Consolas" w:hAnsi="Consolas"/>
          <w:color w:val="202020"/>
          <w:sz w:val="18"/>
        </w:rPr>
        <w:t>Fault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the equipment safe and assess production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the equipment ID, symptoms, alarms, and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authorized first-line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Open a vendor support case when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Provide diagnostic evidence and assign an internal owner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Track diagnosis, escalation, and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equipment operation and close the incident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corrective actions and recurring-fault trends</w:t>
      </w:r>
    </w:p>
    <w:p/>
    <w:p>
      <w:pPr>
        <w:pStyle w:val="Heading3"/>
      </w:pPr>
      <w:r>
        <w:t>16.2 Information to provide when opening a support case</w:t>
      </w:r>
    </w:p>
    <w:p>
      <w:r>
        <w:t>A well-prepared support request should contain:</w:t>
      </w:r>
    </w:p>
    <w:p>
      <w:pPr>
        <w:pStyle w:val="ListBullet"/>
      </w:pPr>
      <w:r>
        <w:t>Equipment name, machine number, and plant location.</w:t>
      </w:r>
    </w:p>
    <w:p>
      <w:pPr>
        <w:pStyle w:val="ListBullet"/>
      </w:pPr>
      <w:r>
        <w:t>Manufacturer, model, and relevant serial number.</w:t>
      </w:r>
    </w:p>
    <w:p>
      <w:pPr>
        <w:pStyle w:val="ListBullet"/>
      </w:pPr>
      <w:r>
        <w:t>Controller, drive, CNC, robot, or software version as applicable.</w:t>
      </w:r>
    </w:p>
    <w:p>
      <w:pPr>
        <w:pStyle w:val="ListBullet"/>
      </w:pPr>
      <w:r>
        <w:t>Fault code and exact alarm text.</w:t>
      </w:r>
    </w:p>
    <w:p>
      <w:pPr>
        <w:pStyle w:val="ListBullet"/>
      </w:pPr>
      <w:r>
        <w:t>Date and time of occurrence.</w:t>
      </w:r>
    </w:p>
    <w:p>
      <w:pPr>
        <w:pStyle w:val="ListBullet"/>
      </w:pPr>
      <w:r>
        <w:t>Operating state when the fault occurred.</w:t>
      </w:r>
    </w:p>
    <w:p>
      <w:pPr>
        <w:pStyle w:val="ListBullet"/>
      </w:pPr>
      <w:r>
        <w:t>Recent maintenance, configuration, or software changes.</w:t>
      </w:r>
    </w:p>
    <w:p>
      <w:pPr>
        <w:pStyle w:val="ListBullet"/>
      </w:pPr>
      <w:r>
        <w:t>Diagnostic logs, photographs, and relevant measurements.</w:t>
      </w:r>
    </w:p>
    <w:p>
      <w:pPr>
        <w:pStyle w:val="ListBullet"/>
      </w:pPr>
      <w:r>
        <w:t>Tests already performed and their results.</w:t>
      </w:r>
    </w:p>
    <w:p>
      <w:pPr>
        <w:pStyle w:val="ListBullet"/>
      </w:pPr>
      <w:r>
        <w:t>Production impact and required support priority.</w:t>
      </w:r>
    </w:p>
    <w:p>
      <w:pPr>
        <w:pStyle w:val="ListBullet"/>
      </w:pPr>
      <w:r>
        <w:t>Safe contact and site-access arrangements.</w:t>
      </w:r>
    </w:p>
    <w:p>
      <w:r>
        <w:t>Do not send passwords, private keys, or other sensitive credentials through ordinary email or uncontrolled messaging channels.</w:t>
      </w:r>
    </w:p>
    <w:p>
      <w:pPr>
        <w:pStyle w:val="Heading3"/>
      </w:pPr>
      <w:r>
        <w:t>16.3 Support case tracking</w:t>
      </w:r>
    </w:p>
    <w:p>
      <w:r>
        <w:t>Maintain a central register for vendor cases.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Case ID</w:t>
            </w:r>
          </w:p>
        </w:tc>
        <w:tc>
          <w:tcPr>
            <w:tcW w:type="dxa" w:w="5400"/>
          </w:tcPr>
          <w:p>
            <w:pPr>
              <w:spacing w:after="0" w:before="0" w:line="240" w:lineRule="auto"/>
              <w:jc w:val="left"/>
            </w:pPr>
            <w:r>
              <w:t>Unique reference for tracking</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affected machine</w:t>
            </w:r>
          </w:p>
        </w:tc>
      </w:tr>
      <w:tr>
        <w:tc>
          <w:tcPr>
            <w:tcW w:type="dxa" w:w="5400"/>
          </w:tcPr>
          <w:p>
            <w:pPr>
              <w:spacing w:after="0" w:before="0" w:line="240" w:lineRule="auto"/>
              <w:jc w:val="left"/>
            </w:pPr>
            <w:r>
              <w:t>Vendor and contact</w:t>
            </w:r>
          </w:p>
        </w:tc>
        <w:tc>
          <w:tcPr>
            <w:tcW w:type="dxa" w:w="5400"/>
          </w:tcPr>
          <w:p>
            <w:pPr>
              <w:spacing w:after="0" w:before="0" w:line="240" w:lineRule="auto"/>
              <w:jc w:val="left"/>
            </w:pPr>
            <w:r>
              <w:t>Identifies the responsible support organization</w:t>
            </w:r>
          </w:p>
        </w:tc>
      </w:tr>
      <w:tr>
        <w:tc>
          <w:tcPr>
            <w:tcW w:type="dxa" w:w="5400"/>
          </w:tcPr>
          <w:p>
            <w:pPr>
              <w:spacing w:after="0" w:before="0" w:line="240" w:lineRule="auto"/>
              <w:jc w:val="left"/>
            </w:pPr>
            <w:r>
              <w:t>Incident severity</w:t>
            </w:r>
          </w:p>
        </w:tc>
        <w:tc>
          <w:tcPr>
            <w:tcW w:type="dxa" w:w="5400"/>
          </w:tcPr>
          <w:p>
            <w:pPr>
              <w:spacing w:after="0" w:before="0" w:line="240" w:lineRule="auto"/>
              <w:jc w:val="left"/>
            </w:pPr>
            <w:r>
              <w:t>Establishes operational priority</w:t>
            </w:r>
          </w:p>
        </w:tc>
      </w:tr>
      <w:tr>
        <w:tc>
          <w:tcPr>
            <w:tcW w:type="dxa" w:w="5400"/>
          </w:tcPr>
          <w:p>
            <w:pPr>
              <w:spacing w:after="0" w:before="0" w:line="240" w:lineRule="auto"/>
              <w:jc w:val="left"/>
            </w:pPr>
            <w:r>
              <w:t>Opened timestamp</w:t>
            </w:r>
          </w:p>
        </w:tc>
        <w:tc>
          <w:tcPr>
            <w:tcW w:type="dxa" w:w="5400"/>
          </w:tcPr>
          <w:p>
            <w:pPr>
              <w:spacing w:after="0" w:before="0" w:line="240" w:lineRule="auto"/>
              <w:jc w:val="left"/>
            </w:pPr>
            <w:r>
              <w:t>Starts the support timeline</w:t>
            </w:r>
          </w:p>
        </w:tc>
      </w:tr>
      <w:tr>
        <w:tc>
          <w:tcPr>
            <w:tcW w:type="dxa" w:w="5400"/>
          </w:tcPr>
          <w:p>
            <w:pPr>
              <w:spacing w:after="0" w:before="0" w:line="240" w:lineRule="auto"/>
              <w:jc w:val="left"/>
            </w:pPr>
            <w:r>
              <w:t>Acknowledgment timestamp</w:t>
            </w:r>
          </w:p>
        </w:tc>
        <w:tc>
          <w:tcPr>
            <w:tcW w:type="dxa" w:w="5400"/>
          </w:tcPr>
          <w:p>
            <w:pPr>
              <w:spacing w:after="0" w:before="0" w:line="240" w:lineRule="auto"/>
              <w:jc w:val="left"/>
            </w:pPr>
            <w:r>
              <w:t>Measures acknowledgment performance</w:t>
            </w:r>
          </w:p>
        </w:tc>
      </w:tr>
      <w:tr>
        <w:tc>
          <w:tcPr>
            <w:tcW w:type="dxa" w:w="5400"/>
          </w:tcPr>
          <w:p>
            <w:pPr>
              <w:spacing w:after="0" w:before="0" w:line="240" w:lineRule="auto"/>
              <w:jc w:val="left"/>
            </w:pPr>
            <w:r>
              <w:t>Diagnosis status</w:t>
            </w:r>
          </w:p>
        </w:tc>
        <w:tc>
          <w:tcPr>
            <w:tcW w:type="dxa" w:w="5400"/>
          </w:tcPr>
          <w:p>
            <w:pPr>
              <w:spacing w:after="0" w:before="0" w:line="240" w:lineRule="auto"/>
              <w:jc w:val="left"/>
            </w:pPr>
            <w:r>
              <w:t>Tracks investigation progress</w:t>
            </w:r>
          </w:p>
        </w:tc>
      </w:tr>
      <w:tr>
        <w:tc>
          <w:tcPr>
            <w:tcW w:type="dxa" w:w="5400"/>
          </w:tcPr>
          <w:p>
            <w:pPr>
              <w:spacing w:after="0" w:before="0" w:line="240" w:lineRule="auto"/>
              <w:jc w:val="left"/>
            </w:pPr>
            <w:r>
              <w:t>Escalation status</w:t>
            </w:r>
          </w:p>
        </w:tc>
        <w:tc>
          <w:tcPr>
            <w:tcW w:type="dxa" w:w="5400"/>
          </w:tcPr>
          <w:p>
            <w:pPr>
              <w:spacing w:after="0" w:before="0" w:line="240" w:lineRule="auto"/>
              <w:jc w:val="left"/>
            </w:pPr>
            <w:r>
              <w:t>Identifies cases requiring higher-level support</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Records return to required operation</w:t>
            </w:r>
          </w:p>
        </w:tc>
      </w:tr>
      <w:tr>
        <w:tc>
          <w:tcPr>
            <w:tcW w:type="dxa" w:w="5400"/>
          </w:tcPr>
          <w:p>
            <w:pPr>
              <w:spacing w:after="0" w:before="0" w:line="240" w:lineRule="auto"/>
              <w:jc w:val="left"/>
            </w:pPr>
            <w:r>
              <w:t>Root cause</w:t>
            </w:r>
          </w:p>
        </w:tc>
        <w:tc>
          <w:tcPr>
            <w:tcW w:type="dxa" w:w="5400"/>
          </w:tcPr>
          <w:p>
            <w:pPr>
              <w:spacing w:after="0" w:before="0" w:line="240" w:lineRule="auto"/>
              <w:jc w:val="left"/>
            </w:pPr>
            <w:r>
              <w:t>Records the verified failure mechanism</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Records the repair or permanent improvement</w:t>
            </w:r>
          </w:p>
        </w:tc>
      </w:tr>
      <w:tr>
        <w:tc>
          <w:tcPr>
            <w:tcW w:type="dxa" w:w="5400"/>
          </w:tcPr>
          <w:p>
            <w:pPr>
              <w:spacing w:after="0" w:before="0" w:line="240" w:lineRule="auto"/>
              <w:jc w:val="left"/>
            </w:pPr>
            <w:r>
              <w:t>Cost</w:t>
            </w:r>
          </w:p>
        </w:tc>
        <w:tc>
          <w:tcPr>
            <w:tcW w:type="dxa" w:w="5400"/>
          </w:tcPr>
          <w:p>
            <w:pPr>
              <w:spacing w:after="0" w:before="0" w:line="240" w:lineRule="auto"/>
              <w:jc w:val="left"/>
            </w:pPr>
            <w:r>
              <w:t>Captures applicable support and repair expenses</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Confirms completion and required evidence</w:t>
            </w:r>
          </w:p>
        </w:tc>
      </w:tr>
    </w:tbl>
    <w:p/>
    <w:p>
      <w:r>
        <w:t>For a maintenance organization using SAP, the vendor case can be linked to the relevant maintenance notification or work order. This helps connect external support activity with equipment history, repair cost, downtime, and recurring failures.</w:t>
      </w:r>
    </w:p>
    <w:p>
      <w:pPr>
        <w:pStyle w:val="Heading2"/>
      </w:pPr>
      <w:r>
        <w:t>17. Vendor support performance indicators</w:t>
      </w:r>
    </w:p>
    <w:p>
      <w:r>
        <w:t>Review supplier performance periodically using measurable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 or 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SLA response compliance</w:t>
            </w:r>
          </w:p>
        </w:tc>
        <w:tc>
          <w:tcPr>
            <w:tcW w:type="dxa" w:w="3600"/>
          </w:tcPr>
          <w:p>
            <w:pPr>
              <w:spacing w:after="0" w:before="0" w:line="240" w:lineRule="auto"/>
              <w:jc w:val="left"/>
            </w:pPr>
            <w:r>
              <w:t>Cases meeting response target divided by applicable cases</w:t>
            </w:r>
          </w:p>
        </w:tc>
        <w:tc>
          <w:tcPr>
            <w:tcW w:type="dxa" w:w="3600"/>
          </w:tcPr>
          <w:p>
            <w:pPr>
              <w:spacing w:after="0" w:before="0" w:line="240" w:lineRule="auto"/>
              <w:jc w:val="left"/>
            </w:pPr>
            <w:r>
              <w:t>Measures response performance</w:t>
            </w:r>
          </w:p>
        </w:tc>
      </w:tr>
      <w:tr>
        <w:tc>
          <w:tcPr>
            <w:tcW w:type="dxa" w:w="3600"/>
          </w:tcPr>
          <w:p>
            <w:pPr>
              <w:spacing w:after="0" w:before="0" w:line="240" w:lineRule="auto"/>
              <w:jc w:val="left"/>
            </w:pPr>
            <w:r>
              <w:t>Restoration target compliance</w:t>
            </w:r>
          </w:p>
        </w:tc>
        <w:tc>
          <w:tcPr>
            <w:tcW w:type="dxa" w:w="3600"/>
          </w:tcPr>
          <w:p>
            <w:pPr>
              <w:spacing w:after="0" w:before="0" w:line="240" w:lineRule="auto"/>
              <w:jc w:val="left"/>
            </w:pPr>
            <w:r>
              <w:t>Cases meeting restoration target divided by applicable cases</w:t>
            </w:r>
          </w:p>
        </w:tc>
        <w:tc>
          <w:tcPr>
            <w:tcW w:type="dxa" w:w="3600"/>
          </w:tcPr>
          <w:p>
            <w:pPr>
              <w:spacing w:after="0" w:before="0" w:line="240" w:lineRule="auto"/>
              <w:jc w:val="left"/>
            </w:pPr>
            <w:r>
              <w:t>Measures restoration performance</w:t>
            </w:r>
          </w:p>
        </w:tc>
      </w:tr>
      <w:tr>
        <w:tc>
          <w:tcPr>
            <w:tcW w:type="dxa" w:w="3600"/>
          </w:tcPr>
          <w:p>
            <w:pPr>
              <w:spacing w:after="0" w:before="0" w:line="240" w:lineRule="auto"/>
              <w:jc w:val="left"/>
            </w:pPr>
            <w:r>
              <w:t>Mean acknowledgment time</w:t>
            </w:r>
          </w:p>
        </w:tc>
        <w:tc>
          <w:tcPr>
            <w:tcW w:type="dxa" w:w="3600"/>
          </w:tcPr>
          <w:p>
            <w:pPr>
              <w:spacing w:after="0" w:before="0" w:line="240" w:lineRule="auto"/>
              <w:jc w:val="left"/>
            </w:pPr>
            <w:r>
              <w:t>Average time from case registration to acknowledgment</w:t>
            </w:r>
          </w:p>
        </w:tc>
        <w:tc>
          <w:tcPr>
            <w:tcW w:type="dxa" w:w="3600"/>
          </w:tcPr>
          <w:p>
            <w:pPr>
              <w:spacing w:after="0" w:before="0" w:line="240" w:lineRule="auto"/>
              <w:jc w:val="left"/>
            </w:pPr>
            <w:r>
              <w:t>Measures administrative responsiveness</w:t>
            </w:r>
          </w:p>
        </w:tc>
      </w:tr>
      <w:tr>
        <w:tc>
          <w:tcPr>
            <w:tcW w:type="dxa" w:w="3600"/>
          </w:tcPr>
          <w:p>
            <w:pPr>
              <w:spacing w:after="0" w:before="0" w:line="240" w:lineRule="auto"/>
              <w:jc w:val="left"/>
            </w:pPr>
            <w:r>
              <w:t>Mean restoration time</w:t>
            </w:r>
          </w:p>
        </w:tc>
        <w:tc>
          <w:tcPr>
            <w:tcW w:type="dxa" w:w="3600"/>
          </w:tcPr>
          <w:p>
            <w:pPr>
              <w:spacing w:after="0" w:before="0" w:line="240" w:lineRule="auto"/>
              <w:jc w:val="left"/>
            </w:pPr>
            <w:r>
              <w:t>Average elapsed time from defined incident start to restoration</w:t>
            </w:r>
          </w:p>
        </w:tc>
        <w:tc>
          <w:tcPr>
            <w:tcW w:type="dxa" w:w="3600"/>
          </w:tcPr>
          <w:p>
            <w:pPr>
              <w:spacing w:after="0" w:before="0" w:line="240" w:lineRule="auto"/>
              <w:jc w:val="left"/>
            </w:pPr>
            <w:r>
              <w:t>Measures operational recovery</w:t>
            </w:r>
          </w:p>
        </w:tc>
      </w:tr>
      <w:tr>
        <w:tc>
          <w:tcPr>
            <w:tcW w:type="dxa" w:w="3600"/>
          </w:tcPr>
          <w:p>
            <w:pPr>
              <w:spacing w:after="0" w:before="0" w:line="240" w:lineRule="auto"/>
              <w:jc w:val="left"/>
            </w:pPr>
            <w:r>
              <w:t>First-time resolution rate</w:t>
            </w:r>
          </w:p>
        </w:tc>
        <w:tc>
          <w:tcPr>
            <w:tcW w:type="dxa" w:w="3600"/>
          </w:tcPr>
          <w:p>
            <w:pPr>
              <w:spacing w:after="0" w:before="0" w:line="240" w:lineRule="auto"/>
              <w:jc w:val="left"/>
            </w:pPr>
            <w:r>
              <w:t>Cases resolved without further corrective intervention divided by applicable cases</w:t>
            </w:r>
          </w:p>
        </w:tc>
        <w:tc>
          <w:tcPr>
            <w:tcW w:type="dxa" w:w="3600"/>
          </w:tcPr>
          <w:p>
            <w:pPr>
              <w:spacing w:after="0" w:before="0" w:line="240" w:lineRule="auto"/>
              <w:jc w:val="left"/>
            </w:pPr>
            <w:r>
              <w:t>Measures support effectiveness</w:t>
            </w:r>
          </w:p>
        </w:tc>
      </w:tr>
      <w:tr>
        <w:tc>
          <w:tcPr>
            <w:tcW w:type="dxa" w:w="3600"/>
          </w:tcPr>
          <w:p>
            <w:pPr>
              <w:spacing w:after="0" w:before="0" w:line="240" w:lineRule="auto"/>
              <w:jc w:val="left"/>
            </w:pPr>
            <w:r>
              <w:t>Repeat-fault rate</w:t>
            </w:r>
          </w:p>
        </w:tc>
        <w:tc>
          <w:tcPr>
            <w:tcW w:type="dxa" w:w="3600"/>
          </w:tcPr>
          <w:p>
            <w:pPr>
              <w:spacing w:after="0" w:before="0" w:line="240" w:lineRule="auto"/>
              <w:jc w:val="left"/>
            </w:pPr>
            <w:r>
              <w:t>Defined recurring incidents divided by the relevant incident population</w:t>
            </w:r>
          </w:p>
        </w:tc>
        <w:tc>
          <w:tcPr>
            <w:tcW w:type="dxa" w:w="3600"/>
          </w:tcPr>
          <w:p>
            <w:pPr>
              <w:spacing w:after="0" w:before="0" w:line="240" w:lineRule="auto"/>
              <w:jc w:val="left"/>
            </w:pPr>
            <w:r>
              <w:t>Identifies unresolved failure causes</w:t>
            </w:r>
          </w:p>
        </w:tc>
      </w:tr>
      <w:tr>
        <w:tc>
          <w:tcPr>
            <w:tcW w:type="dxa" w:w="3600"/>
          </w:tcPr>
          <w:p>
            <w:pPr>
              <w:spacing w:after="0" w:before="0" w:line="240" w:lineRule="auto"/>
              <w:jc w:val="left"/>
            </w:pPr>
            <w:r>
              <w:t>On-site attendance compliance</w:t>
            </w:r>
          </w:p>
        </w:tc>
        <w:tc>
          <w:tcPr>
            <w:tcW w:type="dxa" w:w="3600"/>
          </w:tcPr>
          <w:p>
            <w:pPr>
              <w:spacing w:after="0" w:before="0" w:line="240" w:lineRule="auto"/>
              <w:jc w:val="left"/>
            </w:pPr>
            <w:r>
              <w:t>Visits meeting the agreed attendance target divided by applicable visits</w:t>
            </w:r>
          </w:p>
        </w:tc>
        <w:tc>
          <w:tcPr>
            <w:tcW w:type="dxa" w:w="3600"/>
          </w:tcPr>
          <w:p>
            <w:pPr>
              <w:spacing w:after="0" w:before="0" w:line="240" w:lineRule="auto"/>
              <w:jc w:val="left"/>
            </w:pPr>
            <w:r>
              <w:t>Measures field-service reliability</w:t>
            </w:r>
          </w:p>
        </w:tc>
      </w:tr>
      <w:tr>
        <w:tc>
          <w:tcPr>
            <w:tcW w:type="dxa" w:w="3600"/>
          </w:tcPr>
          <w:p>
            <w:pPr>
              <w:spacing w:after="0" w:before="0" w:line="240" w:lineRule="auto"/>
              <w:jc w:val="left"/>
            </w:pPr>
            <w:r>
              <w:t>Repair turnaround compliance</w:t>
            </w:r>
          </w:p>
        </w:tc>
        <w:tc>
          <w:tcPr>
            <w:tcW w:type="dxa" w:w="3600"/>
          </w:tcPr>
          <w:p>
            <w:pPr>
              <w:spacing w:after="0" w:before="0" w:line="240" w:lineRule="auto"/>
              <w:jc w:val="left"/>
            </w:pPr>
            <w:r>
              <w:t>Repairs completed within the agreed turnaround divided by applicable repairs</w:t>
            </w:r>
          </w:p>
        </w:tc>
        <w:tc>
          <w:tcPr>
            <w:tcW w:type="dxa" w:w="3600"/>
          </w:tcPr>
          <w:p>
            <w:pPr>
              <w:spacing w:after="0" w:before="0" w:line="240" w:lineRule="auto"/>
              <w:jc w:val="left"/>
            </w:pPr>
            <w:r>
              <w:t>Measures repair logistics</w:t>
            </w:r>
          </w:p>
        </w:tc>
      </w:tr>
      <w:tr>
        <w:tc>
          <w:tcPr>
            <w:tcW w:type="dxa" w:w="3600"/>
          </w:tcPr>
          <w:p>
            <w:pPr>
              <w:spacing w:after="0" w:before="0" w:line="240" w:lineRule="auto"/>
              <w:jc w:val="left"/>
            </w:pPr>
            <w:r>
              <w:t>Documentation closure rate</w:t>
            </w:r>
          </w:p>
        </w:tc>
        <w:tc>
          <w:tcPr>
            <w:tcW w:type="dxa" w:w="3600"/>
          </w:tcPr>
          <w:p>
            <w:pPr>
              <w:spacing w:after="0" w:before="0" w:line="240" w:lineRule="auto"/>
              <w:jc w:val="left"/>
            </w:pPr>
            <w:r>
              <w:t>Required documents delivered and accepted divided by required documents</w:t>
            </w:r>
          </w:p>
        </w:tc>
        <w:tc>
          <w:tcPr>
            <w:tcW w:type="dxa" w:w="3600"/>
          </w:tcPr>
          <w:p>
            <w:pPr>
              <w:spacing w:after="0" w:before="0" w:line="240" w:lineRule="auto"/>
              <w:jc w:val="left"/>
            </w:pPr>
            <w:r>
              <w:t>Measures handover completeness</w:t>
            </w:r>
          </w:p>
        </w:tc>
      </w:tr>
      <w:tr>
        <w:tc>
          <w:tcPr>
            <w:tcW w:type="dxa" w:w="3600"/>
          </w:tcPr>
          <w:p>
            <w:pPr>
              <w:spacing w:after="0" w:before="0" w:line="240" w:lineRule="auto"/>
              <w:jc w:val="left"/>
            </w:pPr>
            <w:r>
              <w:t>Support cost</w:t>
            </w:r>
          </w:p>
        </w:tc>
        <w:tc>
          <w:tcPr>
            <w:tcW w:type="dxa" w:w="3600"/>
          </w:tcPr>
          <w:p>
            <w:pPr>
              <w:spacing w:after="0" w:before="0" w:line="240" w:lineRule="auto"/>
              <w:jc w:val="left"/>
            </w:pPr>
            <w:r>
              <w:t>Total agreed support expenditure over the review period</w:t>
            </w:r>
          </w:p>
        </w:tc>
        <w:tc>
          <w:tcPr>
            <w:tcW w:type="dxa" w:w="3600"/>
          </w:tcPr>
          <w:p>
            <w:pPr>
              <w:spacing w:after="0" w:before="0" w:line="240" w:lineRule="auto"/>
              <w:jc w:val="left"/>
            </w:pPr>
            <w:r>
              <w:t>Tracks financial performance</w:t>
            </w:r>
          </w:p>
        </w:tc>
      </w:tr>
    </w:tbl>
    <w:p/>
    <w:p>
      <w:r>
        <w:t>The measurement rules should define the reporting period, exclusions, incident categories, and whether the metric uses elapsed time or contracted service hours.</w:t>
      </w:r>
    </w:p>
    <w:p>
      <w:r>
        <w:t>A supplier with a low average response time may still perform poorly if critical cases are delayed. Review critical incidents separately and examine the distribution of response and restoration times rather than relying only on averages.</w:t>
      </w:r>
    </w:p>
    <w:p>
      <w:pPr>
        <w:pStyle w:val="Heading2"/>
      </w:pPr>
      <w:r>
        <w:t>18. Common vendor support failures and procurement controls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Undefined support hours</w:t>
            </w:r>
          </w:p>
        </w:tc>
        <w:tc>
          <w:tcPr>
            <w:tcW w:type="dxa" w:w="3600"/>
          </w:tcPr>
          <w:p>
            <w:pPr>
              <w:spacing w:after="0" w:before="0" w:line="240" w:lineRule="auto"/>
              <w:jc w:val="left"/>
            </w:pPr>
            <w:r>
              <w:t>No specialist available during night shift or holidays</w:t>
            </w:r>
          </w:p>
        </w:tc>
        <w:tc>
          <w:tcPr>
            <w:tcW w:type="dxa" w:w="3600"/>
          </w:tcPr>
          <w:p>
            <w:pPr>
              <w:spacing w:after="0" w:before="0" w:line="240" w:lineRule="auto"/>
              <w:jc w:val="left"/>
            </w:pPr>
            <w:r>
              <w:t>Specify coverage and escalation availability</w:t>
            </w:r>
          </w:p>
        </w:tc>
      </w:tr>
      <w:tr>
        <w:tc>
          <w:tcPr>
            <w:tcW w:type="dxa" w:w="3600"/>
          </w:tcPr>
          <w:p>
            <w:pPr>
              <w:spacing w:after="0" w:before="0" w:line="240" w:lineRule="auto"/>
              <w:jc w:val="left"/>
            </w:pPr>
            <w:r>
              <w:t>Response time confused with restoration time</w:t>
            </w:r>
          </w:p>
        </w:tc>
        <w:tc>
          <w:tcPr>
            <w:tcW w:type="dxa" w:w="3600"/>
          </w:tcPr>
          <w:p>
            <w:pPr>
              <w:spacing w:after="0" w:before="0" w:line="240" w:lineRule="auto"/>
              <w:jc w:val="left"/>
            </w:pPr>
            <w:r>
              <w:t>Support appears compliant while production remains stopped</w:t>
            </w:r>
          </w:p>
        </w:tc>
        <w:tc>
          <w:tcPr>
            <w:tcW w:type="dxa" w:w="3600"/>
          </w:tcPr>
          <w:p>
            <w:pPr>
              <w:spacing w:after="0" w:before="0" w:line="240" w:lineRule="auto"/>
              <w:jc w:val="left"/>
            </w:pPr>
            <w:r>
              <w:t>Define separate measurable SLA commitments</w:t>
            </w:r>
          </w:p>
        </w:tc>
      </w:tr>
      <w:tr>
        <w:tc>
          <w:tcPr>
            <w:tcW w:type="dxa" w:w="3600"/>
          </w:tcPr>
          <w:p>
            <w:pPr>
              <w:spacing w:after="0" w:before="0" w:line="240" w:lineRule="auto"/>
              <w:jc w:val="left"/>
            </w:pPr>
            <w:r>
              <w:t>No local specialist</w:t>
            </w:r>
          </w:p>
        </w:tc>
        <w:tc>
          <w:tcPr>
            <w:tcW w:type="dxa" w:w="3600"/>
          </w:tcPr>
          <w:p>
            <w:pPr>
              <w:spacing w:after="0" w:before="0" w:line="240" w:lineRule="auto"/>
              <w:jc w:val="left"/>
            </w:pPr>
            <w:r>
              <w:t>Long travel delays</w:t>
            </w:r>
          </w:p>
        </w:tc>
        <w:tc>
          <w:tcPr>
            <w:tcW w:type="dxa" w:w="3600"/>
          </w:tcPr>
          <w:p>
            <w:pPr>
              <w:spacing w:after="0" w:before="0" w:line="240" w:lineRule="auto"/>
              <w:jc w:val="left"/>
            </w:pPr>
            <w:r>
              <w:t>Verify actual field-service coverage</w:t>
            </w:r>
          </w:p>
        </w:tc>
      </w:tr>
      <w:tr>
        <w:tc>
          <w:tcPr>
            <w:tcW w:type="dxa" w:w="3600"/>
          </w:tcPr>
          <w:p>
            <w:pPr>
              <w:spacing w:after="0" w:before="0" w:line="240" w:lineRule="auto"/>
              <w:jc w:val="left"/>
            </w:pPr>
            <w:r>
              <w:t>Incomplete software access</w:t>
            </w:r>
          </w:p>
        </w:tc>
        <w:tc>
          <w:tcPr>
            <w:tcW w:type="dxa" w:w="3600"/>
          </w:tcPr>
          <w:p>
            <w:pPr>
              <w:spacing w:after="0" w:before="0" w:line="240" w:lineRule="auto"/>
              <w:jc w:val="left"/>
            </w:pPr>
            <w:r>
              <w:t>Plant cannot restore or modify the application</w:t>
            </w:r>
          </w:p>
        </w:tc>
        <w:tc>
          <w:tcPr>
            <w:tcW w:type="dxa" w:w="3600"/>
          </w:tcPr>
          <w:p>
            <w:pPr>
              <w:spacing w:after="0" w:before="0" w:line="240" w:lineRule="auto"/>
              <w:jc w:val="left"/>
            </w:pPr>
            <w:r>
              <w:t>Define software handover and license rights</w:t>
            </w:r>
          </w:p>
        </w:tc>
      </w:tr>
      <w:tr>
        <w:tc>
          <w:tcPr>
            <w:tcW w:type="dxa" w:w="3600"/>
          </w:tcPr>
          <w:p>
            <w:pPr>
              <w:spacing w:after="0" w:before="0" w:line="240" w:lineRule="auto"/>
              <w:jc w:val="left"/>
            </w:pPr>
            <w:r>
              <w:t>Missing diagnostic logs</w:t>
            </w:r>
          </w:p>
        </w:tc>
        <w:tc>
          <w:tcPr>
            <w:tcW w:type="dxa" w:w="3600"/>
          </w:tcPr>
          <w:p>
            <w:pPr>
              <w:spacing w:after="0" w:before="0" w:line="240" w:lineRule="auto"/>
              <w:jc w:val="left"/>
            </w:pPr>
            <w:r>
              <w:t>Repeated requests for basic information</w:t>
            </w:r>
          </w:p>
        </w:tc>
        <w:tc>
          <w:tcPr>
            <w:tcW w:type="dxa" w:w="3600"/>
          </w:tcPr>
          <w:p>
            <w:pPr>
              <w:spacing w:after="0" w:before="0" w:line="240" w:lineRule="auto"/>
              <w:jc w:val="left"/>
            </w:pPr>
            <w:r>
              <w:t>Define diagnostic requirements and evidence collection</w:t>
            </w:r>
          </w:p>
        </w:tc>
      </w:tr>
      <w:tr>
        <w:tc>
          <w:tcPr>
            <w:tcW w:type="dxa" w:w="3600"/>
          </w:tcPr>
          <w:p>
            <w:pPr>
              <w:spacing w:after="0" w:before="0" w:line="240" w:lineRule="auto"/>
              <w:jc w:val="left"/>
            </w:pPr>
            <w:r>
              <w:t>Unclear responsibility between OEM and integrator</w:t>
            </w:r>
          </w:p>
        </w:tc>
        <w:tc>
          <w:tcPr>
            <w:tcW w:type="dxa" w:w="3600"/>
          </w:tcPr>
          <w:p>
            <w:pPr>
              <w:spacing w:after="0" w:before="0" w:line="240" w:lineRule="auto"/>
              <w:jc w:val="left"/>
            </w:pPr>
            <w:r>
              <w:t>Support case is passed between suppliers</w:t>
            </w:r>
          </w:p>
        </w:tc>
        <w:tc>
          <w:tcPr>
            <w:tcW w:type="dxa" w:w="3600"/>
          </w:tcPr>
          <w:p>
            <w:pPr>
              <w:spacing w:after="0" w:before="0" w:line="240" w:lineRule="auto"/>
              <w:jc w:val="left"/>
            </w:pPr>
            <w:r>
              <w:t>Establish a single accountable case owner</w:t>
            </w:r>
          </w:p>
        </w:tc>
      </w:tr>
      <w:tr>
        <w:tc>
          <w:tcPr>
            <w:tcW w:type="dxa" w:w="3600"/>
          </w:tcPr>
          <w:p>
            <w:pPr>
              <w:spacing w:after="0" w:before="0" w:line="240" w:lineRule="auto"/>
              <w:jc w:val="left"/>
            </w:pPr>
            <w:r>
              <w:t>Unavailable spare parts</w:t>
            </w:r>
          </w:p>
        </w:tc>
        <w:tc>
          <w:tcPr>
            <w:tcW w:type="dxa" w:w="3600"/>
          </w:tcPr>
          <w:p>
            <w:pPr>
              <w:spacing w:after="0" w:before="0" w:line="240" w:lineRule="auto"/>
              <w:jc w:val="left"/>
            </w:pPr>
            <w:r>
              <w:t>Repair is delayed after diagnosis</w:t>
            </w:r>
          </w:p>
        </w:tc>
        <w:tc>
          <w:tcPr>
            <w:tcW w:type="dxa" w:w="3600"/>
          </w:tcPr>
          <w:p>
            <w:pPr>
              <w:spacing w:after="0" w:before="0" w:line="240" w:lineRule="auto"/>
              <w:jc w:val="left"/>
            </w:pPr>
            <w:r>
              <w:t>Define critical-spares and exchange-unit arrangements</w:t>
            </w:r>
          </w:p>
        </w:tc>
      </w:tr>
      <w:tr>
        <w:tc>
          <w:tcPr>
            <w:tcW w:type="dxa" w:w="3600"/>
          </w:tcPr>
          <w:p>
            <w:pPr>
              <w:spacing w:after="0" w:before="0" w:line="240" w:lineRule="auto"/>
              <w:jc w:val="left"/>
            </w:pPr>
            <w:r>
              <w:t>Weak root-cause analysis</w:t>
            </w:r>
          </w:p>
        </w:tc>
        <w:tc>
          <w:tcPr>
            <w:tcW w:type="dxa" w:w="3600"/>
          </w:tcPr>
          <w:p>
            <w:pPr>
              <w:spacing w:after="0" w:before="0" w:line="240" w:lineRule="auto"/>
              <w:jc w:val="left"/>
            </w:pPr>
            <w:r>
              <w:t>Same failure recurs</w:t>
            </w:r>
          </w:p>
        </w:tc>
        <w:tc>
          <w:tcPr>
            <w:tcW w:type="dxa" w:w="3600"/>
          </w:tcPr>
          <w:p>
            <w:pPr>
              <w:spacing w:after="0" w:before="0" w:line="240" w:lineRule="auto"/>
              <w:jc w:val="left"/>
            </w:pPr>
            <w:r>
              <w:t>Require formal investigation for agreed incidents</w:t>
            </w:r>
          </w:p>
        </w:tc>
      </w:tr>
      <w:tr>
        <w:tc>
          <w:tcPr>
            <w:tcW w:type="dxa" w:w="3600"/>
          </w:tcPr>
          <w:p>
            <w:pPr>
              <w:spacing w:after="0" w:before="0" w:line="240" w:lineRule="auto"/>
              <w:jc w:val="left"/>
            </w:pPr>
            <w:r>
              <w:t>Unsupported software version</w:t>
            </w:r>
          </w:p>
        </w:tc>
        <w:tc>
          <w:tcPr>
            <w:tcW w:type="dxa" w:w="3600"/>
          </w:tcPr>
          <w:p>
            <w:pPr>
              <w:spacing w:after="0" w:before="0" w:line="240" w:lineRule="auto"/>
              <w:jc w:val="left"/>
            </w:pPr>
            <w:r>
              <w:t>Updates or technical assistance become unavailable</w:t>
            </w:r>
          </w:p>
        </w:tc>
        <w:tc>
          <w:tcPr>
            <w:tcW w:type="dxa" w:w="3600"/>
          </w:tcPr>
          <w:p>
            <w:pPr>
              <w:spacing w:after="0" w:before="0" w:line="240" w:lineRule="auto"/>
              <w:jc w:val="left"/>
            </w:pPr>
            <w:r>
              <w:t>Confirm supported versions and lifecycle commitments</w:t>
            </w:r>
          </w:p>
        </w:tc>
      </w:tr>
      <w:tr>
        <w:tc>
          <w:tcPr>
            <w:tcW w:type="dxa" w:w="3600"/>
          </w:tcPr>
          <w:p>
            <w:pPr>
              <w:spacing w:after="0" w:before="0" w:line="240" w:lineRule="auto"/>
              <w:jc w:val="left"/>
            </w:pPr>
            <w:r>
              <w:t>Uncontrolled remote access</w:t>
            </w:r>
          </w:p>
        </w:tc>
        <w:tc>
          <w:tcPr>
            <w:tcW w:type="dxa" w:w="3600"/>
          </w:tcPr>
          <w:p>
            <w:pPr>
              <w:spacing w:after="0" w:before="0" w:line="240" w:lineRule="auto"/>
              <w:jc w:val="left"/>
            </w:pPr>
            <w:r>
              <w:t>Cybersecurity and operational risk</w:t>
            </w:r>
          </w:p>
        </w:tc>
        <w:tc>
          <w:tcPr>
            <w:tcW w:type="dxa" w:w="3600"/>
          </w:tcPr>
          <w:p>
            <w:pPr>
              <w:spacing w:after="0" w:before="0" w:line="240" w:lineRule="auto"/>
              <w:jc w:val="left"/>
            </w:pPr>
            <w:r>
              <w:t>Define authorization, monitoring, and revocation</w:t>
            </w:r>
          </w:p>
        </w:tc>
      </w:tr>
      <w:tr>
        <w:tc>
          <w:tcPr>
            <w:tcW w:type="dxa" w:w="3600"/>
          </w:tcPr>
          <w:p>
            <w:pPr>
              <w:spacing w:after="0" w:before="0" w:line="240" w:lineRule="auto"/>
              <w:jc w:val="left"/>
            </w:pPr>
            <w:r>
              <w:t>No post-warranty plan</w:t>
            </w:r>
          </w:p>
        </w:tc>
        <w:tc>
          <w:tcPr>
            <w:tcW w:type="dxa" w:w="3600"/>
          </w:tcPr>
          <w:p>
            <w:pPr>
              <w:spacing w:after="0" w:before="0" w:line="240" w:lineRule="auto"/>
              <w:jc w:val="left"/>
            </w:pPr>
            <w:r>
              <w:t>Unexpected cost and loss of support</w:t>
            </w:r>
          </w:p>
        </w:tc>
        <w:tc>
          <w:tcPr>
            <w:tcW w:type="dxa" w:w="3600"/>
          </w:tcPr>
          <w:p>
            <w:pPr>
              <w:spacing w:after="0" w:before="0" w:line="240" w:lineRule="auto"/>
              <w:jc w:val="left"/>
            </w:pPr>
            <w:r>
              <w:t>Agree post-warranty terms before purchase</w:t>
            </w:r>
          </w:p>
        </w:tc>
      </w:tr>
      <w:tr>
        <w:tc>
          <w:tcPr>
            <w:tcW w:type="dxa" w:w="3600"/>
          </w:tcPr>
          <w:p>
            <w:pPr>
              <w:spacing w:after="0" w:before="0" w:line="240" w:lineRule="auto"/>
              <w:jc w:val="left"/>
            </w:pPr>
            <w:r>
              <w:t>Poor knowledge transfer</w:t>
            </w:r>
          </w:p>
        </w:tc>
        <w:tc>
          <w:tcPr>
            <w:tcW w:type="dxa" w:w="3600"/>
          </w:tcPr>
          <w:p>
            <w:pPr>
              <w:spacing w:after="0" w:before="0" w:line="240" w:lineRule="auto"/>
              <w:jc w:val="left"/>
            </w:pPr>
            <w:r>
              <w:t>Long-term dependency on the vendor</w:t>
            </w:r>
          </w:p>
        </w:tc>
        <w:tc>
          <w:tcPr>
            <w:tcW w:type="dxa" w:w="3600"/>
          </w:tcPr>
          <w:p>
            <w:pPr>
              <w:spacing w:after="0" w:before="0" w:line="240" w:lineRule="auto"/>
              <w:jc w:val="left"/>
            </w:pPr>
            <w:r>
              <w:t>Define training and documentation deliverables</w:t>
            </w:r>
          </w:p>
        </w:tc>
      </w:tr>
    </w:tbl>
    <w:p/>
    <w:p>
      <w:pPr>
        <w:pStyle w:val="Heading2"/>
      </w:pPr>
      <w:r>
        <w:t>19. Practical case study: production-critical automation line</w:t>
      </w:r>
    </w:p>
    <w:p>
      <w:r>
        <w:t>Consider a production line where a PLC communicates with remote I/O, drives, robots, and an HMI. A communication fault stops production during a night shift.</w:t>
      </w:r>
    </w:p>
    <w:p>
      <w:r>
        <w:t>With poorly defined vendor support:</w:t>
      </w:r>
    </w:p>
    <w:p>
      <w:pPr>
        <w:pStyle w:val="ListBullet"/>
      </w:pPr>
      <w:r>
        <w:t>The available contact is only a sales representative.</w:t>
      </w:r>
    </w:p>
    <w:p>
      <w:pPr>
        <w:pStyle w:val="ListBullet"/>
      </w:pPr>
      <w:r>
        <w:t>No engineer is committed to night-shift coverage.</w:t>
      </w:r>
    </w:p>
    <w:p>
      <w:pPr>
        <w:pStyle w:val="ListBullet"/>
      </w:pPr>
      <w:r>
        <w:t>The support team requests information that maintenance cannot easily retrieve.</w:t>
      </w:r>
    </w:p>
    <w:p>
      <w:pPr>
        <w:pStyle w:val="ListBullet"/>
      </w:pPr>
      <w:r>
        <w:t>The correct spare is not available locally.</w:t>
      </w:r>
    </w:p>
    <w:p>
      <w:pPr>
        <w:pStyle w:val="ListBullet"/>
      </w:pPr>
      <w:r>
        <w:t>The supplier and integrator dispute responsibility for the fault.</w:t>
      </w:r>
    </w:p>
    <w:p>
      <w:pPr>
        <w:pStyle w:val="ListBullet"/>
      </w:pPr>
      <w:r>
        <w:t>The line remains stopped while ownership and costs are clarified.</w:t>
      </w:r>
    </w:p>
    <w:p>
      <w:r>
        <w:t>With a well-defined support arrangement:</w:t>
      </w:r>
    </w:p>
    <w:p>
      <w:pPr>
        <w:pStyle w:val="ListBullet"/>
      </w:pPr>
      <w:r>
        <w:t>Maintenance has an approved troubleshooting procedure and access to diagnostic logs.</w:t>
      </w:r>
    </w:p>
    <w:p>
      <w:pPr>
        <w:pStyle w:val="ListBullet"/>
      </w:pPr>
      <w:r>
        <w:t>A support case is registered under a defined critical severity.</w:t>
      </w:r>
    </w:p>
    <w:p>
      <w:pPr>
        <w:pStyle w:val="ListBullet"/>
      </w:pPr>
      <w:r>
        <w:t>The contracted technical team acknowledges and escalates the issue within the agreed limits.</w:t>
      </w:r>
    </w:p>
    <w:p>
      <w:pPr>
        <w:pStyle w:val="ListBullet"/>
      </w:pPr>
      <w:r>
        <w:t>The supplier and integrator have a documented responsibility split.</w:t>
      </w:r>
    </w:p>
    <w:p>
      <w:pPr>
        <w:pStyle w:val="ListBullet"/>
      </w:pPr>
      <w:r>
        <w:t>A compatible spare and verified configuration are available.</w:t>
      </w:r>
    </w:p>
    <w:p>
      <w:pPr>
        <w:pStyle w:val="ListBullet"/>
      </w:pPr>
      <w:r>
        <w:t>Maintenance restores the system using an approved procedure.</w:t>
      </w:r>
    </w:p>
    <w:p>
      <w:pPr>
        <w:pStyle w:val="ListBullet"/>
      </w:pPr>
      <w:r>
        <w:t>The team verifies communication, I/O behavior, interlocks, and machine functions before release.</w:t>
      </w:r>
    </w:p>
    <w:p>
      <w:pPr>
        <w:pStyle w:val="ListBullet"/>
      </w:pPr>
      <w:r>
        <w:t>The vendor investigates the root cause and provides a corrective-action report when required.</w:t>
      </w:r>
    </w:p>
    <w:p>
      <w:r>
        <w:t>The second arrangement does not guarantee that every breakdown will be short. It removes avoidable delays caused by unclear responsibility, missing resources, and undefined support commitments.</w:t>
      </w:r>
    </w:p>
    <w:p>
      <w:pPr>
        <w:pStyle w:val="Heading2"/>
      </w:pPr>
      <w:r>
        <w:t>20. Final vendor support evaluation checklist</w:t>
      </w:r>
    </w:p>
    <w:p>
      <w:pPr>
        <w:pStyle w:val="Heading3"/>
      </w:pPr>
      <w:r>
        <w:t>Technical capability</w:t>
      </w:r>
    </w:p>
    <w:p>
      <w:pPr>
        <w:pStyle w:val="ListBullet"/>
      </w:pPr>
      <w:r>
        <w:t>The supplier has demonstrated experience with the exact equipment family.</w:t>
      </w:r>
    </w:p>
    <w:p>
      <w:pPr>
        <w:pStyle w:val="ListBullet"/>
      </w:pPr>
      <w:r>
        <w:t>First-line, specialist, and OEM escalation responsibilities are defined.</w:t>
      </w:r>
    </w:p>
    <w:p>
      <w:pPr>
        <w:pStyle w:val="ListBullet"/>
      </w:pPr>
      <w:r>
        <w:t>PLC, HMI, CNC, robot, drive, and network support requirements are covered where applicable.</w:t>
      </w:r>
    </w:p>
    <w:p>
      <w:pPr>
        <w:pStyle w:val="ListBullet"/>
      </w:pPr>
      <w:r>
        <w:t>Software, firmware, license, and configuration recovery support is defined.</w:t>
      </w:r>
    </w:p>
    <w:p>
      <w:pPr>
        <w:pStyle w:val="ListBullet"/>
      </w:pPr>
      <w:r>
        <w:t>Root-cause analysis and repeat-fault escalation requirements are agreed.</w:t>
      </w:r>
    </w:p>
    <w:p>
      <w:pPr>
        <w:pStyle w:val="Heading3"/>
      </w:pPr>
      <w:r>
        <w:t>Service availability</w:t>
      </w:r>
    </w:p>
    <w:p>
      <w:pPr>
        <w:pStyle w:val="ListBullet"/>
      </w:pPr>
      <w:r>
        <w:t>Support hours match the plant's operating schedule.</w:t>
      </w:r>
    </w:p>
    <w:p>
      <w:pPr>
        <w:pStyle w:val="ListBullet"/>
      </w:pPr>
      <w:r>
        <w:t>Critical incident severity and escalation procedures are documented.</w:t>
      </w:r>
    </w:p>
    <w:p>
      <w:pPr>
        <w:pStyle w:val="ListBullet"/>
      </w:pPr>
      <w:r>
        <w:t>Acknowledgment, response, attendance, and restoration commitments are distinguished.</w:t>
      </w:r>
    </w:p>
    <w:p>
      <w:pPr>
        <w:pStyle w:val="ListBullet"/>
      </w:pPr>
      <w:r>
        <w:t>Local field-service capability has been verified.</w:t>
      </w:r>
    </w:p>
    <w:p>
      <w:pPr>
        <w:pStyle w:val="ListBullet"/>
      </w:pPr>
      <w:r>
        <w:t>Spare-parts and repair logistics meet the agreed operational requirements.</w:t>
      </w:r>
    </w:p>
    <w:p>
      <w:pPr>
        <w:pStyle w:val="Heading3"/>
      </w:pPr>
      <w:r>
        <w:t>Commercial and contractual requirements</w:t>
      </w:r>
    </w:p>
    <w:p>
      <w:pPr>
        <w:pStyle w:val="ListBullet"/>
      </w:pPr>
      <w:r>
        <w:t>Warranty scope and commencement date are clear.</w:t>
      </w:r>
    </w:p>
    <w:p>
      <w:pPr>
        <w:pStyle w:val="ListBullet"/>
      </w:pPr>
      <w:r>
        <w:t>Included and chargeable services are identified.</w:t>
      </w:r>
    </w:p>
    <w:p>
      <w:pPr>
        <w:pStyle w:val="ListBullet"/>
      </w:pPr>
      <w:r>
        <w:t>Annual support fees, emergency charges, and travel costs are defined.</w:t>
      </w:r>
    </w:p>
    <w:p>
      <w:pPr>
        <w:pStyle w:val="ListBullet"/>
      </w:pPr>
      <w:r>
        <w:t>Post-warranty support terms are understood.</w:t>
      </w:r>
    </w:p>
    <w:p>
      <w:pPr>
        <w:pStyle w:val="ListBullet"/>
      </w:pPr>
      <w:r>
        <w:t>Subcontracting, accountability, and contractual remedies are addressed.</w:t>
      </w:r>
    </w:p>
    <w:p>
      <w:pPr>
        <w:pStyle w:val="ListBullet"/>
      </w:pPr>
      <w:r>
        <w:t>Support obligations are included in the approved contractual documents.</w:t>
      </w:r>
    </w:p>
    <w:p>
      <w:pPr>
        <w:pStyle w:val="Heading3"/>
      </w:pPr>
      <w:r>
        <w:t>Handover and continuous improvement</w:t>
      </w:r>
    </w:p>
    <w:p>
      <w:pPr>
        <w:pStyle w:val="ListBullet"/>
      </w:pPr>
      <w:r>
        <w:t>Required manuals, backups, drawings, and diagnostic procedures are delivered.</w:t>
      </w:r>
    </w:p>
    <w:p>
      <w:pPr>
        <w:pStyle w:val="ListBullet"/>
      </w:pPr>
      <w:r>
        <w:t>Training and knowledge transfer are completed.</w:t>
      </w:r>
    </w:p>
    <w:p>
      <w:pPr>
        <w:pStyle w:val="ListBullet"/>
      </w:pPr>
      <w:r>
        <w:t>Support contacts and case-tracking procedures are available.</w:t>
      </w:r>
    </w:p>
    <w:p>
      <w:pPr>
        <w:pStyle w:val="ListBullet"/>
      </w:pPr>
      <w:r>
        <w:t>Vendor performance KPIs and review intervals are agreed.</w:t>
      </w:r>
    </w:p>
    <w:p>
      <w:pPr>
        <w:pStyle w:val="ListBullet"/>
      </w:pPr>
      <w:r>
        <w:t>Support case history is retained for recurring-fault analysis.</w:t>
      </w:r>
    </w:p>
    <w:p>
      <w:pPr>
        <w:pStyle w:val="ListBullet"/>
      </w:pPr>
      <w:r>
        <w:t>Obsolescence and end-of-support notifications are covered.</w:t>
      </w:r>
    </w:p>
    <w:p>
      <w:pPr>
        <w:pStyle w:val="Heading2"/>
      </w:pPr>
      <w:r>
        <w:t>21. Interview questions and answers</w:t>
      </w:r>
    </w:p>
    <w:p>
      <w:r>
        <w:t>Q1. What is vendor support in industrial automation?</w:t>
      </w:r>
    </w:p>
    <w:p>
      <w:r>
        <w:t>Vendor support is the technical and operational assistance provided by manufacturers, integrators, and service partners for installation, commissioning, troubleshooting, repair, software, training, spares, and lifecycle maintenance.</w:t>
      </w:r>
    </w:p>
    <w:p>
      <w:r>
        <w:t>Q2. What is the difference between a warranty and an SLA?</w:t>
      </w:r>
    </w:p>
    <w:p>
      <w:r>
        <w:t>A warranty defines coverage for specified defects or failures under stated conditions. An SLA defines measurable service commitments such as acknowledgment, response, escalation, or restoration targets.</w:t>
      </w:r>
    </w:p>
    <w:p>
      <w:r>
        <w:t>Q3. What is the difference between response time and restoration time?</w:t>
      </w:r>
    </w:p>
    <w:p>
      <w:r>
        <w:t>Response time measures how quickly meaningful support begins. Restoration time measures the elapsed time until the required equipment function is returned to operation.</w:t>
      </w:r>
    </w:p>
    <w:p>
      <w:r>
        <w:t>Q4. Why is local service capability important?</w:t>
      </w:r>
    </w:p>
    <w:p>
      <w:r>
        <w:t>It can reduce travel delays and improve access to qualified personnel, particularly for production-critical equipment. Actual coverage must be verified rather than inferred from the existence of a regional office.</w:t>
      </w:r>
    </w:p>
    <w:p>
      <w:r>
        <w:t>Q5. How should a plant evaluate a vendor's technical competence?</w:t>
      </w:r>
    </w:p>
    <w:p>
      <w:r>
        <w:t>Evaluate platform-specific experience, qualifications, relevant service history, diagnostic capability, escalation resources, practical demonstrations, and the ability to support the installed hardware and software versions.</w:t>
      </w:r>
    </w:p>
    <w:p>
      <w:r>
        <w:t>Q6. What should happen when a fault repeatedly recurs?</w:t>
      </w:r>
    </w:p>
    <w:p>
      <w:r>
        <w:t>The case should be escalated for a structured root-cause investigation. The supplier should document the verified cause, corrective action, validation results, and measures intended to prevent recurrence.</w:t>
      </w:r>
    </w:p>
    <w:p>
      <w:r>
        <w:t>Q7. Why must support responsibility be defined between the OEM and system integrator?</w:t>
      </w:r>
    </w:p>
    <w:p>
      <w:r>
        <w:t>Because a machine may contain hardware, application software, and interfaces supplied by different parties. Clear ownership prevents delays caused by disputes over who must investigate and resolve a fault.</w:t>
      </w:r>
    </w:p>
    <w:p>
      <w:r>
        <w:t>Q8. What is an effective vendor support KPI?</w:t>
      </w:r>
    </w:p>
    <w:p>
      <w:r>
        <w:t>SLA response compliance and restoration-time performance are useful, provided the definitions are clear. Repeat-fault rate, first-time resolution, and repair turnaround provide additional insight into support quality.</w:t>
      </w:r>
    </w:p>
    <w:p>
      <w:r>
        <w:t>Q9. How should remote vendor access be controlled?</w:t>
      </w:r>
    </w:p>
    <w:p>
      <w:r>
        <w:t>Use approved access methods, authorization, appropriate authentication, restricted permissions, session monitoring, and revocation procedures. Changes must follow the plant's change-management and safety requirements.</w:t>
      </w:r>
    </w:p>
    <w:p>
      <w:r>
        <w:t>Q10. How does vendor support affect lifecycle cost?</w:t>
      </w:r>
    </w:p>
    <w:p>
      <w:r>
        <w:t>Support quality affects service fees, repair costs, spare logistics, training, software costs, and downtime. A higher support fee can be justified when the expected reduction in operational losses exceeds the additional cost.</w:t>
      </w:r>
    </w:p>
    <w:p>
      <w:r>
        <w:t>Q11. What is the most important vendor support requirement for a critical production line?</w:t>
      </w:r>
    </w:p>
    <w:p>
      <w:r>
        <w:t>A clearly accountable support arrangement with measurable response and restoration commitments, qualified technical personnel, access to compatible spares, and a practical recovery process.</w:t>
      </w:r>
    </w:p>
    <w:p>
      <w:r>
        <w:t>Q12. How can a plant reduce long-term dependence on the vendor?</w:t>
      </w:r>
    </w:p>
    <w:p>
      <w:r>
        <w:t>Build in-house diagnostic capability, obtain agreed source projects and configuration backups, maintain accurate documentation, train personnel, establish spare strategies, and use vendor support to transfer knowledge rather than merely perform repeated repairs.</w:t>
      </w:r>
    </w:p>
    <w:p>
      <w:pPr>
        <w:pStyle w:val="Heading2"/>
      </w:pPr>
      <w:r>
        <w:t>22. Final practical principle</w:t>
      </w:r>
    </w:p>
    <w:p>
      <w:r>
        <w:t>Vendor support should be treated as a defined technical and contractual capability, not a vague promise of assistance.</w:t>
      </w:r>
    </w:p>
    <w:p>
      <w:r>
        <w:t>For every critical machine or automation system, establish who is responsible, what support is available, how quickly the supplier must act, what resources are required, how restoration is verified, and how recurring failures are investigated. Evaluate those commitments against the plant's actual operating schedule and production risk.</w:t>
      </w:r>
    </w:p>
    <w:p>
      <w:r>
        <w:t>A technically excellent machine with inaccessible expertise, unavailable spares, or unclear support obligations can become a long-term operational liability. Effective procurement secures both the equipment and a workable plan for keeping it supported throughout its lifecycle.</w:t>
      </w:r>
    </w:p>
    <w:p>
      <w:pPr>
        <w:pStyle w:val="Heading2"/>
      </w:pPr>
      <w:r>
        <w:t>NEXT TOPIC</w:t>
      </w:r>
    </w:p>
    <w:p>
      <w:r>
        <w:rPr>
          <w:rFonts w:ascii="Consolas" w:hAnsi="Consolas"/>
          <w:color w:val="333333"/>
          <w:sz w:val="19"/>
          <w:shd w:val="clear" w:color="auto" w:fill="EFEFEF"/>
        </w:rPr>
        <w:t>02_PLAN_WISE_2026\02_INDUSTRY3_0\09_Procurement\02_Technical_Bid_Evaluation\10_Obsolescence - Obsolescence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02_PLAN_WISE_2026\02_INDUSTRY3_0\09_Procurement\02_Technical_Bid_Evaluation\09_Vendor_Support - Vendor support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