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02_PLAN_WISE_2026\02_INDUSTRY3_0\09_Procurement\02_Technical_Bid_Evaluation\10_Obsolescence - Obsolescence</w:t>
      </w:r>
    </w:p>
    <w:p>
      <w:pPr>
        <w:pStyle w:val="Heading2"/>
      </w:pPr>
      <w:r>
        <w:t>1. Definition and purpose</w:t>
      </w:r>
    </w:p>
    <w:p>
      <w:r>
        <w:t>Obsolescence is the condition in which a product, component, technology, software platform, or service is no longer manufactured, supported, maintained, or practically available in a way that meets the operational needs of the organization.</w:t>
      </w:r>
    </w:p>
    <w:p>
      <w:r>
        <w:t>In industrial automation, obsolescence can affect PLCs, I/O modules, HMIs, CNC controllers, VFDs, servo drives, industrial PCs, communication cards, sensors, safety devices, engineering software, operating systems, and network infrastructure.</w:t>
      </w:r>
    </w:p>
    <w:p>
      <w:r>
        <w:t>Obsolescence does not necessarily mean that equipment has failed. A component may continue running reliably while becoming increasingly difficult or expensive to repair because its manufacturer has discontinued production, spare parts are scarce, firmware updates have ended, or compatible replacement products are unavailable.</w:t>
      </w:r>
    </w:p>
    <w:p>
      <w:r>
        <w:t>The purpose of evaluating obsolescence during technical bid evaluation is to determine whether the proposed equipment can be supported throughout its expected service life and whether the supplier provides a realistic migration path when the original product becomes unavailable.</w:t>
      </w:r>
    </w:p>
    <w:p>
      <w:pPr>
        <w:pStyle w:val="Heading2"/>
      </w:pPr>
      <w:r>
        <w:t>2. Why obsolescence matters in industrial plants</w:t>
      </w:r>
    </w:p>
    <w:p>
      <w:r>
        <w:t>Industrial equipment often remains in service for 10–25 years or longer, while electronic components, software platforms, and communication technologies may have much shorter commercial lifecycles.</w:t>
      </w:r>
    </w:p>
    <w:p>
      <w:r>
        <w:t>A machine purchased today may therefore outlive several generations of its control hardware and software.</w:t>
      </w:r>
    </w:p>
    <w:p>
      <w:r>
        <w:t>Major risks include:</w:t>
      </w:r>
    </w:p>
    <w:p>
      <w:pPr>
        <w:pStyle w:val="ListBullet"/>
      </w:pPr>
      <w:r>
        <w:t>Unplanned downtime: A failed discontinued module may stop a production line until a replacement is sourced or engineered.</w:t>
      </w:r>
    </w:p>
    <w:p>
      <w:pPr>
        <w:pStyle w:val="ListBullet"/>
      </w:pPr>
      <w:r>
        <w:t>Long procurement lead time: A spare may be available only through brokers, refurbished-equipment dealers, or limited remaining stock.</w:t>
      </w:r>
    </w:p>
    <w:p>
      <w:pPr>
        <w:pStyle w:val="ListBullet"/>
      </w:pPr>
      <w:r>
        <w:t>Counterfeit or unreliable parts: Scarcity increases exposure to parts with uncertain provenance, storage history, or remaining life.</w:t>
      </w:r>
    </w:p>
    <w:p>
      <w:pPr>
        <w:pStyle w:val="ListBullet"/>
      </w:pPr>
      <w:r>
        <w:t>Engineering incompatibility: A newer module may have different dimensions, wiring, firmware, addressing, electrical characteristics, or communication protocols.</w:t>
      </w:r>
    </w:p>
    <w:p>
      <w:pPr>
        <w:pStyle w:val="ListBullet"/>
      </w:pPr>
      <w:r>
        <w:t>Software dependency: A controller may require an obsolete programming environment, operating system, license, or interface cable.</w:t>
      </w:r>
    </w:p>
    <w:p>
      <w:pPr>
        <w:pStyle w:val="ListBullet"/>
      </w:pPr>
      <w:r>
        <w:t>Cybersecurity exposure: Unsupported software and firmware may no longer receive security updates.</w:t>
      </w:r>
    </w:p>
    <w:p>
      <w:pPr>
        <w:pStyle w:val="ListBullet"/>
      </w:pPr>
      <w:r>
        <w:t>Higher lifecycle cost: Migration, reprogramming, validation, training, and production downtime may cost much more than the original component.</w:t>
      </w:r>
    </w:p>
    <w:p>
      <w:pPr>
        <w:pStyle w:val="ListBullet"/>
      </w:pPr>
      <w:r>
        <w:t>Loss of supplier support: The original manufacturer or authorized service provider may no longer support the installed product.</w:t>
      </w:r>
    </w:p>
    <w:p>
      <w:r>
        <w:t>Obsolescence management is therefore a production-continuity and lifecycle-cost activity, not merely a purchasing activity.</w:t>
      </w:r>
    </w:p>
    <w:p>
      <w:pPr>
        <w:pStyle w:val="Heading2"/>
      </w:pPr>
      <w:r>
        <w:t>3. Types of obsolescence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Component obsolescence</w:t>
            </w:r>
          </w:p>
        </w:tc>
        <w:tc>
          <w:tcPr>
            <w:tcW w:type="dxa" w:w="3600"/>
          </w:tcPr>
          <w:p>
            <w:pPr>
              <w:spacing w:after="0" w:before="0" w:line="240" w:lineRule="auto"/>
              <w:jc w:val="left"/>
            </w:pPr>
            <w:r>
              <w:t>Electronic or electrical component discontinued</w:t>
            </w:r>
          </w:p>
        </w:tc>
        <w:tc>
          <w:tcPr>
            <w:tcW w:type="dxa" w:w="3600"/>
          </w:tcPr>
          <w:p>
            <w:pPr>
              <w:spacing w:after="0" w:before="0" w:line="240" w:lineRule="auto"/>
              <w:jc w:val="left"/>
            </w:pPr>
            <w:r>
              <w:t>PLC I/O module no longer manufactured</w:t>
            </w:r>
          </w:p>
        </w:tc>
      </w:tr>
      <w:tr>
        <w:tc>
          <w:tcPr>
            <w:tcW w:type="dxa" w:w="3600"/>
          </w:tcPr>
          <w:p>
            <w:pPr>
              <w:spacing w:after="0" w:before="0" w:line="240" w:lineRule="auto"/>
              <w:jc w:val="left"/>
            </w:pPr>
            <w:r>
              <w:t>Product obsolescence</w:t>
            </w:r>
          </w:p>
        </w:tc>
        <w:tc>
          <w:tcPr>
            <w:tcW w:type="dxa" w:w="3600"/>
          </w:tcPr>
          <w:p>
            <w:pPr>
              <w:spacing w:after="0" w:before="0" w:line="240" w:lineRule="auto"/>
              <w:jc w:val="left"/>
            </w:pPr>
            <w:r>
              <w:t>Complete equipment model discontinued</w:t>
            </w:r>
          </w:p>
        </w:tc>
        <w:tc>
          <w:tcPr>
            <w:tcW w:type="dxa" w:w="3600"/>
          </w:tcPr>
          <w:p>
            <w:pPr>
              <w:spacing w:after="0" w:before="0" w:line="240" w:lineRule="auto"/>
              <w:jc w:val="left"/>
            </w:pPr>
            <w:r>
              <w:t>VFD model replaced by a new series</w:t>
            </w:r>
          </w:p>
        </w:tc>
      </w:tr>
      <w:tr>
        <w:tc>
          <w:tcPr>
            <w:tcW w:type="dxa" w:w="3600"/>
          </w:tcPr>
          <w:p>
            <w:pPr>
              <w:spacing w:after="0" w:before="0" w:line="240" w:lineRule="auto"/>
              <w:jc w:val="left"/>
            </w:pPr>
            <w:r>
              <w:t>Platform obsolescence</w:t>
            </w:r>
          </w:p>
        </w:tc>
        <w:tc>
          <w:tcPr>
            <w:tcW w:type="dxa" w:w="3600"/>
          </w:tcPr>
          <w:p>
            <w:pPr>
              <w:spacing w:after="0" w:before="0" w:line="240" w:lineRule="auto"/>
              <w:jc w:val="left"/>
            </w:pPr>
            <w:r>
              <w:t>Entire product family or architecture phased out</w:t>
            </w:r>
          </w:p>
        </w:tc>
        <w:tc>
          <w:tcPr>
            <w:tcW w:type="dxa" w:w="3600"/>
          </w:tcPr>
          <w:p>
            <w:pPr>
              <w:spacing w:after="0" w:before="0" w:line="240" w:lineRule="auto"/>
              <w:jc w:val="left"/>
            </w:pPr>
            <w:r>
              <w:t>PLC family replaced by a new controller platform</w:t>
            </w:r>
          </w:p>
        </w:tc>
      </w:tr>
      <w:tr>
        <w:tc>
          <w:tcPr>
            <w:tcW w:type="dxa" w:w="3600"/>
          </w:tcPr>
          <w:p>
            <w:pPr>
              <w:spacing w:after="0" w:before="0" w:line="240" w:lineRule="auto"/>
              <w:jc w:val="left"/>
            </w:pPr>
            <w:r>
              <w:t>Software obsolescence</w:t>
            </w:r>
          </w:p>
        </w:tc>
        <w:tc>
          <w:tcPr>
            <w:tcW w:type="dxa" w:w="3600"/>
          </w:tcPr>
          <w:p>
            <w:pPr>
              <w:spacing w:after="0" w:before="0" w:line="240" w:lineRule="auto"/>
              <w:jc w:val="left"/>
            </w:pPr>
            <w:r>
              <w:t>Engineering or runtime software no longer supported</w:t>
            </w:r>
          </w:p>
        </w:tc>
        <w:tc>
          <w:tcPr>
            <w:tcW w:type="dxa" w:w="3600"/>
          </w:tcPr>
          <w:p>
            <w:pPr>
              <w:spacing w:after="0" w:before="0" w:line="240" w:lineRule="auto"/>
              <w:jc w:val="left"/>
            </w:pPr>
            <w:r>
              <w:t>HMI development software incompatible with current operating systems</w:t>
            </w:r>
          </w:p>
        </w:tc>
      </w:tr>
      <w:tr>
        <w:tc>
          <w:tcPr>
            <w:tcW w:type="dxa" w:w="3600"/>
          </w:tcPr>
          <w:p>
            <w:pPr>
              <w:spacing w:after="0" w:before="0" w:line="240" w:lineRule="auto"/>
              <w:jc w:val="left"/>
            </w:pPr>
            <w:r>
              <w:t>Operating-system obsolescence</w:t>
            </w:r>
          </w:p>
        </w:tc>
        <w:tc>
          <w:tcPr>
            <w:tcW w:type="dxa" w:w="3600"/>
          </w:tcPr>
          <w:p>
            <w:pPr>
              <w:spacing w:after="0" w:before="0" w:line="240" w:lineRule="auto"/>
              <w:jc w:val="left"/>
            </w:pPr>
            <w:r>
              <w:t>OS no longer supported or secure</w:t>
            </w:r>
          </w:p>
        </w:tc>
        <w:tc>
          <w:tcPr>
            <w:tcW w:type="dxa" w:w="3600"/>
          </w:tcPr>
          <w:p>
            <w:pPr>
              <w:spacing w:after="0" w:before="0" w:line="240" w:lineRule="auto"/>
              <w:jc w:val="left"/>
            </w:pPr>
            <w:r>
              <w:t>Industrial PC running an unsupported Windows version</w:t>
            </w:r>
          </w:p>
        </w:tc>
      </w:tr>
      <w:tr>
        <w:tc>
          <w:tcPr>
            <w:tcW w:type="dxa" w:w="3600"/>
          </w:tcPr>
          <w:p>
            <w:pPr>
              <w:spacing w:after="0" w:before="0" w:line="240" w:lineRule="auto"/>
              <w:jc w:val="left"/>
            </w:pPr>
            <w:r>
              <w:t>Communication obsolescence</w:t>
            </w:r>
          </w:p>
        </w:tc>
        <w:tc>
          <w:tcPr>
            <w:tcW w:type="dxa" w:w="3600"/>
          </w:tcPr>
          <w:p>
            <w:pPr>
              <w:spacing w:after="0" w:before="0" w:line="240" w:lineRule="auto"/>
              <w:jc w:val="left"/>
            </w:pPr>
            <w:r>
              <w:t>Interface or protocol loses practical support</w:t>
            </w:r>
          </w:p>
        </w:tc>
        <w:tc>
          <w:tcPr>
            <w:tcW w:type="dxa" w:w="3600"/>
          </w:tcPr>
          <w:p>
            <w:pPr>
              <w:spacing w:after="0" w:before="0" w:line="240" w:lineRule="auto"/>
              <w:jc w:val="left"/>
            </w:pPr>
            <w:r>
              <w:t>Legacy serial interface requiring unavailable adapters</w:t>
            </w:r>
          </w:p>
        </w:tc>
      </w:tr>
      <w:tr>
        <w:tc>
          <w:tcPr>
            <w:tcW w:type="dxa" w:w="3600"/>
          </w:tcPr>
          <w:p>
            <w:pPr>
              <w:spacing w:after="0" w:before="0" w:line="240" w:lineRule="auto"/>
              <w:jc w:val="left"/>
            </w:pPr>
            <w:r>
              <w:t>Safety-system obsolescence</w:t>
            </w:r>
          </w:p>
        </w:tc>
        <w:tc>
          <w:tcPr>
            <w:tcW w:type="dxa" w:w="3600"/>
          </w:tcPr>
          <w:p>
            <w:pPr>
              <w:spacing w:after="0" w:before="0" w:line="240" w:lineRule="auto"/>
              <w:jc w:val="left"/>
            </w:pPr>
            <w:r>
              <w:t>Safety device or platform reaches end of support</w:t>
            </w:r>
          </w:p>
        </w:tc>
        <w:tc>
          <w:tcPr>
            <w:tcW w:type="dxa" w:w="3600"/>
          </w:tcPr>
          <w:p>
            <w:pPr>
              <w:spacing w:after="0" w:before="0" w:line="240" w:lineRule="auto"/>
              <w:jc w:val="left"/>
            </w:pPr>
            <w:r>
              <w:t>Safety controller with no supported replacement</w:t>
            </w:r>
          </w:p>
        </w:tc>
      </w:tr>
      <w:tr>
        <w:tc>
          <w:tcPr>
            <w:tcW w:type="dxa" w:w="3600"/>
          </w:tcPr>
          <w:p>
            <w:pPr>
              <w:spacing w:after="0" w:before="0" w:line="240" w:lineRule="auto"/>
              <w:jc w:val="left"/>
            </w:pPr>
            <w:r>
              <w:t>Supplier obsolescence</w:t>
            </w:r>
          </w:p>
        </w:tc>
        <w:tc>
          <w:tcPr>
            <w:tcW w:type="dxa" w:w="3600"/>
          </w:tcPr>
          <w:p>
            <w:pPr>
              <w:spacing w:after="0" w:before="0" w:line="240" w:lineRule="auto"/>
              <w:jc w:val="left"/>
            </w:pPr>
            <w:r>
              <w:t>Manufacturer or service provider exits the market</w:t>
            </w:r>
          </w:p>
        </w:tc>
        <w:tc>
          <w:tcPr>
            <w:tcW w:type="dxa" w:w="3600"/>
          </w:tcPr>
          <w:p>
            <w:pPr>
              <w:spacing w:after="0" w:before="0" w:line="240" w:lineRule="auto"/>
              <w:jc w:val="left"/>
            </w:pPr>
            <w:r>
              <w:t>Machine builder ceases operations</w:t>
            </w:r>
          </w:p>
        </w:tc>
      </w:tr>
      <w:tr>
        <w:tc>
          <w:tcPr>
            <w:tcW w:type="dxa" w:w="3600"/>
          </w:tcPr>
          <w:p>
            <w:pPr>
              <w:spacing w:after="0" w:before="0" w:line="240" w:lineRule="auto"/>
              <w:jc w:val="left"/>
            </w:pPr>
            <w:r>
              <w:t>Standards obsolescence</w:t>
            </w:r>
          </w:p>
        </w:tc>
        <w:tc>
          <w:tcPr>
            <w:tcW w:type="dxa" w:w="3600"/>
          </w:tcPr>
          <w:p>
            <w:pPr>
              <w:spacing w:after="0" w:before="0" w:line="240" w:lineRule="auto"/>
              <w:jc w:val="left"/>
            </w:pPr>
            <w:r>
              <w:t>Older implementation no longer meets current requirements</w:t>
            </w:r>
          </w:p>
        </w:tc>
        <w:tc>
          <w:tcPr>
            <w:tcW w:type="dxa" w:w="3600"/>
          </w:tcPr>
          <w:p>
            <w:pPr>
              <w:spacing w:after="0" w:before="0" w:line="240" w:lineRule="auto"/>
              <w:jc w:val="left"/>
            </w:pPr>
            <w:r>
              <w:t>Legacy design requiring modification to satisfy updated safety or cybersecurity requirements</w:t>
            </w:r>
          </w:p>
        </w:tc>
      </w:tr>
      <w:tr>
        <w:tc>
          <w:tcPr>
            <w:tcW w:type="dxa" w:w="3600"/>
          </w:tcPr>
          <w:p>
            <w:pPr>
              <w:spacing w:after="0" w:before="0" w:line="240" w:lineRule="auto"/>
              <w:jc w:val="left"/>
            </w:pPr>
            <w:r>
              <w:t>Consumable obsolescence</w:t>
            </w:r>
          </w:p>
        </w:tc>
        <w:tc>
          <w:tcPr>
            <w:tcW w:type="dxa" w:w="3600"/>
          </w:tcPr>
          <w:p>
            <w:pPr>
              <w:spacing w:after="0" w:before="0" w:line="240" w:lineRule="auto"/>
              <w:jc w:val="left"/>
            </w:pPr>
            <w:r>
              <w:t>Required consumable or service item becomes unavailable</w:t>
            </w:r>
          </w:p>
        </w:tc>
        <w:tc>
          <w:tcPr>
            <w:tcW w:type="dxa" w:w="3600"/>
          </w:tcPr>
          <w:p>
            <w:pPr>
              <w:spacing w:after="0" w:before="0" w:line="240" w:lineRule="auto"/>
              <w:jc w:val="left"/>
            </w:pPr>
            <w:r>
              <w:t>Special printer ribbon, filter, battery, or proprietary connector discontinued</w:t>
            </w:r>
          </w:p>
        </w:tc>
      </w:tr>
    </w:tbl>
    <w:p/>
    <w:p>
      <w:r>
        <w:t>Several types can occur simultaneously. For example, a discontinued CNC controller may depend on an unsupported operating system, an obsolete communication card, and a machine builder that no longer exists.</w:t>
      </w:r>
    </w:p>
    <w:p>
      <w:pPr>
        <w:pStyle w:val="Heading2"/>
      </w:pPr>
      <w:r>
        <w:t>4. Product lifecycle terminology</w:t>
      </w:r>
    </w:p>
    <w:p>
      <w:r>
        <w:t>Lifecycle terminology is important because vendors sometimes use similar phrases to describe different commercial stages. The exact meaning must be confirmed in the manufacturer's lifecycle policy.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Typical meaning</w:t>
            </w:r>
          </w:p>
        </w:tc>
        <w:tc>
          <w:tcPr>
            <w:tcW w:type="dxa" w:w="3600"/>
            <w:shd w:val="clear" w:color="auto" w:fill="EEF2F7"/>
          </w:tcPr>
          <w:p>
            <w:pPr>
              <w:spacing w:after="0" w:before="0" w:line="240" w:lineRule="auto"/>
              <w:jc w:val="left"/>
            </w:pPr>
            <w:r>
              <w:rPr>
                <w:b/>
                <w:color w:val="1A2E4A"/>
              </w:rPr>
              <w:t>Procurement implication</w:t>
            </w:r>
          </w:p>
        </w:tc>
      </w:tr>
      <w:tr>
        <w:tc>
          <w:tcPr>
            <w:tcW w:type="dxa" w:w="3600"/>
          </w:tcPr>
          <w:p>
            <w:pPr>
              <w:spacing w:after="0" w:before="0" w:line="240" w:lineRule="auto"/>
              <w:jc w:val="left"/>
            </w:pPr>
            <w:r>
              <w:t>Active</w:t>
            </w:r>
          </w:p>
        </w:tc>
        <w:tc>
          <w:tcPr>
            <w:tcW w:type="dxa" w:w="3600"/>
          </w:tcPr>
          <w:p>
            <w:pPr>
              <w:spacing w:after="0" w:before="0" w:line="240" w:lineRule="auto"/>
              <w:jc w:val="left"/>
            </w:pPr>
            <w:r>
              <w:t>Product is currently offered and supported</w:t>
            </w:r>
          </w:p>
        </w:tc>
        <w:tc>
          <w:tcPr>
            <w:tcW w:type="dxa" w:w="3600"/>
          </w:tcPr>
          <w:p>
            <w:pPr>
              <w:spacing w:after="0" w:before="0" w:line="240" w:lineRule="auto"/>
              <w:jc w:val="left"/>
            </w:pPr>
            <w:r>
              <w:t>Generally suitable, subject to lifecycle evidence</w:t>
            </w:r>
          </w:p>
        </w:tc>
      </w:tr>
      <w:tr>
        <w:tc>
          <w:tcPr>
            <w:tcW w:type="dxa" w:w="3600"/>
          </w:tcPr>
          <w:p>
            <w:pPr>
              <w:spacing w:after="0" w:before="0" w:line="240" w:lineRule="auto"/>
              <w:jc w:val="left"/>
            </w:pPr>
            <w:r>
              <w:t>Mature</w:t>
            </w:r>
          </w:p>
        </w:tc>
        <w:tc>
          <w:tcPr>
            <w:tcW w:type="dxa" w:w="3600"/>
          </w:tcPr>
          <w:p>
            <w:pPr>
              <w:spacing w:after="0" w:before="0" w:line="240" w:lineRule="auto"/>
              <w:jc w:val="left"/>
            </w:pPr>
            <w:r>
              <w:t>Product is established and may be approaching a later lifecycle phase</w:t>
            </w:r>
          </w:p>
        </w:tc>
        <w:tc>
          <w:tcPr>
            <w:tcW w:type="dxa" w:w="3600"/>
          </w:tcPr>
          <w:p>
            <w:pPr>
              <w:spacing w:after="0" w:before="0" w:line="240" w:lineRule="auto"/>
              <w:jc w:val="left"/>
            </w:pPr>
            <w:r>
              <w:t>Check remaining sales and support period</w:t>
            </w:r>
          </w:p>
        </w:tc>
      </w:tr>
      <w:tr>
        <w:tc>
          <w:tcPr>
            <w:tcW w:type="dxa" w:w="3600"/>
          </w:tcPr>
          <w:p>
            <w:pPr>
              <w:spacing w:after="0" w:before="0" w:line="240" w:lineRule="auto"/>
              <w:jc w:val="left"/>
            </w:pPr>
            <w:r>
              <w:t>End of sale</w:t>
            </w:r>
          </w:p>
        </w:tc>
        <w:tc>
          <w:tcPr>
            <w:tcW w:type="dxa" w:w="3600"/>
          </w:tcPr>
          <w:p>
            <w:pPr>
              <w:spacing w:after="0" w:before="0" w:line="240" w:lineRule="auto"/>
              <w:jc w:val="left"/>
            </w:pPr>
            <w:r>
              <w:t>New product sales have stopped or a final-order period has been announced</w:t>
            </w:r>
          </w:p>
        </w:tc>
        <w:tc>
          <w:tcPr>
            <w:tcW w:type="dxa" w:w="3600"/>
          </w:tcPr>
          <w:p>
            <w:pPr>
              <w:spacing w:after="0" w:before="0" w:line="240" w:lineRule="auto"/>
              <w:jc w:val="left"/>
            </w:pPr>
            <w:r>
              <w:t>Confirm whether new projects can still be supplied</w:t>
            </w:r>
          </w:p>
        </w:tc>
      </w:tr>
      <w:tr>
        <w:tc>
          <w:tcPr>
            <w:tcW w:type="dxa" w:w="3600"/>
          </w:tcPr>
          <w:p>
            <w:pPr>
              <w:spacing w:after="0" w:before="0" w:line="240" w:lineRule="auto"/>
              <w:jc w:val="left"/>
            </w:pPr>
            <w:r>
              <w:t>Last-time buy</w:t>
            </w:r>
          </w:p>
        </w:tc>
        <w:tc>
          <w:tcPr>
            <w:tcW w:type="dxa" w:w="3600"/>
          </w:tcPr>
          <w:p>
            <w:pPr>
              <w:spacing w:after="0" w:before="0" w:line="240" w:lineRule="auto"/>
              <w:jc w:val="left"/>
            </w:pPr>
            <w:r>
              <w:t>Final purchasing opportunity before sales end</w:t>
            </w:r>
          </w:p>
        </w:tc>
        <w:tc>
          <w:tcPr>
            <w:tcW w:type="dxa" w:w="3600"/>
          </w:tcPr>
          <w:p>
            <w:pPr>
              <w:spacing w:after="0" w:before="0" w:line="240" w:lineRule="auto"/>
              <w:jc w:val="left"/>
            </w:pPr>
            <w:r>
              <w:t>Evaluate quantity, storage, and future spare demand</w:t>
            </w:r>
          </w:p>
        </w:tc>
      </w:tr>
      <w:tr>
        <w:tc>
          <w:tcPr>
            <w:tcW w:type="dxa" w:w="3600"/>
          </w:tcPr>
          <w:p>
            <w:pPr>
              <w:spacing w:after="0" w:before="0" w:line="240" w:lineRule="auto"/>
              <w:jc w:val="left"/>
            </w:pPr>
            <w:r>
              <w:t>End of production</w:t>
            </w:r>
          </w:p>
        </w:tc>
        <w:tc>
          <w:tcPr>
            <w:tcW w:type="dxa" w:w="3600"/>
          </w:tcPr>
          <w:p>
            <w:pPr>
              <w:spacing w:after="0" w:before="0" w:line="240" w:lineRule="auto"/>
              <w:jc w:val="left"/>
            </w:pPr>
            <w:r>
              <w:t>Manufacturing has stopped</w:t>
            </w:r>
          </w:p>
        </w:tc>
        <w:tc>
          <w:tcPr>
            <w:tcW w:type="dxa" w:w="3600"/>
          </w:tcPr>
          <w:p>
            <w:pPr>
              <w:spacing w:after="0" w:before="0" w:line="240" w:lineRule="auto"/>
              <w:jc w:val="left"/>
            </w:pPr>
            <w:r>
              <w:t>Verify authorized remaining inventory and alternatives</w:t>
            </w:r>
          </w:p>
        </w:tc>
      </w:tr>
      <w:tr>
        <w:tc>
          <w:tcPr>
            <w:tcW w:type="dxa" w:w="3600"/>
          </w:tcPr>
          <w:p>
            <w:pPr>
              <w:spacing w:after="0" w:before="0" w:line="240" w:lineRule="auto"/>
              <w:jc w:val="left"/>
            </w:pPr>
            <w:r>
              <w:t>End of support</w:t>
            </w:r>
          </w:p>
        </w:tc>
        <w:tc>
          <w:tcPr>
            <w:tcW w:type="dxa" w:w="3600"/>
          </w:tcPr>
          <w:p>
            <w:pPr>
              <w:spacing w:after="0" w:before="0" w:line="240" w:lineRule="auto"/>
              <w:jc w:val="left"/>
            </w:pPr>
            <w:r>
              <w:t>Normal technical support or updates have ended</w:t>
            </w:r>
          </w:p>
        </w:tc>
        <w:tc>
          <w:tcPr>
            <w:tcW w:type="dxa" w:w="3600"/>
          </w:tcPr>
          <w:p>
            <w:pPr>
              <w:spacing w:after="0" w:before="0" w:line="240" w:lineRule="auto"/>
              <w:jc w:val="left"/>
            </w:pPr>
            <w:r>
              <w:t>Confirm repair, security, and escalation options</w:t>
            </w:r>
          </w:p>
        </w:tc>
      </w:tr>
      <w:tr>
        <w:tc>
          <w:tcPr>
            <w:tcW w:type="dxa" w:w="3600"/>
          </w:tcPr>
          <w:p>
            <w:pPr>
              <w:spacing w:after="0" w:before="0" w:line="240" w:lineRule="auto"/>
              <w:jc w:val="left"/>
            </w:pPr>
            <w:r>
              <w:t>End of life (EOL)</w:t>
            </w:r>
          </w:p>
        </w:tc>
        <w:tc>
          <w:tcPr>
            <w:tcW w:type="dxa" w:w="3600"/>
          </w:tcPr>
          <w:p>
            <w:pPr>
              <w:spacing w:after="0" w:before="0" w:line="240" w:lineRule="auto"/>
              <w:jc w:val="left"/>
            </w:pPr>
            <w:r>
              <w:t>Broad lifecycle term indicating the product is reaching or has reached retirement</w:t>
            </w:r>
          </w:p>
        </w:tc>
        <w:tc>
          <w:tcPr>
            <w:tcW w:type="dxa" w:w="3600"/>
          </w:tcPr>
          <w:p>
            <w:pPr>
              <w:spacing w:after="0" w:before="0" w:line="240" w:lineRule="auto"/>
              <w:jc w:val="left"/>
            </w:pPr>
            <w:r>
              <w:t>Obtain the manufacturer's precise definition and dates</w:t>
            </w:r>
          </w:p>
        </w:tc>
      </w:tr>
      <w:tr>
        <w:tc>
          <w:tcPr>
            <w:tcW w:type="dxa" w:w="3600"/>
          </w:tcPr>
          <w:p>
            <w:pPr>
              <w:spacing w:after="0" w:before="0" w:line="240" w:lineRule="auto"/>
              <w:jc w:val="left"/>
            </w:pPr>
            <w:r>
              <w:t>End of engineering</w:t>
            </w:r>
          </w:p>
        </w:tc>
        <w:tc>
          <w:tcPr>
            <w:tcW w:type="dxa" w:w="3600"/>
          </w:tcPr>
          <w:p>
            <w:pPr>
              <w:spacing w:after="0" w:before="0" w:line="240" w:lineRule="auto"/>
              <w:jc w:val="left"/>
            </w:pPr>
            <w:r>
              <w:t>Product enhancements or engineering development have stopped</w:t>
            </w:r>
          </w:p>
        </w:tc>
        <w:tc>
          <w:tcPr>
            <w:tcW w:type="dxa" w:w="3600"/>
          </w:tcPr>
          <w:p>
            <w:pPr>
              <w:spacing w:after="0" w:before="0" w:line="240" w:lineRule="auto"/>
              <w:jc w:val="left"/>
            </w:pPr>
            <w:r>
              <w:t>Confirm whether defects and security issues will still be addressed</w:t>
            </w:r>
          </w:p>
        </w:tc>
      </w:tr>
      <w:tr>
        <w:tc>
          <w:tcPr>
            <w:tcW w:type="dxa" w:w="3600"/>
          </w:tcPr>
          <w:p>
            <w:pPr>
              <w:spacing w:after="0" w:before="0" w:line="240" w:lineRule="auto"/>
              <w:jc w:val="left"/>
            </w:pPr>
            <w:r>
              <w:t>Replacement announced</w:t>
            </w:r>
          </w:p>
        </w:tc>
        <w:tc>
          <w:tcPr>
            <w:tcW w:type="dxa" w:w="3600"/>
          </w:tcPr>
          <w:p>
            <w:pPr>
              <w:spacing w:after="0" w:before="0" w:line="240" w:lineRule="auto"/>
              <w:jc w:val="left"/>
            </w:pPr>
            <w:r>
              <w:t>Successor product is identified</w:t>
            </w:r>
          </w:p>
        </w:tc>
        <w:tc>
          <w:tcPr>
            <w:tcW w:type="dxa" w:w="3600"/>
          </w:tcPr>
          <w:p>
            <w:pPr>
              <w:spacing w:after="0" w:before="0" w:line="240" w:lineRule="auto"/>
              <w:jc w:val="left"/>
            </w:pPr>
            <w:r>
              <w:t>Verify migration effort and compatibility</w:t>
            </w:r>
          </w:p>
        </w:tc>
      </w:tr>
      <w:tr>
        <w:tc>
          <w:tcPr>
            <w:tcW w:type="dxa" w:w="3600"/>
          </w:tcPr>
          <w:p>
            <w:pPr>
              <w:spacing w:after="0" w:before="0" w:line="240" w:lineRule="auto"/>
              <w:jc w:val="left"/>
            </w:pPr>
            <w:r>
              <w:t>Obsolete</w:t>
            </w:r>
          </w:p>
        </w:tc>
        <w:tc>
          <w:tcPr>
            <w:tcW w:type="dxa" w:w="3600"/>
          </w:tcPr>
          <w:p>
            <w:pPr>
              <w:spacing w:after="0" w:before="0" w:line="240" w:lineRule="auto"/>
              <w:jc w:val="left"/>
            </w:pPr>
            <w:r>
              <w:t>Product is no longer commercially or technically supported to the required level</w:t>
            </w:r>
          </w:p>
        </w:tc>
        <w:tc>
          <w:tcPr>
            <w:tcW w:type="dxa" w:w="3600"/>
          </w:tcPr>
          <w:p>
            <w:pPr>
              <w:spacing w:after="0" w:before="0" w:line="240" w:lineRule="auto"/>
              <w:jc w:val="left"/>
            </w:pPr>
            <w:r>
              <w:t>Plan replacement, migration, or controlled risk acceptance</w:t>
            </w:r>
          </w:p>
        </w:tc>
      </w:tr>
    </w:tbl>
    <w:p/>
    <w:p>
      <w:r>
        <w:t>Important distinction: EOL, end of sale, end of support, and end of production are not automatically the same date. A vendor may stop accepting new orders while continuing repairs or technical support for several years.</w:t>
      </w:r>
    </w:p>
    <w:p>
      <w:r>
        <w:t>Never accept a statement such as “supported for a long time” without a defined period, product scope, and supporting evidence.</w:t>
      </w:r>
    </w:p>
    <w:p>
      <w:pPr>
        <w:pStyle w:val="Heading2"/>
      </w:pPr>
      <w:r>
        <w:t>5. Obsolescence assessment during technical bid evaluation</w:t>
      </w:r>
    </w:p>
    <w:p>
      <w:r>
        <w:t>Obsolescence should be assessed before selecting a vendor, not after the equipment has been installed.</w:t>
      </w:r>
    </w:p>
    <w:p>
      <w:r>
        <w:t>The evaluation should cover:</w:t>
      </w:r>
    </w:p>
    <w:p>
      <w:pPr>
        <w:tabs>
          <w:tab w:pos="403" w:val="left"/>
        </w:tabs>
        <w:spacing w:after="40" w:line="276" w:lineRule="auto"/>
        <w:ind w:left="403" w:hanging="403"/>
        <w:jc w:val="left"/>
      </w:pPr>
      <w:r>
        <w:rPr>
          <w:color w:val="1A2E4A"/>
        </w:rPr>
        <w:t>1.</w:t>
        <w:tab/>
      </w:r>
      <w:r>
        <w:t>Product lifecycle status at the date of bid evaluation.</w:t>
      </w:r>
    </w:p>
    <w:p>
      <w:pPr>
        <w:tabs>
          <w:tab w:pos="403" w:val="left"/>
        </w:tabs>
        <w:spacing w:after="40" w:line="276" w:lineRule="auto"/>
        <w:ind w:left="403" w:hanging="403"/>
        <w:jc w:val="left"/>
      </w:pPr>
      <w:r>
        <w:rPr>
          <w:color w:val="1A2E4A"/>
        </w:rPr>
        <w:t>2.</w:t>
        <w:tab/>
      </w:r>
      <w:r>
        <w:t>Manufacturer's announced sales and support milestones.</w:t>
      </w:r>
    </w:p>
    <w:p>
      <w:pPr>
        <w:tabs>
          <w:tab w:pos="403" w:val="left"/>
        </w:tabs>
        <w:spacing w:after="40" w:line="276" w:lineRule="auto"/>
        <w:ind w:left="403" w:hanging="403"/>
        <w:jc w:val="left"/>
      </w:pPr>
      <w:r>
        <w:rPr>
          <w:color w:val="1A2E4A"/>
        </w:rPr>
        <w:t>3.</w:t>
        <w:tab/>
      </w:r>
      <w:r>
        <w:t>Expected remaining availability of original spare parts.</w:t>
      </w:r>
    </w:p>
    <w:p>
      <w:pPr>
        <w:tabs>
          <w:tab w:pos="403" w:val="left"/>
        </w:tabs>
        <w:spacing w:after="40" w:line="276" w:lineRule="auto"/>
        <w:ind w:left="403" w:hanging="403"/>
        <w:jc w:val="left"/>
      </w:pPr>
      <w:r>
        <w:rPr>
          <w:color w:val="1A2E4A"/>
        </w:rPr>
        <w:t>4.</w:t>
        <w:tab/>
      </w:r>
      <w:r>
        <w:t>Availability of a supported successor product.</w:t>
      </w:r>
    </w:p>
    <w:p>
      <w:pPr>
        <w:tabs>
          <w:tab w:pos="403" w:val="left"/>
        </w:tabs>
        <w:spacing w:after="40" w:line="276" w:lineRule="auto"/>
        <w:ind w:left="403" w:hanging="403"/>
        <w:jc w:val="left"/>
      </w:pPr>
      <w:r>
        <w:rPr>
          <w:color w:val="1A2E4A"/>
        </w:rPr>
        <w:t>5.</w:t>
        <w:tab/>
      </w:r>
      <w:r>
        <w:t>Compatibility of the successor with existing equipment.</w:t>
      </w:r>
    </w:p>
    <w:p>
      <w:pPr>
        <w:tabs>
          <w:tab w:pos="403" w:val="left"/>
        </w:tabs>
        <w:spacing w:after="40" w:line="276" w:lineRule="auto"/>
        <w:ind w:left="403" w:hanging="403"/>
        <w:jc w:val="left"/>
      </w:pPr>
      <w:r>
        <w:rPr>
          <w:color w:val="1A2E4A"/>
        </w:rPr>
        <w:t>6.</w:t>
        <w:tab/>
      </w:r>
      <w:r>
        <w:t>Software, firmware, operating-system, and licensing dependencies.</w:t>
      </w:r>
    </w:p>
    <w:p>
      <w:pPr>
        <w:tabs>
          <w:tab w:pos="403" w:val="left"/>
        </w:tabs>
        <w:spacing w:after="40" w:line="276" w:lineRule="auto"/>
        <w:ind w:left="403" w:hanging="403"/>
        <w:jc w:val="left"/>
      </w:pPr>
      <w:r>
        <w:rPr>
          <w:color w:val="1A2E4A"/>
        </w:rPr>
        <w:t>7.</w:t>
        <w:tab/>
      </w:r>
      <w:r>
        <w:t>Repair and exchange-unit availability.</w:t>
      </w:r>
    </w:p>
    <w:p>
      <w:pPr>
        <w:tabs>
          <w:tab w:pos="403" w:val="left"/>
        </w:tabs>
        <w:spacing w:after="40" w:line="276" w:lineRule="auto"/>
        <w:ind w:left="403" w:hanging="403"/>
        <w:jc w:val="left"/>
      </w:pPr>
      <w:r>
        <w:rPr>
          <w:color w:val="1A2E4A"/>
        </w:rPr>
        <w:t>8.</w:t>
        <w:tab/>
      </w:r>
      <w:r>
        <w:t>Cybersecurity maintenance and vulnerability handling.</w:t>
      </w:r>
    </w:p>
    <w:p>
      <w:pPr>
        <w:tabs>
          <w:tab w:pos="403" w:val="left"/>
        </w:tabs>
        <w:spacing w:after="40" w:line="276" w:lineRule="auto"/>
        <w:ind w:left="403" w:hanging="403"/>
        <w:jc w:val="left"/>
      </w:pPr>
      <w:r>
        <w:rPr>
          <w:color w:val="1A2E4A"/>
        </w:rPr>
        <w:t>9.</w:t>
        <w:tab/>
      </w:r>
      <w:r>
        <w:t>Availability of qualified service personnel.</w:t>
      </w:r>
    </w:p>
    <w:p>
      <w:pPr>
        <w:tabs>
          <w:tab w:pos="403" w:val="left"/>
        </w:tabs>
        <w:spacing w:after="40" w:line="276" w:lineRule="auto"/>
        <w:ind w:left="403" w:hanging="403"/>
        <w:jc w:val="left"/>
      </w:pPr>
      <w:r>
        <w:rPr>
          <w:color w:val="1A2E4A"/>
        </w:rPr>
        <w:t>10.</w:t>
        <w:tab/>
      </w:r>
      <w:r>
        <w:t>Migration cost, engineering effort, downtime, and validation requirements.</w:t>
      </w:r>
    </w:p>
    <w:p>
      <w:pPr>
        <w:tabs>
          <w:tab w:pos="403" w:val="left"/>
        </w:tabs>
        <w:spacing w:after="40" w:line="276" w:lineRule="auto"/>
        <w:ind w:left="403" w:hanging="403"/>
        <w:jc w:val="left"/>
      </w:pPr>
      <w:r>
        <w:rPr>
          <w:color w:val="1A2E4A"/>
        </w:rPr>
        <w:t>11.</w:t>
        <w:tab/>
      </w:r>
      <w:r>
        <w:t>Supplier responsibility for future product transitions.</w:t>
      </w:r>
    </w:p>
    <w:p>
      <w:pPr>
        <w:tabs>
          <w:tab w:pos="403" w:val="left"/>
        </w:tabs>
        <w:spacing w:after="40" w:line="276" w:lineRule="auto"/>
        <w:ind w:left="403" w:hanging="403"/>
        <w:jc w:val="left"/>
      </w:pPr>
      <w:r>
        <w:rPr>
          <w:color w:val="1A2E4A"/>
        </w:rPr>
        <w:t>12.</w:t>
        <w:tab/>
      </w:r>
      <w:r>
        <w:t>Availability of lifecycle notices and change notifications.</w:t>
      </w:r>
    </w:p>
    <w:p>
      <w:r>
        <w:t>A product that is technically compliant today may still be a poor choice if its support period is too short for the intended service life.</w:t>
      </w:r>
    </w:p>
    <w:p>
      <w:pPr>
        <w:pStyle w:val="Heading2"/>
      </w:pPr>
      <w:r>
        <w:t>6. Lifecycle horizon and expected service life</w:t>
      </w:r>
    </w:p>
    <w:p>
      <w:r>
        <w:t>The evaluation must distinguish between the expected service life of the machine and the supported life of its individual components.</w:t>
      </w:r>
    </w:p>
    <w:p>
      <w:r>
        <w:t>For example, a machine may be expected to operate for 15 years, while its HMI platform has only four years of announced support remaining. The resulting lifecycle gap needs to be addressed in the bid.</w:t>
      </w:r>
    </w:p>
    <w:p>
      <w:r>
        <w:t>A useful assessment is:</w:t>
      </w:r>
    </w:p>
    <w:p>
      <w:pPr>
        <w:pStyle w:val="ListBullet"/>
      </w:pPr>
      <w:r>
        <w:t>Machine design life: The intended operating life of the complete machine or production system.</w:t>
      </w:r>
    </w:p>
    <w:p>
      <w:pPr>
        <w:pStyle w:val="ListBullet"/>
      </w:pPr>
      <w:r>
        <w:t>Component support horizon: The period during which the manufacturer expects to provide defined support.</w:t>
      </w:r>
    </w:p>
    <w:p>
      <w:pPr>
        <w:pStyle w:val="ListBullet"/>
      </w:pPr>
      <w:r>
        <w:t>Spare availability horizon: The period during which replacement parts are expected to remain obtainable.</w:t>
      </w:r>
    </w:p>
    <w:p>
      <w:pPr>
        <w:pStyle w:val="ListBullet"/>
      </w:pPr>
      <w:r>
        <w:t>Software support horizon: The period during which engineering tools, operating systems, firmware, and security updates remain supported.</w:t>
      </w:r>
    </w:p>
    <w:p>
      <w:pPr>
        <w:pStyle w:val="ListBullet"/>
      </w:pPr>
      <w:r>
        <w:t>Migration horizon: The time available to plan, procure, implement, and validate a successor before the existing product becomes impractical to maintain.</w:t>
      </w:r>
    </w:p>
    <w:p>
      <w:r>
        <w:t>A simple planning indicator is:</w:t>
      </w:r>
    </w:p>
    <w:p>
      <w:pPr>
        <w:spacing w:before="120" w:after="160"/>
        <w:jc w:val="center"/>
      </w:pPr>
      <m:oMathPara>
        <m:oMath>
          <m:r>
            <m:rPr>
              <m:nor/>
            </m:rPr>
            <m:t>Lifecycle Gap</m:t>
          </m:r>
          <m:r>
            <m:t>=</m:t>
          </m:r>
          <m:r>
            <m:rPr>
              <m:nor/>
            </m:rPr>
            <m:t>Required Service Life</m:t>
          </m:r>
          <m:r>
            <m:t>−</m:t>
          </m:r>
          <m:r>
            <m:rPr>
              <m:nor/>
            </m:rPr>
            <m:t>Remaining Supported Life</m:t>
          </m:r>
        </m:oMath>
      </m:oMathPara>
    </w:p>
    <w:p>
      <w:r>
        <w:t>If the result is positive, the equipment requires a mitigation strategy. This calculation is only a planning indicator; it does not predict the actual failure date or prove that spare parts will remain available.</w:t>
      </w:r>
    </w:p>
    <w:p>
      <w:pPr>
        <w:pStyle w:val="Heading2"/>
      </w:pPr>
      <w:r>
        <w:t>7. Obsolescence risk assessment</w:t>
      </w:r>
    </w:p>
    <w:p>
      <w:r>
        <w:t>A practical risk assessment considers both the likelihood of an obsolescence-related problem and its consequences.</w:t>
      </w:r>
    </w:p>
    <w:p>
      <w:pPr>
        <w:spacing w:before="120" w:after="160"/>
        <w:jc w:val="center"/>
      </w:pPr>
      <m:oMathPara>
        <m:oMath>
          <m:r>
            <m:rPr>
              <m:nor/>
            </m:rPr>
            <m:t>Risk Score</m:t>
          </m:r>
          <m:r>
            <m:t>=</m:t>
          </m:r>
          <m:r>
            <m:rPr>
              <m:nor/>
            </m:rPr>
            <m:t>Likelihood Score</m:t>
          </m:r>
          <m:r>
            <m:t>×</m:t>
          </m:r>
          <m:r>
            <m:rPr>
              <m:nor/>
            </m:rPr>
            <m:t>Impact Score</m:t>
          </m:r>
        </m:oMath>
      </m:oMathPara>
    </w:p>
    <w:p>
      <w:r>
        <w:t>A 1–5 scale can be used for both factors, producing a score from 1 to 25. The organization must define its own acceptance bands rather than treating one scoring scale as universally valid.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Factor</w:t>
            </w:r>
          </w:p>
        </w:tc>
        <w:tc>
          <w:tcPr>
            <w:tcW w:type="dxa" w:w="3600"/>
            <w:shd w:val="clear" w:color="auto" w:fill="EEF2F7"/>
          </w:tcPr>
          <w:p>
            <w:pPr>
              <w:spacing w:after="0" w:before="0" w:line="240" w:lineRule="auto"/>
              <w:jc w:val="left"/>
            </w:pPr>
            <w:r>
              <w:rPr>
                <w:b/>
                <w:color w:val="1A2E4A"/>
              </w:rPr>
              <w:t>Low-risk condition</w:t>
            </w:r>
          </w:p>
        </w:tc>
        <w:tc>
          <w:tcPr>
            <w:tcW w:type="dxa" w:w="3600"/>
            <w:shd w:val="clear" w:color="auto" w:fill="EEF2F7"/>
          </w:tcPr>
          <w:p>
            <w:pPr>
              <w:spacing w:after="0" w:before="0" w:line="240" w:lineRule="auto"/>
              <w:jc w:val="left"/>
            </w:pPr>
            <w:r>
              <w:rPr>
                <w:b/>
                <w:color w:val="1A2E4A"/>
              </w:rPr>
              <w:t>High-risk condition</w:t>
            </w:r>
          </w:p>
        </w:tc>
      </w:tr>
      <w:tr>
        <w:tc>
          <w:tcPr>
            <w:tcW w:type="dxa" w:w="3600"/>
          </w:tcPr>
          <w:p>
            <w:pPr>
              <w:spacing w:after="0" w:before="0" w:line="240" w:lineRule="auto"/>
              <w:jc w:val="left"/>
            </w:pPr>
            <w:r>
              <w:t>Lifecycle status</w:t>
            </w:r>
          </w:p>
        </w:tc>
        <w:tc>
          <w:tcPr>
            <w:tcW w:type="dxa" w:w="3600"/>
          </w:tcPr>
          <w:p>
            <w:pPr>
              <w:spacing w:after="0" w:before="0" w:line="240" w:lineRule="auto"/>
              <w:jc w:val="left"/>
            </w:pPr>
            <w:r>
              <w:t>Active product with documented support</w:t>
            </w:r>
          </w:p>
        </w:tc>
        <w:tc>
          <w:tcPr>
            <w:tcW w:type="dxa" w:w="3600"/>
          </w:tcPr>
          <w:p>
            <w:pPr>
              <w:spacing w:after="0" w:before="0" w:line="240" w:lineRule="auto"/>
              <w:jc w:val="left"/>
            </w:pPr>
            <w:r>
              <w:t>Discontinued or support ending soon</w:t>
            </w:r>
          </w:p>
        </w:tc>
      </w:tr>
      <w:tr>
        <w:tc>
          <w:tcPr>
            <w:tcW w:type="dxa" w:w="3600"/>
          </w:tcPr>
          <w:p>
            <w:pPr>
              <w:spacing w:after="0" w:before="0" w:line="240" w:lineRule="auto"/>
              <w:jc w:val="left"/>
            </w:pPr>
            <w:r>
              <w:t>Spare availability</w:t>
            </w:r>
          </w:p>
        </w:tc>
        <w:tc>
          <w:tcPr>
            <w:tcW w:type="dxa" w:w="3600"/>
          </w:tcPr>
          <w:p>
            <w:pPr>
              <w:spacing w:after="0" w:before="0" w:line="240" w:lineRule="auto"/>
              <w:jc w:val="left"/>
            </w:pPr>
            <w:r>
              <w:t>Multiple authorized supply channels</w:t>
            </w:r>
          </w:p>
        </w:tc>
        <w:tc>
          <w:tcPr>
            <w:tcW w:type="dxa" w:w="3600"/>
          </w:tcPr>
          <w:p>
            <w:pPr>
              <w:spacing w:after="0" w:before="0" w:line="240" w:lineRule="auto"/>
              <w:jc w:val="left"/>
            </w:pPr>
            <w:r>
              <w:t>Scarce, single-source, or unverified stock</w:t>
            </w:r>
          </w:p>
        </w:tc>
      </w:tr>
      <w:tr>
        <w:tc>
          <w:tcPr>
            <w:tcW w:type="dxa" w:w="3600"/>
          </w:tcPr>
          <w:p>
            <w:pPr>
              <w:spacing w:after="0" w:before="0" w:line="240" w:lineRule="auto"/>
              <w:jc w:val="left"/>
            </w:pPr>
            <w:r>
              <w:t>Replacement compatibility</w:t>
            </w:r>
          </w:p>
        </w:tc>
        <w:tc>
          <w:tcPr>
            <w:tcW w:type="dxa" w:w="3600"/>
          </w:tcPr>
          <w:p>
            <w:pPr>
              <w:spacing w:after="0" w:before="0" w:line="240" w:lineRule="auto"/>
              <w:jc w:val="left"/>
            </w:pPr>
            <w:r>
              <w:t>Documented and tested successor</w:t>
            </w:r>
          </w:p>
        </w:tc>
        <w:tc>
          <w:tcPr>
            <w:tcW w:type="dxa" w:w="3600"/>
          </w:tcPr>
          <w:p>
            <w:pPr>
              <w:spacing w:after="0" w:before="0" w:line="240" w:lineRule="auto"/>
              <w:jc w:val="left"/>
            </w:pPr>
            <w:r>
              <w:t>Major redesign required</w:t>
            </w:r>
          </w:p>
        </w:tc>
      </w:tr>
      <w:tr>
        <w:tc>
          <w:tcPr>
            <w:tcW w:type="dxa" w:w="3600"/>
          </w:tcPr>
          <w:p>
            <w:pPr>
              <w:spacing w:after="0" w:before="0" w:line="240" w:lineRule="auto"/>
              <w:jc w:val="left"/>
            </w:pPr>
            <w:r>
              <w:t>Production impact</w:t>
            </w:r>
          </w:p>
        </w:tc>
        <w:tc>
          <w:tcPr>
            <w:tcW w:type="dxa" w:w="3600"/>
          </w:tcPr>
          <w:p>
            <w:pPr>
              <w:spacing w:after="0" w:before="0" w:line="240" w:lineRule="auto"/>
              <w:jc w:val="left"/>
            </w:pPr>
            <w:r>
              <w:t>Easily isolated equipment</w:t>
            </w:r>
          </w:p>
        </w:tc>
        <w:tc>
          <w:tcPr>
            <w:tcW w:type="dxa" w:w="3600"/>
          </w:tcPr>
          <w:p>
            <w:pPr>
              <w:spacing w:after="0" w:before="0" w:line="240" w:lineRule="auto"/>
              <w:jc w:val="left"/>
            </w:pPr>
            <w:r>
              <w:t>Single point of failure stopping critical production</w:t>
            </w:r>
          </w:p>
        </w:tc>
      </w:tr>
      <w:tr>
        <w:tc>
          <w:tcPr>
            <w:tcW w:type="dxa" w:w="3600"/>
          </w:tcPr>
          <w:p>
            <w:pPr>
              <w:spacing w:after="0" w:before="0" w:line="240" w:lineRule="auto"/>
              <w:jc w:val="left"/>
            </w:pPr>
            <w:r>
              <w:t>Software dependency</w:t>
            </w:r>
          </w:p>
        </w:tc>
        <w:tc>
          <w:tcPr>
            <w:tcW w:type="dxa" w:w="3600"/>
          </w:tcPr>
          <w:p>
            <w:pPr>
              <w:spacing w:after="0" w:before="0" w:line="240" w:lineRule="auto"/>
              <w:jc w:val="left"/>
            </w:pPr>
            <w:r>
              <w:t>Supported tools and licenses</w:t>
            </w:r>
          </w:p>
        </w:tc>
        <w:tc>
          <w:tcPr>
            <w:tcW w:type="dxa" w:w="3600"/>
          </w:tcPr>
          <w:p>
            <w:pPr>
              <w:spacing w:after="0" w:before="0" w:line="240" w:lineRule="auto"/>
              <w:jc w:val="left"/>
            </w:pPr>
            <w:r>
              <w:t>Legacy tools with uncertain access</w:t>
            </w:r>
          </w:p>
        </w:tc>
      </w:tr>
      <w:tr>
        <w:tc>
          <w:tcPr>
            <w:tcW w:type="dxa" w:w="3600"/>
          </w:tcPr>
          <w:p>
            <w:pPr>
              <w:spacing w:after="0" w:before="0" w:line="240" w:lineRule="auto"/>
              <w:jc w:val="left"/>
            </w:pPr>
            <w:r>
              <w:t>Cybersecurity</w:t>
            </w:r>
          </w:p>
        </w:tc>
        <w:tc>
          <w:tcPr>
            <w:tcW w:type="dxa" w:w="3600"/>
          </w:tcPr>
          <w:p>
            <w:pPr>
              <w:spacing w:after="0" w:before="0" w:line="240" w:lineRule="auto"/>
              <w:jc w:val="left"/>
            </w:pPr>
            <w:r>
              <w:t>Supported firmware and security updates</w:t>
            </w:r>
          </w:p>
        </w:tc>
        <w:tc>
          <w:tcPr>
            <w:tcW w:type="dxa" w:w="3600"/>
          </w:tcPr>
          <w:p>
            <w:pPr>
              <w:spacing w:after="0" w:before="0" w:line="240" w:lineRule="auto"/>
              <w:jc w:val="left"/>
            </w:pPr>
            <w:r>
              <w:t>Unsupported platform with unresolved exposure</w:t>
            </w:r>
          </w:p>
        </w:tc>
      </w:tr>
      <w:tr>
        <w:tc>
          <w:tcPr>
            <w:tcW w:type="dxa" w:w="3600"/>
          </w:tcPr>
          <w:p>
            <w:pPr>
              <w:spacing w:after="0" w:before="0" w:line="240" w:lineRule="auto"/>
              <w:jc w:val="left"/>
            </w:pPr>
            <w:r>
              <w:t>Supplier capability</w:t>
            </w:r>
          </w:p>
        </w:tc>
        <w:tc>
          <w:tcPr>
            <w:tcW w:type="dxa" w:w="3600"/>
          </w:tcPr>
          <w:p>
            <w:pPr>
              <w:spacing w:after="0" w:before="0" w:line="240" w:lineRule="auto"/>
              <w:jc w:val="left"/>
            </w:pPr>
            <w:r>
              <w:t>Established service and escalation process</w:t>
            </w:r>
          </w:p>
        </w:tc>
        <w:tc>
          <w:tcPr>
            <w:tcW w:type="dxa" w:w="3600"/>
          </w:tcPr>
          <w:p>
            <w:pPr>
              <w:spacing w:after="0" w:before="0" w:line="240" w:lineRule="auto"/>
              <w:jc w:val="left"/>
            </w:pPr>
            <w:r>
              <w:t>Uncertain service continuity</w:t>
            </w:r>
          </w:p>
        </w:tc>
      </w:tr>
      <w:tr>
        <w:tc>
          <w:tcPr>
            <w:tcW w:type="dxa" w:w="3600"/>
          </w:tcPr>
          <w:p>
            <w:pPr>
              <w:spacing w:after="0" w:before="0" w:line="240" w:lineRule="auto"/>
              <w:jc w:val="left"/>
            </w:pPr>
            <w:r>
              <w:t>Migration complexity</w:t>
            </w:r>
          </w:p>
        </w:tc>
        <w:tc>
          <w:tcPr>
            <w:tcW w:type="dxa" w:w="3600"/>
          </w:tcPr>
          <w:p>
            <w:pPr>
              <w:spacing w:after="0" w:before="0" w:line="240" w:lineRule="auto"/>
              <w:jc w:val="left"/>
            </w:pPr>
            <w:r>
              <w:t>Standard replacement with known procedure</w:t>
            </w:r>
          </w:p>
        </w:tc>
        <w:tc>
          <w:tcPr>
            <w:tcW w:type="dxa" w:w="3600"/>
          </w:tcPr>
          <w:p>
            <w:pPr>
              <w:spacing w:after="0" w:before="0" w:line="240" w:lineRule="auto"/>
              <w:jc w:val="left"/>
            </w:pPr>
            <w:r>
              <w:t>Custom engineering and extensive revalidation</w:t>
            </w:r>
          </w:p>
        </w:tc>
      </w:tr>
      <w:tr>
        <w:tc>
          <w:tcPr>
            <w:tcW w:type="dxa" w:w="3600"/>
          </w:tcPr>
          <w:p>
            <w:pPr>
              <w:spacing w:after="0" w:before="0" w:line="240" w:lineRule="auto"/>
              <w:jc w:val="left"/>
            </w:pPr>
            <w:r>
              <w:t>Repairability</w:t>
            </w:r>
          </w:p>
        </w:tc>
        <w:tc>
          <w:tcPr>
            <w:tcW w:type="dxa" w:w="3600"/>
          </w:tcPr>
          <w:p>
            <w:pPr>
              <w:spacing w:after="0" w:before="0" w:line="240" w:lineRule="auto"/>
              <w:jc w:val="left"/>
            </w:pPr>
            <w:r>
              <w:t>Supported repair or exchange service</w:t>
            </w:r>
          </w:p>
        </w:tc>
        <w:tc>
          <w:tcPr>
            <w:tcW w:type="dxa" w:w="3600"/>
          </w:tcPr>
          <w:p>
            <w:pPr>
              <w:spacing w:after="0" w:before="0" w:line="240" w:lineRule="auto"/>
              <w:jc w:val="left"/>
            </w:pPr>
            <w:r>
              <w:t>No reliable repair route</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Complete, transferable technical package</w:t>
            </w:r>
          </w:p>
        </w:tc>
        <w:tc>
          <w:tcPr>
            <w:tcW w:type="dxa" w:w="3600"/>
          </w:tcPr>
          <w:p>
            <w:pPr>
              <w:spacing w:after="0" w:before="0" w:line="240" w:lineRule="auto"/>
              <w:jc w:val="left"/>
            </w:pPr>
            <w:r>
              <w:t>Vendor-controlled or incomplete information</w:t>
            </w:r>
          </w:p>
        </w:tc>
      </w:tr>
    </w:tbl>
    <w:p/>
    <w:p>
      <w:r>
        <w:t>Risk scores should be accompanied by a written explanation. A low numerical score must never override a mandatory safety, legal, or cybersecurity requirement.</w:t>
      </w:r>
    </w:p>
    <w:p>
      <w:pPr>
        <w:pStyle w:val="Heading2"/>
      </w:pPr>
      <w:r>
        <w:t>8. Obsolescence in industrial automation equipment</w:t>
      </w:r>
    </w:p>
    <w:p>
      <w:pPr>
        <w:pStyle w:val="Heading3"/>
      </w:pPr>
      <w:r>
        <w:t>8.1 PLCs and remote I/O</w:t>
      </w:r>
    </w:p>
    <w:p>
      <w:r>
        <w:t>Assess:</w:t>
      </w:r>
    </w:p>
    <w:p>
      <w:pPr>
        <w:pStyle w:val="ListBullet"/>
      </w:pPr>
      <w:r>
        <w:t>Controller and I/O family lifecycle status.</w:t>
      </w:r>
    </w:p>
    <w:p>
      <w:pPr>
        <w:pStyle w:val="ListBullet"/>
      </w:pPr>
      <w:r>
        <w:t>Supported CPU, communication modules, power supplies, and I/O modules.</w:t>
      </w:r>
    </w:p>
    <w:p>
      <w:pPr>
        <w:pStyle w:val="ListBullet"/>
      </w:pPr>
      <w:r>
        <w:t>Availability of compatible replacement modules.</w:t>
      </w:r>
    </w:p>
    <w:p>
      <w:pPr>
        <w:pStyle w:val="ListBullet"/>
      </w:pPr>
      <w:r>
        <w:t>Firmware compatibility between the controller, I/O, engineering software, and communication devices.</w:t>
      </w:r>
    </w:p>
    <w:p>
      <w:pPr>
        <w:pStyle w:val="ListBullet"/>
      </w:pPr>
      <w:r>
        <w:t>Availability of programming software, licenses, activation methods, and interface hardware.</w:t>
      </w:r>
    </w:p>
    <w:p>
      <w:pPr>
        <w:pStyle w:val="ListBullet"/>
      </w:pPr>
      <w:r>
        <w:t>Backup and restoration procedures.</w:t>
      </w:r>
    </w:p>
    <w:p>
      <w:pPr>
        <w:pStyle w:val="ListBullet"/>
      </w:pPr>
      <w:r>
        <w:t>Whether successor hardware supports the existing program without significant changes.</w:t>
      </w:r>
    </w:p>
    <w:p>
      <w:pPr>
        <w:pStyle w:val="ListBullet"/>
      </w:pPr>
      <w:r>
        <w:t>Retention of tag structures, data types, addressing, safety signatures, and communication configuration where applicable.</w:t>
      </w:r>
    </w:p>
    <w:p>
      <w:r>
        <w:t>A replacement PLC may require program conversion, hardware configuration changes, new firmware, communication updates, and complete functional testing. Similar product names do not guarantee drop-in compatibility.</w:t>
      </w:r>
    </w:p>
    <w:p>
      <w:pPr>
        <w:pStyle w:val="Heading3"/>
      </w:pPr>
      <w:r>
        <w:t>8.2 HMI and SCADA systems</w:t>
      </w:r>
    </w:p>
    <w:p>
      <w:r>
        <w:t>Assess:</w:t>
      </w:r>
    </w:p>
    <w:p>
      <w:pPr>
        <w:pStyle w:val="ListBullet"/>
      </w:pPr>
      <w:r>
        <w:t>HMI model lifecycle and panel replacement options.</w:t>
      </w:r>
    </w:p>
    <w:p>
      <w:pPr>
        <w:pStyle w:val="ListBullet"/>
      </w:pPr>
      <w:r>
        <w:t>Engineering software support and project-file compatibility.</w:t>
      </w:r>
    </w:p>
    <w:p>
      <w:pPr>
        <w:pStyle w:val="ListBullet"/>
      </w:pPr>
      <w:r>
        <w:t>Runtime software and operating-system dependencies.</w:t>
      </w:r>
    </w:p>
    <w:p>
      <w:pPr>
        <w:pStyle w:val="ListBullet"/>
      </w:pPr>
      <w:r>
        <w:t>Display size, resolution, mounting dimensions, power supply, and communication ports.</w:t>
      </w:r>
    </w:p>
    <w:p>
      <w:pPr>
        <w:pStyle w:val="ListBullet"/>
      </w:pPr>
      <w:r>
        <w:t>Driver availability for PLCs, drives, CNCs, and other devices.</w:t>
      </w:r>
    </w:p>
    <w:p>
      <w:pPr>
        <w:pStyle w:val="ListBullet"/>
      </w:pPr>
      <w:r>
        <w:t>Alarm history, recipes, trends, user accounts, and audit-log migration.</w:t>
      </w:r>
    </w:p>
    <w:p>
      <w:pPr>
        <w:pStyle w:val="ListBullet"/>
      </w:pPr>
      <w:r>
        <w:t>Licensing, activation, and recovery after storage failure.</w:t>
      </w:r>
    </w:p>
    <w:p>
      <w:pPr>
        <w:pStyle w:val="ListBullet"/>
      </w:pPr>
      <w:r>
        <w:t>Compatibility with supported cybersecurity controls.</w:t>
      </w:r>
    </w:p>
    <w:p>
      <w:r>
        <w:t>A newer HMI may require screen redesign, driver replacement, recipe conversion, user-management changes, and operator retraining.</w:t>
      </w:r>
    </w:p>
    <w:p>
      <w:pPr>
        <w:pStyle w:val="Heading3"/>
      </w:pPr>
      <w:r>
        <w:t>8.3 VFDs and servo drives</w:t>
      </w:r>
    </w:p>
    <w:p>
      <w:r>
        <w:t>Assess:</w:t>
      </w:r>
    </w:p>
    <w:p>
      <w:pPr>
        <w:pStyle w:val="ListBullet"/>
      </w:pPr>
      <w:r>
        <w:t>Product-family status and successor availability.</w:t>
      </w:r>
    </w:p>
    <w:p>
      <w:pPr>
        <w:pStyle w:val="ListBullet"/>
      </w:pPr>
      <w:r>
        <w:t>Motor compatibility, voltage and current ratings, overload capacity, and braking requirements.</w:t>
      </w:r>
    </w:p>
    <w:p>
      <w:pPr>
        <w:pStyle w:val="ListBullet"/>
      </w:pPr>
      <w:r>
        <w:t>Control modes, encoder interfaces, feedback devices, and communication protocols.</w:t>
      </w:r>
    </w:p>
    <w:p>
      <w:pPr>
        <w:pStyle w:val="ListBullet"/>
      </w:pPr>
      <w:r>
        <w:t>Parameter backup and restoration.</w:t>
      </w:r>
    </w:p>
    <w:p>
      <w:pPr>
        <w:pStyle w:val="ListBullet"/>
      </w:pPr>
      <w:r>
        <w:t>Replacement of option cards and network adapters.</w:t>
      </w:r>
    </w:p>
    <w:p>
      <w:pPr>
        <w:pStyle w:val="ListBullet"/>
      </w:pPr>
      <w:r>
        <w:t>Mechanical dimensions, cooling, cable connections, and mounting.</w:t>
      </w:r>
    </w:p>
    <w:p>
      <w:pPr>
        <w:pStyle w:val="ListBullet"/>
      </w:pPr>
      <w:r>
        <w:t>Required recommissioning, tuning, and motion validation.</w:t>
      </w:r>
    </w:p>
    <w:p>
      <w:r>
        <w:t>A physically similar drive may not reproduce the old drive's dynamic response, torque behavior, braking performance, or safety functions without engineering changes.</w:t>
      </w:r>
    </w:p>
    <w:p>
      <w:pPr>
        <w:pStyle w:val="Heading3"/>
      </w:pPr>
      <w:r>
        <w:t>8.4 CNC systems</w:t>
      </w:r>
    </w:p>
    <w:p>
      <w:r>
        <w:t>Assess:</w:t>
      </w:r>
    </w:p>
    <w:p>
      <w:pPr>
        <w:pStyle w:val="ListBullet"/>
      </w:pPr>
      <w:r>
        <w:t>CNC controller lifecycle and successor platform.</w:t>
      </w:r>
    </w:p>
    <w:p>
      <w:pPr>
        <w:pStyle w:val="ListBullet"/>
      </w:pPr>
      <w:r>
        <w:t>Availability of controller, spindle drive, servo drive, feedback, and interface components.</w:t>
      </w:r>
    </w:p>
    <w:p>
      <w:pPr>
        <w:pStyle w:val="ListBullet"/>
      </w:pPr>
      <w:r>
        <w:t>Compatibility with machine-builder-specific software and PLC logic.</w:t>
      </w:r>
    </w:p>
    <w:p>
      <w:pPr>
        <w:pStyle w:val="ListBullet"/>
      </w:pPr>
      <w:r>
        <w:t>Retention of machine parameters, tool offsets, compensation data, and diagnostic information.</w:t>
      </w:r>
    </w:p>
    <w:p>
      <w:pPr>
        <w:pStyle w:val="ListBullet"/>
      </w:pPr>
      <w:r>
        <w:t>Availability of licensed software and authorized service.</w:t>
      </w:r>
    </w:p>
    <w:p>
      <w:pPr>
        <w:pStyle w:val="ListBullet"/>
      </w:pPr>
      <w:r>
        <w:t>Compatibility of fieldbus and peripheral interfaces.</w:t>
      </w:r>
    </w:p>
    <w:p>
      <w:pPr>
        <w:pStyle w:val="ListBullet"/>
      </w:pPr>
      <w:r>
        <w:t>Machine-tool accuracy and safety validation after migration.</w:t>
      </w:r>
    </w:p>
    <w:p>
      <w:r>
        <w:t>CNC obsolescence is especially consequential because a controller replacement can affect machine sequencing, axis behavior, tool management, probing, compensation, and validated machining performance.</w:t>
      </w:r>
    </w:p>
    <w:p>
      <w:pPr>
        <w:pStyle w:val="Heading3"/>
      </w:pPr>
      <w:r>
        <w:t>8.5 Robots and safety systems</w:t>
      </w:r>
    </w:p>
    <w:p>
      <w:r>
        <w:t>Assess:</w:t>
      </w:r>
    </w:p>
    <w:p>
      <w:pPr>
        <w:pStyle w:val="ListBullet"/>
      </w:pPr>
      <w:r>
        <w:t>Robot controller and teach-pendant lifecycle.</w:t>
      </w:r>
    </w:p>
    <w:p>
      <w:pPr>
        <w:pStyle w:val="ListBullet"/>
      </w:pPr>
      <w:r>
        <w:t>Availability of servo amplifiers, encoders, cables, and control boards.</w:t>
      </w:r>
    </w:p>
    <w:p>
      <w:pPr>
        <w:pStyle w:val="ListBullet"/>
      </w:pPr>
      <w:r>
        <w:t>Backup and restoration of robot programs, mastering data, calibration, and safety configuration.</w:t>
      </w:r>
    </w:p>
    <w:p>
      <w:pPr>
        <w:pStyle w:val="ListBullet"/>
      </w:pPr>
      <w:r>
        <w:t>Compatibility of successor controllers with the robot mechanics and installed tooling.</w:t>
      </w:r>
    </w:p>
    <w:p>
      <w:pPr>
        <w:pStyle w:val="ListBullet"/>
      </w:pPr>
      <w:r>
        <w:t>Safety-controller, scanner, light-curtain, interlock, and safety-network support.</w:t>
      </w:r>
    </w:p>
    <w:p>
      <w:pPr>
        <w:pStyle w:val="ListBullet"/>
      </w:pPr>
      <w:r>
        <w:t>Availability of authorized engineering tools and qualified technicians.</w:t>
      </w:r>
    </w:p>
    <w:p>
      <w:r>
        <w:t>After replacement or migration, verify mastering, calibration, safety functions, safeguarded space, tool-center-point data, and application performance before releasing the system to production.</w:t>
      </w:r>
    </w:p>
    <w:p>
      <w:pPr>
        <w:pStyle w:val="Heading3"/>
      </w:pPr>
      <w:r>
        <w:t>8.6 Industrial PCs, servers, and network devices</w:t>
      </w:r>
    </w:p>
    <w:p>
      <w:r>
        <w:t>Assess:</w:t>
      </w:r>
    </w:p>
    <w:p>
      <w:pPr>
        <w:pStyle w:val="ListBullet"/>
      </w:pPr>
      <w:r>
        <w:t>Processor, motherboard, storage, memory, and power-supply availability.</w:t>
      </w:r>
    </w:p>
    <w:p>
      <w:pPr>
        <w:pStyle w:val="ListBullet"/>
      </w:pPr>
      <w:r>
        <w:t>Operating-system support and security updates.</w:t>
      </w:r>
    </w:p>
    <w:p>
      <w:pPr>
        <w:pStyle w:val="ListBullet"/>
      </w:pPr>
      <w:r>
        <w:t>Industrial communication-card and driver compatibility.</w:t>
      </w:r>
    </w:p>
    <w:p>
      <w:pPr>
        <w:pStyle w:val="ListBullet"/>
      </w:pPr>
      <w:r>
        <w:t>Recovery media, system images, application installers, and license transfer.</w:t>
      </w:r>
    </w:p>
    <w:p>
      <w:pPr>
        <w:pStyle w:val="ListBullet"/>
      </w:pPr>
      <w:r>
        <w:t>Availability of industrial Ethernet switches, media converters, network adapters, and protocol gateways.</w:t>
      </w:r>
    </w:p>
    <w:p>
      <w:pPr>
        <w:pStyle w:val="ListBullet"/>
      </w:pPr>
      <w:r>
        <w:t>Compatibility with SCADA, historian, database, and visualization software.</w:t>
      </w:r>
    </w:p>
    <w:p>
      <w:pPr>
        <w:pStyle w:val="ListBullet"/>
      </w:pPr>
      <w:r>
        <w:t>Backup retention, cybersecurity controls, and recovery time.</w:t>
      </w:r>
    </w:p>
    <w:p>
      <w:r>
        <w:t>A generic PC replacement can still fail to restore the system if the original application requires a specific driver, license key, hardware dongle, legacy interface, or operating-system version.</w:t>
      </w:r>
    </w:p>
    <w:p>
      <w:pPr>
        <w:pStyle w:val="Heading2"/>
      </w:pPr>
      <w:r>
        <w:t>9. Software, firmware, and licensing obsolescence</w:t>
      </w:r>
    </w:p>
    <w:p>
      <w:r>
        <w:t>Software obsolescence is frequently underestimated because the physical hardware may still be operational while the tools required to configure or restore it are no longer usable.</w:t>
      </w:r>
    </w:p>
    <w:p>
      <w:r>
        <w:t>The supplier should identify all dependencies required to maintain the system throughout its intended life.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Dependency</w:t>
            </w:r>
          </w:p>
        </w:tc>
        <w:tc>
          <w:tcPr>
            <w:tcW w:type="dxa" w:w="3600"/>
            <w:shd w:val="clear" w:color="auto" w:fill="EEF2F7"/>
          </w:tcPr>
          <w:p>
            <w:pPr>
              <w:spacing w:after="0" w:before="0" w:line="240" w:lineRule="auto"/>
              <w:jc w:val="left"/>
            </w:pPr>
            <w:r>
              <w:rPr>
                <w:b/>
                <w:color w:val="1A2E4A"/>
              </w:rPr>
              <w:t>Risk</w:t>
            </w:r>
          </w:p>
        </w:tc>
        <w:tc>
          <w:tcPr>
            <w:tcW w:type="dxa" w:w="3600"/>
            <w:shd w:val="clear" w:color="auto" w:fill="EEF2F7"/>
          </w:tcPr>
          <w:p>
            <w:pPr>
              <w:spacing w:after="0" w:before="0" w:line="240" w:lineRule="auto"/>
              <w:jc w:val="left"/>
            </w:pPr>
            <w:r>
              <w:rPr>
                <w:b/>
                <w:color w:val="1A2E4A"/>
              </w:rPr>
              <w:t>Required procurement control</w:t>
            </w:r>
          </w:p>
        </w:tc>
      </w:tr>
      <w:tr>
        <w:tc>
          <w:tcPr>
            <w:tcW w:type="dxa" w:w="3600"/>
          </w:tcPr>
          <w:p>
            <w:pPr>
              <w:spacing w:after="0" w:before="0" w:line="240" w:lineRule="auto"/>
              <w:jc w:val="left"/>
            </w:pPr>
            <w:r>
              <w:t>Engineering software</w:t>
            </w:r>
          </w:p>
        </w:tc>
        <w:tc>
          <w:tcPr>
            <w:tcW w:type="dxa" w:w="3600"/>
          </w:tcPr>
          <w:p>
            <w:pPr>
              <w:spacing w:after="0" w:before="0" w:line="240" w:lineRule="auto"/>
              <w:jc w:val="left"/>
            </w:pPr>
            <w:r>
              <w:t>Project cannot be edited or restored</w:t>
            </w:r>
          </w:p>
        </w:tc>
        <w:tc>
          <w:tcPr>
            <w:tcW w:type="dxa" w:w="3600"/>
          </w:tcPr>
          <w:p>
            <w:pPr>
              <w:spacing w:after="0" w:before="0" w:line="240" w:lineRule="auto"/>
              <w:jc w:val="left"/>
            </w:pPr>
            <w:r>
              <w:t>Deliver supported software versions and project files</w:t>
            </w:r>
          </w:p>
        </w:tc>
      </w:tr>
      <w:tr>
        <w:tc>
          <w:tcPr>
            <w:tcW w:type="dxa" w:w="3600"/>
          </w:tcPr>
          <w:p>
            <w:pPr>
              <w:spacing w:after="0" w:before="0" w:line="240" w:lineRule="auto"/>
              <w:jc w:val="left"/>
            </w:pPr>
            <w:r>
              <w:t>Runtime software</w:t>
            </w:r>
          </w:p>
        </w:tc>
        <w:tc>
          <w:tcPr>
            <w:tcW w:type="dxa" w:w="3600"/>
          </w:tcPr>
          <w:p>
            <w:pPr>
              <w:spacing w:after="0" w:before="0" w:line="240" w:lineRule="auto"/>
              <w:jc w:val="left"/>
            </w:pPr>
            <w:r>
              <w:t>Application cannot execute on replacement hardware</w:t>
            </w:r>
          </w:p>
        </w:tc>
        <w:tc>
          <w:tcPr>
            <w:tcW w:type="dxa" w:w="3600"/>
          </w:tcPr>
          <w:p>
            <w:pPr>
              <w:spacing w:after="0" w:before="0" w:line="240" w:lineRule="auto"/>
              <w:jc w:val="left"/>
            </w:pPr>
            <w:r>
              <w:t>Document supported runtime versions</w:t>
            </w:r>
          </w:p>
        </w:tc>
      </w:tr>
      <w:tr>
        <w:tc>
          <w:tcPr>
            <w:tcW w:type="dxa" w:w="3600"/>
          </w:tcPr>
          <w:p>
            <w:pPr>
              <w:spacing w:after="0" w:before="0" w:line="240" w:lineRule="auto"/>
              <w:jc w:val="left"/>
            </w:pPr>
            <w:r>
              <w:t>Operating system</w:t>
            </w:r>
          </w:p>
        </w:tc>
        <w:tc>
          <w:tcPr>
            <w:tcW w:type="dxa" w:w="3600"/>
          </w:tcPr>
          <w:p>
            <w:pPr>
              <w:spacing w:after="0" w:before="0" w:line="240" w:lineRule="auto"/>
              <w:jc w:val="left"/>
            </w:pPr>
            <w:r>
              <w:t>Unsupported security and compatibility</w:t>
            </w:r>
          </w:p>
        </w:tc>
        <w:tc>
          <w:tcPr>
            <w:tcW w:type="dxa" w:w="3600"/>
          </w:tcPr>
          <w:p>
            <w:pPr>
              <w:spacing w:after="0" w:before="0" w:line="240" w:lineRule="auto"/>
              <w:jc w:val="left"/>
            </w:pPr>
            <w:r>
              <w:t>Specify supported OS and migration strategy</w:t>
            </w:r>
          </w:p>
        </w:tc>
      </w:tr>
      <w:tr>
        <w:tc>
          <w:tcPr>
            <w:tcW w:type="dxa" w:w="3600"/>
          </w:tcPr>
          <w:p>
            <w:pPr>
              <w:spacing w:after="0" w:before="0" w:line="240" w:lineRule="auto"/>
              <w:jc w:val="left"/>
            </w:pPr>
            <w:r>
              <w:t>Firmware</w:t>
            </w:r>
          </w:p>
        </w:tc>
        <w:tc>
          <w:tcPr>
            <w:tcW w:type="dxa" w:w="3600"/>
          </w:tcPr>
          <w:p>
            <w:pPr>
              <w:spacing w:after="0" w:before="0" w:line="240" w:lineRule="auto"/>
              <w:jc w:val="left"/>
            </w:pPr>
            <w:r>
              <w:t>No fixes or compatibility updates</w:t>
            </w:r>
          </w:p>
        </w:tc>
        <w:tc>
          <w:tcPr>
            <w:tcW w:type="dxa" w:w="3600"/>
          </w:tcPr>
          <w:p>
            <w:pPr>
              <w:spacing w:after="0" w:before="0" w:line="240" w:lineRule="auto"/>
              <w:jc w:val="left"/>
            </w:pPr>
            <w:r>
              <w:t>Document firmware versions and support status</w:t>
            </w:r>
          </w:p>
        </w:tc>
      </w:tr>
      <w:tr>
        <w:tc>
          <w:tcPr>
            <w:tcW w:type="dxa" w:w="3600"/>
          </w:tcPr>
          <w:p>
            <w:pPr>
              <w:spacing w:after="0" w:before="0" w:line="240" w:lineRule="auto"/>
              <w:jc w:val="left"/>
            </w:pPr>
            <w:r>
              <w:t>Software license</w:t>
            </w:r>
          </w:p>
        </w:tc>
        <w:tc>
          <w:tcPr>
            <w:tcW w:type="dxa" w:w="3600"/>
          </w:tcPr>
          <w:p>
            <w:pPr>
              <w:spacing w:after="0" w:before="0" w:line="240" w:lineRule="auto"/>
              <w:jc w:val="left"/>
            </w:pPr>
            <w:r>
              <w:t>Recovery blocked by activation failure</w:t>
            </w:r>
          </w:p>
        </w:tc>
        <w:tc>
          <w:tcPr>
            <w:tcW w:type="dxa" w:w="3600"/>
          </w:tcPr>
          <w:p>
            <w:pPr>
              <w:spacing w:after="0" w:before="0" w:line="240" w:lineRule="auto"/>
              <w:jc w:val="left"/>
            </w:pPr>
            <w:r>
              <w:t>Define ownership, transfer, backup, and reactivation procedure</w:t>
            </w:r>
          </w:p>
        </w:tc>
      </w:tr>
      <w:tr>
        <w:tc>
          <w:tcPr>
            <w:tcW w:type="dxa" w:w="3600"/>
          </w:tcPr>
          <w:p>
            <w:pPr>
              <w:spacing w:after="0" w:before="0" w:line="240" w:lineRule="auto"/>
              <w:jc w:val="left"/>
            </w:pPr>
            <w:r>
              <w:t>Hardware dongle</w:t>
            </w:r>
          </w:p>
        </w:tc>
        <w:tc>
          <w:tcPr>
            <w:tcW w:type="dxa" w:w="3600"/>
          </w:tcPr>
          <w:p>
            <w:pPr>
              <w:spacing w:after="0" w:before="0" w:line="240" w:lineRule="auto"/>
              <w:jc w:val="left"/>
            </w:pPr>
            <w:r>
              <w:t>Application fails without unavailable physical key</w:t>
            </w:r>
          </w:p>
        </w:tc>
        <w:tc>
          <w:tcPr>
            <w:tcW w:type="dxa" w:w="3600"/>
          </w:tcPr>
          <w:p>
            <w:pPr>
              <w:spacing w:after="0" w:before="0" w:line="240" w:lineRule="auto"/>
              <w:jc w:val="left"/>
            </w:pPr>
            <w:r>
              <w:t>Document replacement and recovery arrangements</w:t>
            </w:r>
          </w:p>
        </w:tc>
      </w:tr>
      <w:tr>
        <w:tc>
          <w:tcPr>
            <w:tcW w:type="dxa" w:w="3600"/>
          </w:tcPr>
          <w:p>
            <w:pPr>
              <w:spacing w:after="0" w:before="0" w:line="240" w:lineRule="auto"/>
              <w:jc w:val="left"/>
            </w:pPr>
            <w:r>
              <w:t>Device drivers</w:t>
            </w:r>
          </w:p>
        </w:tc>
        <w:tc>
          <w:tcPr>
            <w:tcW w:type="dxa" w:w="3600"/>
          </w:tcPr>
          <w:p>
            <w:pPr>
              <w:spacing w:after="0" w:before="0" w:line="240" w:lineRule="auto"/>
              <w:jc w:val="left"/>
            </w:pPr>
            <w:r>
              <w:t>New hardware cannot communicate with old software</w:t>
            </w:r>
          </w:p>
        </w:tc>
        <w:tc>
          <w:tcPr>
            <w:tcW w:type="dxa" w:w="3600"/>
          </w:tcPr>
          <w:p>
            <w:pPr>
              <w:spacing w:after="0" w:before="0" w:line="240" w:lineRule="auto"/>
              <w:jc w:val="left"/>
            </w:pPr>
            <w:r>
              <w:t>Identify supported driver and interface combinations</w:t>
            </w:r>
          </w:p>
        </w:tc>
      </w:tr>
      <w:tr>
        <w:tc>
          <w:tcPr>
            <w:tcW w:type="dxa" w:w="3600"/>
          </w:tcPr>
          <w:p>
            <w:pPr>
              <w:spacing w:after="0" w:before="0" w:line="240" w:lineRule="auto"/>
              <w:jc w:val="left"/>
            </w:pPr>
            <w:r>
              <w:t>Database platform</w:t>
            </w:r>
          </w:p>
        </w:tc>
        <w:tc>
          <w:tcPr>
            <w:tcW w:type="dxa" w:w="3600"/>
          </w:tcPr>
          <w:p>
            <w:pPr>
              <w:spacing w:after="0" w:before="0" w:line="240" w:lineRule="auto"/>
              <w:jc w:val="left"/>
            </w:pPr>
            <w:r>
              <w:t>Historian or SCADA records become inaccessible</w:t>
            </w:r>
          </w:p>
        </w:tc>
        <w:tc>
          <w:tcPr>
            <w:tcW w:type="dxa" w:w="3600"/>
          </w:tcPr>
          <w:p>
            <w:pPr>
              <w:spacing w:after="0" w:before="0" w:line="240" w:lineRule="auto"/>
              <w:jc w:val="left"/>
            </w:pPr>
            <w:r>
              <w:t>Document schema, migration, backup, and restore procedures</w:t>
            </w:r>
          </w:p>
        </w:tc>
      </w:tr>
      <w:tr>
        <w:tc>
          <w:tcPr>
            <w:tcW w:type="dxa" w:w="3600"/>
          </w:tcPr>
          <w:p>
            <w:pPr>
              <w:spacing w:after="0" w:before="0" w:line="240" w:lineRule="auto"/>
              <w:jc w:val="left"/>
            </w:pPr>
            <w:r>
              <w:t>Cybersecurity updates</w:t>
            </w:r>
          </w:p>
        </w:tc>
        <w:tc>
          <w:tcPr>
            <w:tcW w:type="dxa" w:w="3600"/>
          </w:tcPr>
          <w:p>
            <w:pPr>
              <w:spacing w:after="0" w:before="0" w:line="240" w:lineRule="auto"/>
              <w:jc w:val="left"/>
            </w:pPr>
            <w:r>
              <w:t>Vulnerabilities remain unresolved</w:t>
            </w:r>
          </w:p>
        </w:tc>
        <w:tc>
          <w:tcPr>
            <w:tcW w:type="dxa" w:w="3600"/>
          </w:tcPr>
          <w:p>
            <w:pPr>
              <w:spacing w:after="0" w:before="0" w:line="240" w:lineRule="auto"/>
              <w:jc w:val="left"/>
            </w:pPr>
            <w:r>
              <w:t>Define vulnerability reporting and remediation arrangements</w:t>
            </w:r>
          </w:p>
        </w:tc>
      </w:tr>
      <w:tr>
        <w:tc>
          <w:tcPr>
            <w:tcW w:type="dxa" w:w="3600"/>
          </w:tcPr>
          <w:p>
            <w:pPr>
              <w:spacing w:after="0" w:before="0" w:line="240" w:lineRule="auto"/>
              <w:jc w:val="left"/>
            </w:pPr>
            <w:r>
              <w:t>Configuration files</w:t>
            </w:r>
          </w:p>
        </w:tc>
        <w:tc>
          <w:tcPr>
            <w:tcW w:type="dxa" w:w="3600"/>
          </w:tcPr>
          <w:p>
            <w:pPr>
              <w:spacing w:after="0" w:before="0" w:line="240" w:lineRule="auto"/>
              <w:jc w:val="left"/>
            </w:pPr>
            <w:r>
              <w:t>Equipment cannot be restored after failure</w:t>
            </w:r>
          </w:p>
        </w:tc>
        <w:tc>
          <w:tcPr>
            <w:tcW w:type="dxa" w:w="3600"/>
          </w:tcPr>
          <w:p>
            <w:pPr>
              <w:spacing w:after="0" w:before="0" w:line="240" w:lineRule="auto"/>
              <w:jc w:val="left"/>
            </w:pPr>
            <w:r>
              <w:t>Deliver native files, exports, and verified backups</w:t>
            </w:r>
          </w:p>
        </w:tc>
      </w:tr>
    </w:tbl>
    <w:p/>
    <w:p>
      <w:r>
        <w:t>A complete handover should include the actual editable project files, not just screenshots, PDF reports, compiled programs, or passwords supplied separately from the engineering package.</w:t>
      </w:r>
    </w:p>
    <w:p>
      <w:r>
        <w:t>Where licenses or proprietary tools cannot legally be transferred, the supplier must clearly identify the restriction and establish an acceptable recovery route.</w:t>
      </w:r>
    </w:p>
    <w:p>
      <w:pPr>
        <w:pStyle w:val="Heading2"/>
      </w:pPr>
      <w:r>
        <w:t>10. Replacement strategy and migration planning</w:t>
      </w:r>
    </w:p>
    <w:p>
      <w:r>
        <w:t>There is no single correct response to obsolescence. The appropriate strategy depends on equipment criticality, support status, repair options, cost, technical compatibility, and production risk.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Strategy</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Appropriate situation</w:t>
            </w:r>
          </w:p>
        </w:tc>
      </w:tr>
      <w:tr>
        <w:tc>
          <w:tcPr>
            <w:tcW w:type="dxa" w:w="3600"/>
          </w:tcPr>
          <w:p>
            <w:pPr>
              <w:spacing w:after="0" w:before="0" w:line="240" w:lineRule="auto"/>
              <w:jc w:val="left"/>
            </w:pPr>
            <w:r>
              <w:t>Continue using</w:t>
            </w:r>
          </w:p>
        </w:tc>
        <w:tc>
          <w:tcPr>
            <w:tcW w:type="dxa" w:w="3600"/>
          </w:tcPr>
          <w:p>
            <w:pPr>
              <w:spacing w:after="0" w:before="0" w:line="240" w:lineRule="auto"/>
              <w:jc w:val="left"/>
            </w:pPr>
            <w:r>
              <w:t>Retain existing equipment with controlled risk</w:t>
            </w:r>
          </w:p>
        </w:tc>
        <w:tc>
          <w:tcPr>
            <w:tcW w:type="dxa" w:w="3600"/>
          </w:tcPr>
          <w:p>
            <w:pPr>
              <w:spacing w:after="0" w:before="0" w:line="240" w:lineRule="auto"/>
              <w:jc w:val="left"/>
            </w:pPr>
            <w:r>
              <w:t>Supported equipment with acceptable risk</w:t>
            </w:r>
          </w:p>
        </w:tc>
      </w:tr>
      <w:tr>
        <w:tc>
          <w:tcPr>
            <w:tcW w:type="dxa" w:w="3600"/>
          </w:tcPr>
          <w:p>
            <w:pPr>
              <w:spacing w:after="0" w:before="0" w:line="240" w:lineRule="auto"/>
              <w:jc w:val="left"/>
            </w:pPr>
            <w:r>
              <w:t>Strategic spares</w:t>
            </w:r>
          </w:p>
        </w:tc>
        <w:tc>
          <w:tcPr>
            <w:tcW w:type="dxa" w:w="3600"/>
          </w:tcPr>
          <w:p>
            <w:pPr>
              <w:spacing w:after="0" w:before="0" w:line="240" w:lineRule="auto"/>
              <w:jc w:val="left"/>
            </w:pPr>
            <w:r>
              <w:t>Purchase justified quantities before discontinuation</w:t>
            </w:r>
          </w:p>
        </w:tc>
        <w:tc>
          <w:tcPr>
            <w:tcW w:type="dxa" w:w="3600"/>
          </w:tcPr>
          <w:p>
            <w:pPr>
              <w:spacing w:after="0" w:before="0" w:line="240" w:lineRule="auto"/>
              <w:jc w:val="left"/>
            </w:pPr>
            <w:r>
              <w:t>Long lead times and predictable failure exposure</w:t>
            </w:r>
          </w:p>
        </w:tc>
      </w:tr>
      <w:tr>
        <w:tc>
          <w:tcPr>
            <w:tcW w:type="dxa" w:w="3600"/>
          </w:tcPr>
          <w:p>
            <w:pPr>
              <w:spacing w:after="0" w:before="0" w:line="240" w:lineRule="auto"/>
              <w:jc w:val="left"/>
            </w:pPr>
            <w:r>
              <w:t>Repair or exchange</w:t>
            </w:r>
          </w:p>
        </w:tc>
        <w:tc>
          <w:tcPr>
            <w:tcW w:type="dxa" w:w="3600"/>
          </w:tcPr>
          <w:p>
            <w:pPr>
              <w:spacing w:after="0" w:before="0" w:line="240" w:lineRule="auto"/>
              <w:jc w:val="left"/>
            </w:pPr>
            <w:r>
              <w:t>Use authorized repair or exchange services</w:t>
            </w:r>
          </w:p>
        </w:tc>
        <w:tc>
          <w:tcPr>
            <w:tcW w:type="dxa" w:w="3600"/>
          </w:tcPr>
          <w:p>
            <w:pPr>
              <w:spacing w:after="0" w:before="0" w:line="240" w:lineRule="auto"/>
              <w:jc w:val="left"/>
            </w:pPr>
            <w:r>
              <w:t>Repairable legacy equipment</w:t>
            </w:r>
          </w:p>
        </w:tc>
      </w:tr>
      <w:tr>
        <w:tc>
          <w:tcPr>
            <w:tcW w:type="dxa" w:w="3600"/>
          </w:tcPr>
          <w:p>
            <w:pPr>
              <w:spacing w:after="0" w:before="0" w:line="240" w:lineRule="auto"/>
              <w:jc w:val="left"/>
            </w:pPr>
            <w:r>
              <w:t>Like-for-like replacement</w:t>
            </w:r>
          </w:p>
        </w:tc>
        <w:tc>
          <w:tcPr>
            <w:tcW w:type="dxa" w:w="3600"/>
          </w:tcPr>
          <w:p>
            <w:pPr>
              <w:spacing w:after="0" w:before="0" w:line="240" w:lineRule="auto"/>
              <w:jc w:val="left"/>
            </w:pPr>
            <w:r>
              <w:t>Replace with the same supported model</w:t>
            </w:r>
          </w:p>
        </w:tc>
        <w:tc>
          <w:tcPr>
            <w:tcW w:type="dxa" w:w="3600"/>
          </w:tcPr>
          <w:p>
            <w:pPr>
              <w:spacing w:after="0" w:before="0" w:line="240" w:lineRule="auto"/>
              <w:jc w:val="left"/>
            </w:pPr>
            <w:r>
              <w:t>Genuine compatibility and availability are confirmed</w:t>
            </w:r>
          </w:p>
        </w:tc>
      </w:tr>
      <w:tr>
        <w:tc>
          <w:tcPr>
            <w:tcW w:type="dxa" w:w="3600"/>
          </w:tcPr>
          <w:p>
            <w:pPr>
              <w:spacing w:after="0" w:before="0" w:line="240" w:lineRule="auto"/>
              <w:jc w:val="left"/>
            </w:pPr>
            <w:r>
              <w:t>Successor migration</w:t>
            </w:r>
          </w:p>
        </w:tc>
        <w:tc>
          <w:tcPr>
            <w:tcW w:type="dxa" w:w="3600"/>
          </w:tcPr>
          <w:p>
            <w:pPr>
              <w:spacing w:after="0" w:before="0" w:line="240" w:lineRule="auto"/>
              <w:jc w:val="left"/>
            </w:pPr>
            <w:r>
              <w:t>Move to the manufacturer's replacement product</w:t>
            </w:r>
          </w:p>
        </w:tc>
        <w:tc>
          <w:tcPr>
            <w:tcW w:type="dxa" w:w="3600"/>
          </w:tcPr>
          <w:p>
            <w:pPr>
              <w:spacing w:after="0" w:before="0" w:line="240" w:lineRule="auto"/>
              <w:jc w:val="left"/>
            </w:pPr>
            <w:r>
              <w:t>Supported successor exists</w:t>
            </w:r>
          </w:p>
        </w:tc>
      </w:tr>
      <w:tr>
        <w:tc>
          <w:tcPr>
            <w:tcW w:type="dxa" w:w="3600"/>
          </w:tcPr>
          <w:p>
            <w:pPr>
              <w:spacing w:after="0" w:before="0" w:line="240" w:lineRule="auto"/>
              <w:jc w:val="left"/>
            </w:pPr>
            <w:r>
              <w:t>Platform modernization</w:t>
            </w:r>
          </w:p>
        </w:tc>
        <w:tc>
          <w:tcPr>
            <w:tcW w:type="dxa" w:w="3600"/>
          </w:tcPr>
          <w:p>
            <w:pPr>
              <w:spacing w:after="0" w:before="0" w:line="240" w:lineRule="auto"/>
              <w:jc w:val="left"/>
            </w:pPr>
            <w:r>
              <w:t>Replace multiple obsolete subsystems</w:t>
            </w:r>
          </w:p>
        </w:tc>
        <w:tc>
          <w:tcPr>
            <w:tcW w:type="dxa" w:w="3600"/>
          </w:tcPr>
          <w:p>
            <w:pPr>
              <w:spacing w:after="0" w:before="0" w:line="240" w:lineRule="auto"/>
              <w:jc w:val="left"/>
            </w:pPr>
            <w:r>
              <w:t>Several related dependencies are aging</w:t>
            </w:r>
          </w:p>
        </w:tc>
      </w:tr>
      <w:tr>
        <w:tc>
          <w:tcPr>
            <w:tcW w:type="dxa" w:w="3600"/>
          </w:tcPr>
          <w:p>
            <w:pPr>
              <w:spacing w:after="0" w:before="0" w:line="240" w:lineRule="auto"/>
              <w:jc w:val="left"/>
            </w:pPr>
            <w:r>
              <w:t>Redesign</w:t>
            </w:r>
          </w:p>
        </w:tc>
        <w:tc>
          <w:tcPr>
            <w:tcW w:type="dxa" w:w="3600"/>
          </w:tcPr>
          <w:p>
            <w:pPr>
              <w:spacing w:after="0" w:before="0" w:line="240" w:lineRule="auto"/>
              <w:jc w:val="left"/>
            </w:pPr>
            <w:r>
              <w:t>Develop a new solution around current technology</w:t>
            </w:r>
          </w:p>
        </w:tc>
        <w:tc>
          <w:tcPr>
            <w:tcW w:type="dxa" w:w="3600"/>
          </w:tcPr>
          <w:p>
            <w:pPr>
              <w:spacing w:after="0" w:before="0" w:line="240" w:lineRule="auto"/>
              <w:jc w:val="left"/>
            </w:pPr>
            <w:r>
              <w:t>No acceptable direct replacement exists</w:t>
            </w:r>
          </w:p>
        </w:tc>
      </w:tr>
      <w:tr>
        <w:tc>
          <w:tcPr>
            <w:tcW w:type="dxa" w:w="3600"/>
          </w:tcPr>
          <w:p>
            <w:pPr>
              <w:spacing w:after="0" w:before="0" w:line="240" w:lineRule="auto"/>
              <w:jc w:val="left"/>
            </w:pPr>
            <w:r>
              <w:t>Functional emulation or gateway</w:t>
            </w:r>
          </w:p>
        </w:tc>
        <w:tc>
          <w:tcPr>
            <w:tcW w:type="dxa" w:w="3600"/>
          </w:tcPr>
          <w:p>
            <w:pPr>
              <w:spacing w:after="0" w:before="0" w:line="240" w:lineRule="auto"/>
              <w:jc w:val="left"/>
            </w:pPr>
            <w:r>
              <w:t>Bridge a legacy interface to a supported system</w:t>
            </w:r>
          </w:p>
        </w:tc>
        <w:tc>
          <w:tcPr>
            <w:tcW w:type="dxa" w:w="3600"/>
          </w:tcPr>
          <w:p>
            <w:pPr>
              <w:spacing w:after="0" w:before="0" w:line="240" w:lineRule="auto"/>
              <w:jc w:val="left"/>
            </w:pPr>
            <w:r>
              <w:t>Interface compatibility is feasible and validated</w:t>
            </w:r>
          </w:p>
        </w:tc>
      </w:tr>
      <w:tr>
        <w:tc>
          <w:tcPr>
            <w:tcW w:type="dxa" w:w="3600"/>
          </w:tcPr>
          <w:p>
            <w:pPr>
              <w:spacing w:after="0" w:before="0" w:line="240" w:lineRule="auto"/>
              <w:jc w:val="left"/>
            </w:pPr>
            <w:r>
              <w:t>Controlled retirement</w:t>
            </w:r>
          </w:p>
        </w:tc>
        <w:tc>
          <w:tcPr>
            <w:tcW w:type="dxa" w:w="3600"/>
          </w:tcPr>
          <w:p>
            <w:pPr>
              <w:spacing w:after="0" w:before="0" w:line="240" w:lineRule="auto"/>
              <w:jc w:val="left"/>
            </w:pPr>
            <w:r>
              <w:t>Remove equipment from service</w:t>
            </w:r>
          </w:p>
        </w:tc>
        <w:tc>
          <w:tcPr>
            <w:tcW w:type="dxa" w:w="3600"/>
          </w:tcPr>
          <w:p>
            <w:pPr>
              <w:spacing w:after="0" w:before="0" w:line="240" w:lineRule="auto"/>
              <w:jc w:val="left"/>
            </w:pPr>
            <w:r>
              <w:t>Continued operation is no longer justified</w:t>
            </w:r>
          </w:p>
        </w:tc>
      </w:tr>
    </w:tbl>
    <w:p/>
    <w:p>
      <w:pPr>
        <w:pStyle w:val="Heading3"/>
      </w:pPr>
      <w:r>
        <w:t>10.1 Migration planning stages</w:t>
      </w:r>
    </w:p>
    <w:p>
      <w:pPr>
        <w:tabs>
          <w:tab w:pos="403" w:val="left"/>
        </w:tabs>
        <w:spacing w:after="40" w:line="276" w:lineRule="auto"/>
        <w:ind w:left="403" w:hanging="403"/>
        <w:jc w:val="left"/>
      </w:pPr>
      <w:r>
        <w:rPr>
          <w:color w:val="1A2E4A"/>
        </w:rPr>
        <w:t>1.</w:t>
        <w:tab/>
      </w:r>
      <w:r>
        <w:t>Inventory the affected equipment, firmware, software, dependencies, and installed versions.</w:t>
      </w:r>
    </w:p>
    <w:p>
      <w:pPr>
        <w:tabs>
          <w:tab w:pos="403" w:val="left"/>
        </w:tabs>
        <w:spacing w:after="40" w:line="276" w:lineRule="auto"/>
        <w:ind w:left="403" w:hanging="403"/>
        <w:jc w:val="left"/>
      </w:pPr>
      <w:r>
        <w:rPr>
          <w:color w:val="1A2E4A"/>
        </w:rPr>
        <w:t>2.</w:t>
        <w:tab/>
      </w:r>
      <w:r>
        <w:t>Confirm lifecycle dates directly with the manufacturer or authorized channel.</w:t>
      </w:r>
    </w:p>
    <w:p>
      <w:pPr>
        <w:tabs>
          <w:tab w:pos="403" w:val="left"/>
        </w:tabs>
        <w:spacing w:after="40" w:line="276" w:lineRule="auto"/>
        <w:ind w:left="403" w:hanging="403"/>
        <w:jc w:val="left"/>
      </w:pPr>
      <w:r>
        <w:rPr>
          <w:color w:val="1A2E4A"/>
        </w:rPr>
        <w:t>3.</w:t>
        <w:tab/>
      </w:r>
      <w:r>
        <w:t>Identify successor products and verify technical compatibility.</w:t>
      </w:r>
    </w:p>
    <w:p>
      <w:pPr>
        <w:tabs>
          <w:tab w:pos="403" w:val="left"/>
        </w:tabs>
        <w:spacing w:after="40" w:line="276" w:lineRule="auto"/>
        <w:ind w:left="403" w:hanging="403"/>
        <w:jc w:val="left"/>
      </w:pPr>
      <w:r>
        <w:rPr>
          <w:color w:val="1A2E4A"/>
        </w:rPr>
        <w:t>4.</w:t>
        <w:tab/>
      </w:r>
      <w:r>
        <w:t>Assess production criticality, failure modes, cybersecurity exposure, and safety implications.</w:t>
      </w:r>
    </w:p>
    <w:p>
      <w:pPr>
        <w:tabs>
          <w:tab w:pos="403" w:val="left"/>
        </w:tabs>
        <w:spacing w:after="40" w:line="276" w:lineRule="auto"/>
        <w:ind w:left="403" w:hanging="403"/>
        <w:jc w:val="left"/>
      </w:pPr>
      <w:r>
        <w:rPr>
          <w:color w:val="1A2E4A"/>
        </w:rPr>
        <w:t>5.</w:t>
        <w:tab/>
      </w:r>
      <w:r>
        <w:t>Estimate engineering, hardware, software, training, commissioning, and downtime costs.</w:t>
      </w:r>
    </w:p>
    <w:p>
      <w:pPr>
        <w:tabs>
          <w:tab w:pos="403" w:val="left"/>
        </w:tabs>
        <w:spacing w:after="40" w:line="276" w:lineRule="auto"/>
        <w:ind w:left="403" w:hanging="403"/>
        <w:jc w:val="left"/>
      </w:pPr>
      <w:r>
        <w:rPr>
          <w:color w:val="1A2E4A"/>
        </w:rPr>
        <w:t>6.</w:t>
        <w:tab/>
      </w:r>
      <w:r>
        <w:t>Define the migration architecture and test strategy.</w:t>
      </w:r>
    </w:p>
    <w:p>
      <w:pPr>
        <w:tabs>
          <w:tab w:pos="403" w:val="left"/>
        </w:tabs>
        <w:spacing w:after="40" w:line="276" w:lineRule="auto"/>
        <w:ind w:left="403" w:hanging="403"/>
        <w:jc w:val="left"/>
      </w:pPr>
      <w:r>
        <w:rPr>
          <w:color w:val="1A2E4A"/>
        </w:rPr>
        <w:t>7.</w:t>
        <w:tab/>
      </w:r>
      <w:r>
        <w:t>Prepare backups, rollback procedures, and recovery arrangements.</w:t>
      </w:r>
    </w:p>
    <w:p>
      <w:pPr>
        <w:tabs>
          <w:tab w:pos="403" w:val="left"/>
        </w:tabs>
        <w:spacing w:after="40" w:line="276" w:lineRule="auto"/>
        <w:ind w:left="403" w:hanging="403"/>
        <w:jc w:val="left"/>
      </w:pPr>
      <w:r>
        <w:rPr>
          <w:color w:val="1A2E4A"/>
        </w:rPr>
        <w:t>8.</w:t>
        <w:tab/>
      </w:r>
      <w:r>
        <w:t>Conduct a pilot or offline validation where practical.</w:t>
      </w:r>
    </w:p>
    <w:p>
      <w:pPr>
        <w:tabs>
          <w:tab w:pos="403" w:val="left"/>
        </w:tabs>
        <w:spacing w:after="40" w:line="276" w:lineRule="auto"/>
        <w:ind w:left="403" w:hanging="403"/>
        <w:jc w:val="left"/>
      </w:pPr>
      <w:r>
        <w:rPr>
          <w:color w:val="1A2E4A"/>
        </w:rPr>
        <w:t>9.</w:t>
        <w:tab/>
      </w:r>
      <w:r>
        <w:t>Implement during an approved production window.</w:t>
      </w:r>
    </w:p>
    <w:p>
      <w:pPr>
        <w:tabs>
          <w:tab w:pos="403" w:val="left"/>
        </w:tabs>
        <w:spacing w:after="40" w:line="276" w:lineRule="auto"/>
        <w:ind w:left="403" w:hanging="403"/>
        <w:jc w:val="left"/>
      </w:pPr>
      <w:r>
        <w:rPr>
          <w:color w:val="1A2E4A"/>
        </w:rPr>
        <w:t>10.</w:t>
        <w:tab/>
      </w:r>
      <w:r>
        <w:t>Verify functionality, safety, quality, cybersecurity, and production performance.</w:t>
      </w:r>
    </w:p>
    <w:p>
      <w:pPr>
        <w:tabs>
          <w:tab w:pos="403" w:val="left"/>
        </w:tabs>
        <w:spacing w:after="40" w:line="276" w:lineRule="auto"/>
        <w:ind w:left="403" w:hanging="403"/>
        <w:jc w:val="left"/>
      </w:pPr>
      <w:r>
        <w:rPr>
          <w:color w:val="1A2E4A"/>
        </w:rPr>
        <w:t>11.</w:t>
        <w:tab/>
      </w:r>
      <w:r>
        <w:t>Update drawings, software versions, spare lists, asset records, and maintenance procedures.</w:t>
      </w:r>
    </w:p>
    <w:p>
      <w:r>
        <w:t>Migration must not be treated as a simple hardware swap unless compatibility has been demonstrated.</w:t>
      </w:r>
    </w:p>
    <w:p>
      <w:pPr>
        <w:pStyle w:val="Heading2"/>
      </w:pPr>
      <w:r>
        <w:t>11. Strategic spare-parts planning</w:t>
      </w:r>
    </w:p>
    <w:p>
      <w:r>
        <w:t>Strategic spares can reduce exposure to discontinued equipment, but they are not a complete obsolescence strategy.</w:t>
      </w:r>
    </w:p>
    <w:p>
      <w:r>
        <w:t>The decision should consider:</w:t>
      </w:r>
    </w:p>
    <w:p>
      <w:pPr>
        <w:pStyle w:val="ListBullet"/>
      </w:pPr>
      <w:r>
        <w:t>Failure probability and consequence of failure.</w:t>
      </w:r>
    </w:p>
    <w:p>
      <w:pPr>
        <w:pStyle w:val="ListBullet"/>
      </w:pPr>
      <w:r>
        <w:t>Installed population and commonality of parts.</w:t>
      </w:r>
    </w:p>
    <w:p>
      <w:pPr>
        <w:pStyle w:val="ListBullet"/>
      </w:pPr>
      <w:r>
        <w:t>Manufacturer's last-time-buy notice.</w:t>
      </w:r>
    </w:p>
    <w:p>
      <w:pPr>
        <w:pStyle w:val="ListBullet"/>
      </w:pPr>
      <w:r>
        <w:t>Remaining expected service life.</w:t>
      </w:r>
    </w:p>
    <w:p>
      <w:pPr>
        <w:pStyle w:val="ListBullet"/>
      </w:pPr>
      <w:r>
        <w:t>Storage conditions and shelf life.</w:t>
      </w:r>
    </w:p>
    <w:p>
      <w:pPr>
        <w:pStyle w:val="ListBullet"/>
      </w:pPr>
      <w:r>
        <w:t>Battery degradation, capacitor aging, seal deterioration, and other storage-related risks.</w:t>
      </w:r>
    </w:p>
    <w:p>
      <w:pPr>
        <w:pStyle w:val="ListBullet"/>
      </w:pPr>
      <w:r>
        <w:t>Firmware and hardware revisions.</w:t>
      </w:r>
    </w:p>
    <w:p>
      <w:pPr>
        <w:pStyle w:val="ListBullet"/>
      </w:pPr>
      <w:r>
        <w:t>Counterfeit exposure and traceability.</w:t>
      </w:r>
    </w:p>
    <w:p>
      <w:pPr>
        <w:pStyle w:val="ListBullet"/>
      </w:pPr>
      <w:r>
        <w:t>Repairability and availability of exchange units.</w:t>
      </w:r>
    </w:p>
    <w:p>
      <w:pPr>
        <w:pStyle w:val="ListBullet"/>
      </w:pPr>
      <w:r>
        <w:t>Future migration timing and cost.</w:t>
      </w:r>
    </w:p>
    <w:p>
      <w:r>
        <w:t>For example, buying ten obsolete PLC CPUs may create unnecessary inventory if a supported migration is scheduled next year. Conversely, keeping one critical spare may be inadequate when a discontinued module can stop a high-throughput production line for weeks.</w:t>
      </w:r>
    </w:p>
    <w:p>
      <w:r>
        <w:t>A useful policy is to classify components as critical, important, or noncritical based on production impact and recovery options. The quantity should then be determined through a documented risk and demand assessment.</w:t>
      </w:r>
    </w:p>
    <w:p>
      <w:pPr>
        <w:pStyle w:val="Heading2"/>
      </w:pPr>
      <w:r>
        <w:t>12. Manufacturer lifecycle evidence</w:t>
      </w:r>
    </w:p>
    <w:p>
      <w:r>
        <w:t>During bid evaluation, obtain evidence rather than relying solely on verbal assurances from a sales representative.</w:t>
      </w:r>
    </w:p>
    <w:p>
      <w:r>
        <w:t>Acceptable evidence may include:</w:t>
      </w:r>
    </w:p>
    <w:p>
      <w:pPr>
        <w:pStyle w:val="ListBullet"/>
      </w:pPr>
      <w:r>
        <w:t>Official product lifecycle statements.</w:t>
      </w:r>
    </w:p>
    <w:p>
      <w:pPr>
        <w:pStyle w:val="ListBullet"/>
      </w:pPr>
      <w:r>
        <w:t>Manufacturer product-status notices.</w:t>
      </w:r>
    </w:p>
    <w:p>
      <w:pPr>
        <w:pStyle w:val="ListBullet"/>
      </w:pPr>
      <w:r>
        <w:t>End-of-sale and end-of-support announcements.</w:t>
      </w:r>
    </w:p>
    <w:p>
      <w:pPr>
        <w:pStyle w:val="ListBullet"/>
      </w:pPr>
      <w:r>
        <w:t>Published successor-product information.</w:t>
      </w:r>
    </w:p>
    <w:p>
      <w:pPr>
        <w:pStyle w:val="ListBullet"/>
      </w:pPr>
      <w:r>
        <w:t>Authorized service and repair commitments.</w:t>
      </w:r>
    </w:p>
    <w:p>
      <w:pPr>
        <w:pStyle w:val="ListBullet"/>
      </w:pPr>
      <w:r>
        <w:t>Product availability and lead-time statements.</w:t>
      </w:r>
    </w:p>
    <w:p>
      <w:pPr>
        <w:pStyle w:val="ListBullet"/>
      </w:pPr>
      <w:r>
        <w:t>Written commitments covering spare parts and technical support.</w:t>
      </w:r>
    </w:p>
    <w:p>
      <w:pPr>
        <w:pStyle w:val="ListBullet"/>
      </w:pPr>
      <w:r>
        <w:t>Software compatibility and migration documentation.</w:t>
      </w:r>
    </w:p>
    <w:p>
      <w:pPr>
        <w:pStyle w:val="ListBullet"/>
      </w:pPr>
      <w:r>
        <w:t>Cybersecurity support policies.</w:t>
      </w:r>
    </w:p>
    <w:p>
      <w:pPr>
        <w:pStyle w:val="ListBullet"/>
      </w:pPr>
      <w:r>
        <w:t>Written clarification from the manufacturer's authorized representative.</w:t>
      </w:r>
    </w:p>
    <w:p>
      <w:r>
        <w:t>Record the document date, applicable model numbers, hardware revisions, firmware versions, geographic applicability, and any exceptions.</w:t>
      </w:r>
    </w:p>
    <w:p>
      <w:r>
        <w:t>A distributor's statement that stock is available today does not establish that the manufacturer will support the product for the next decade.</w:t>
      </w:r>
    </w:p>
    <w:p>
      <w:pPr>
        <w:pStyle w:val="Heading2"/>
      </w:pPr>
      <w:r>
        <w:t>13. Lifecycle cost and obsolescence economics</w:t>
      </w:r>
    </w:p>
    <w:p>
      <w:r>
        <w:t>The initial purchase price is only one part of the cost of owning industrial equipment.</w:t>
      </w:r>
    </w:p>
    <w:p>
      <w:r>
        <w:t>A lifecycle cost model can include:</w:t>
      </w:r>
    </w:p>
    <w:p>
      <w:pPr>
        <w:spacing w:before="120" w:after="160"/>
        <w:jc w:val="center"/>
      </w:pPr>
      <w:r>
        <w:rPr>
          <w:rFonts w:ascii="Cambria" w:hAnsi="Cambria"/>
          <w:i/>
        </w:rPr>
        <w:t>aligned Lifecycle Cost =&amp; Purchase Cost &amp;+ Installation and Commissioning &amp;+ Maintenance and Spare Parts &amp;+ Software and Licensing &amp;+ Migration and Modernization &amp;+ Downtime Cost &amp;+ Training and Support aligned</w:t>
      </w:r>
    </w:p>
    <w:p>
      <w:r>
        <w:t>The exact model should define its evaluation period, cost basis, and whether future costs are discounted to present value.</w:t>
      </w:r>
    </w:p>
    <w:p>
      <w:r>
        <w:t>Consider two hypothetical automation proposals: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Cost element</w:t>
            </w:r>
          </w:p>
        </w:tc>
        <w:tc>
          <w:tcPr>
            <w:tcW w:type="dxa" w:w="3600"/>
            <w:shd w:val="clear" w:color="auto" w:fill="EEF2F7"/>
          </w:tcPr>
          <w:p>
            <w:pPr>
              <w:spacing w:after="0" w:before="0" w:line="240" w:lineRule="auto"/>
              <w:jc w:val="left"/>
            </w:pPr>
            <w:r>
              <w:rPr>
                <w:b/>
                <w:color w:val="1A2E4A"/>
              </w:rPr>
              <w:t>Proposal A</w:t>
            </w:r>
          </w:p>
        </w:tc>
        <w:tc>
          <w:tcPr>
            <w:tcW w:type="dxa" w:w="3600"/>
            <w:shd w:val="clear" w:color="auto" w:fill="EEF2F7"/>
          </w:tcPr>
          <w:p>
            <w:pPr>
              <w:spacing w:after="0" w:before="0" w:line="240" w:lineRule="auto"/>
              <w:jc w:val="left"/>
            </w:pPr>
            <w:r>
              <w:rPr>
                <w:b/>
                <w:color w:val="1A2E4A"/>
              </w:rPr>
              <w:t>Proposal B</w:t>
            </w:r>
          </w:p>
        </w:tc>
      </w:tr>
      <w:tr>
        <w:tc>
          <w:tcPr>
            <w:tcW w:type="dxa" w:w="3600"/>
          </w:tcPr>
          <w:p>
            <w:pPr>
              <w:spacing w:after="0" w:before="0" w:line="240" w:lineRule="auto"/>
              <w:jc w:val="left"/>
            </w:pPr>
            <w:r>
              <w:t>Initial equipment cost</w:t>
            </w:r>
          </w:p>
        </w:tc>
        <w:tc>
          <w:tcPr>
            <w:tcW w:type="dxa" w:w="3600"/>
          </w:tcPr>
          <w:p>
            <w:pPr>
              <w:spacing w:after="0" w:before="0" w:line="240" w:lineRule="auto"/>
              <w:jc w:val="left"/>
            </w:pPr>
            <w:r>
              <w:t>₹10 lakh</w:t>
            </w:r>
          </w:p>
        </w:tc>
        <w:tc>
          <w:tcPr>
            <w:tcW w:type="dxa" w:w="3600"/>
          </w:tcPr>
          <w:p>
            <w:pPr>
              <w:spacing w:after="0" w:before="0" w:line="240" w:lineRule="auto"/>
              <w:jc w:val="left"/>
            </w:pPr>
            <w:r>
              <w:t>₹12 lakh</w:t>
            </w:r>
          </w:p>
        </w:tc>
      </w:tr>
      <w:tr>
        <w:tc>
          <w:tcPr>
            <w:tcW w:type="dxa" w:w="3600"/>
          </w:tcPr>
          <w:p>
            <w:pPr>
              <w:spacing w:after="0" w:before="0" w:line="240" w:lineRule="auto"/>
              <w:jc w:val="left"/>
            </w:pPr>
            <w:r>
              <w:t>Planned lifecycle support</w:t>
            </w:r>
          </w:p>
        </w:tc>
        <w:tc>
          <w:tcPr>
            <w:tcW w:type="dxa" w:w="3600"/>
          </w:tcPr>
          <w:p>
            <w:pPr>
              <w:spacing w:after="0" w:before="0" w:line="240" w:lineRule="auto"/>
              <w:jc w:val="left"/>
            </w:pPr>
            <w:r>
              <w:t>5 years</w:t>
            </w:r>
          </w:p>
        </w:tc>
        <w:tc>
          <w:tcPr>
            <w:tcW w:type="dxa" w:w="3600"/>
          </w:tcPr>
          <w:p>
            <w:pPr>
              <w:spacing w:after="0" w:before="0" w:line="240" w:lineRule="auto"/>
              <w:jc w:val="left"/>
            </w:pPr>
            <w:r>
              <w:t>12 years</w:t>
            </w:r>
          </w:p>
        </w:tc>
      </w:tr>
      <w:tr>
        <w:tc>
          <w:tcPr>
            <w:tcW w:type="dxa" w:w="3600"/>
          </w:tcPr>
          <w:p>
            <w:pPr>
              <w:spacing w:after="0" w:before="0" w:line="240" w:lineRule="auto"/>
              <w:jc w:val="left"/>
            </w:pPr>
            <w:r>
              <w:t>Expected migration cost</w:t>
            </w:r>
          </w:p>
        </w:tc>
        <w:tc>
          <w:tcPr>
            <w:tcW w:type="dxa" w:w="3600"/>
          </w:tcPr>
          <w:p>
            <w:pPr>
              <w:spacing w:after="0" w:before="0" w:line="240" w:lineRule="auto"/>
              <w:jc w:val="left"/>
            </w:pPr>
            <w:r>
              <w:t>₹6 lakh</w:t>
            </w:r>
          </w:p>
        </w:tc>
        <w:tc>
          <w:tcPr>
            <w:tcW w:type="dxa" w:w="3600"/>
          </w:tcPr>
          <w:p>
            <w:pPr>
              <w:spacing w:after="0" w:before="0" w:line="240" w:lineRule="auto"/>
              <w:jc w:val="left"/>
            </w:pPr>
            <w:r>
              <w:t>₹2 lakh</w:t>
            </w:r>
          </w:p>
        </w:tc>
      </w:tr>
      <w:tr>
        <w:tc>
          <w:tcPr>
            <w:tcW w:type="dxa" w:w="3600"/>
          </w:tcPr>
          <w:p>
            <w:pPr>
              <w:spacing w:after="0" w:before="0" w:line="240" w:lineRule="auto"/>
              <w:jc w:val="left"/>
            </w:pPr>
            <w:r>
              <w:t>Expected downtime cost from lifecycle issues</w:t>
            </w:r>
          </w:p>
        </w:tc>
        <w:tc>
          <w:tcPr>
            <w:tcW w:type="dxa" w:w="3600"/>
          </w:tcPr>
          <w:p>
            <w:pPr>
              <w:spacing w:after="0" w:before="0" w:line="240" w:lineRule="auto"/>
              <w:jc w:val="left"/>
            </w:pPr>
            <w:r>
              <w:t>₹4 lakh</w:t>
            </w:r>
          </w:p>
        </w:tc>
        <w:tc>
          <w:tcPr>
            <w:tcW w:type="dxa" w:w="3600"/>
          </w:tcPr>
          <w:p>
            <w:pPr>
              <w:spacing w:after="0" w:before="0" w:line="240" w:lineRule="auto"/>
              <w:jc w:val="left"/>
            </w:pPr>
            <w:r>
              <w:t>₹1 lakh</w:t>
            </w:r>
          </w:p>
        </w:tc>
      </w:tr>
      <w:tr>
        <w:tc>
          <w:tcPr>
            <w:tcW w:type="dxa" w:w="3600"/>
          </w:tcPr>
          <w:p>
            <w:pPr>
              <w:spacing w:after="0" w:before="0" w:line="240" w:lineRule="auto"/>
              <w:jc w:val="left"/>
            </w:pPr>
            <w:r>
              <w:t>Other lifecycle costs</w:t>
            </w:r>
          </w:p>
        </w:tc>
        <w:tc>
          <w:tcPr>
            <w:tcW w:type="dxa" w:w="3600"/>
          </w:tcPr>
          <w:p>
            <w:pPr>
              <w:spacing w:after="0" w:before="0" w:line="240" w:lineRule="auto"/>
              <w:jc w:val="left"/>
            </w:pPr>
            <w:r>
              <w:t>₹3 lakh</w:t>
            </w:r>
          </w:p>
        </w:tc>
        <w:tc>
          <w:tcPr>
            <w:tcW w:type="dxa" w:w="3600"/>
          </w:tcPr>
          <w:p>
            <w:pPr>
              <w:spacing w:after="0" w:before="0" w:line="240" w:lineRule="auto"/>
              <w:jc w:val="left"/>
            </w:pPr>
            <w:r>
              <w:t>₹3 lakh</w:t>
            </w:r>
          </w:p>
        </w:tc>
      </w:tr>
      <w:tr>
        <w:tc>
          <w:tcPr>
            <w:tcW w:type="dxa" w:w="3600"/>
          </w:tcPr>
          <w:p>
            <w:pPr>
              <w:spacing w:after="0" w:before="0" w:line="240" w:lineRule="auto"/>
              <w:jc w:val="left"/>
            </w:pPr>
            <w:r>
              <w:t>Illustrative total</w:t>
            </w:r>
          </w:p>
        </w:tc>
        <w:tc>
          <w:tcPr>
            <w:tcW w:type="dxa" w:w="3600"/>
          </w:tcPr>
          <w:p>
            <w:pPr>
              <w:spacing w:after="0" w:before="0" w:line="240" w:lineRule="auto"/>
              <w:jc w:val="left"/>
            </w:pPr>
            <w:r>
              <w:t>₹23 lakh</w:t>
            </w:r>
          </w:p>
        </w:tc>
        <w:tc>
          <w:tcPr>
            <w:tcW w:type="dxa" w:w="3600"/>
          </w:tcPr>
          <w:p>
            <w:pPr>
              <w:spacing w:after="0" w:before="0" w:line="240" w:lineRule="auto"/>
              <w:jc w:val="left"/>
            </w:pPr>
            <w:r>
              <w:t>₹18 lakh</w:t>
            </w:r>
          </w:p>
        </w:tc>
      </w:tr>
    </w:tbl>
    <w:p/>
    <w:p>
      <w:r>
        <w:t>These figures are illustrative, not vendor quotations. They show why a higher initial price can produce a lower overall cost when the platform has a longer support horizon and a more economical migration path.</w:t>
      </w:r>
    </w:p>
    <w:p>
      <w:r>
        <w:t>Do not count the same cost twice. For example, if downtime cost already includes production loss during migration, that loss should not be added again under a separate migration-downtime line.</w:t>
      </w:r>
    </w:p>
    <w:p>
      <w:pPr>
        <w:pStyle w:val="Heading2"/>
      </w:pPr>
      <w:r>
        <w:t>14. Obsolescence clauses in technical and commercial specifications</w:t>
      </w:r>
    </w:p>
    <w:p>
      <w:r>
        <w:t>The procurement documents should establish responsibilities before the purchase order is released.</w:t>
      </w:r>
    </w:p>
    <w:p>
      <w:r>
        <w:t>Important clauses include:</w:t>
      </w:r>
    </w:p>
    <w:p>
      <w:pPr>
        <w:pStyle w:val="ListBullet"/>
      </w:pPr>
      <w:r>
        <w:t>Supplier must disclose discontinued, mature, or near-end-of-support products at the time of bidding.</w:t>
      </w:r>
    </w:p>
    <w:p>
      <w:pPr>
        <w:pStyle w:val="ListBullet"/>
      </w:pPr>
      <w:r>
        <w:t>Supplier must identify the manufacturer, exact model, revision, firmware, and software dependencies.</w:t>
      </w:r>
    </w:p>
    <w:p>
      <w:pPr>
        <w:pStyle w:val="ListBullet"/>
      </w:pPr>
      <w:r>
        <w:t>Supplier must notify the purchaser of lifecycle changes during the agreed notification period.</w:t>
      </w:r>
    </w:p>
    <w:p>
      <w:pPr>
        <w:pStyle w:val="ListBullet"/>
      </w:pPr>
      <w:r>
        <w:t>Supplier must provide available lifecycle notices and successor-product information.</w:t>
      </w:r>
    </w:p>
    <w:p>
      <w:pPr>
        <w:pStyle w:val="ListBullet"/>
      </w:pPr>
      <w:r>
        <w:t>Supplier must identify replacement compatibility limitations.</w:t>
      </w:r>
    </w:p>
    <w:p>
      <w:pPr>
        <w:pStyle w:val="ListBullet"/>
      </w:pPr>
      <w:r>
        <w:t>Supplier must provide migration documentation and technical assistance under defined conditions.</w:t>
      </w:r>
    </w:p>
    <w:p>
      <w:pPr>
        <w:pStyle w:val="ListBullet"/>
      </w:pPr>
      <w:r>
        <w:t>Supplier must clarify spare-parts availability commitments and their duration.</w:t>
      </w:r>
    </w:p>
    <w:p>
      <w:pPr>
        <w:pStyle w:val="ListBullet"/>
      </w:pPr>
      <w:r>
        <w:t>Supplier must document software license ownership, transferability, and recovery arrangements.</w:t>
      </w:r>
    </w:p>
    <w:p>
      <w:pPr>
        <w:pStyle w:val="ListBullet"/>
      </w:pPr>
      <w:r>
        <w:t>Supplier must identify any proprietary interfaces, tools, or dependencies.</w:t>
      </w:r>
    </w:p>
    <w:p>
      <w:pPr>
        <w:pStyle w:val="ListBullet"/>
      </w:pPr>
      <w:r>
        <w:t>Supplier must provide cybersecurity support information relevant to the offered platform.</w:t>
      </w:r>
    </w:p>
    <w:p>
      <w:pPr>
        <w:pStyle w:val="ListBullet"/>
      </w:pPr>
      <w:r>
        <w:t>Supplier must state exclusions, assumptions, and additional costs.</w:t>
      </w:r>
    </w:p>
    <w:p>
      <w:pPr>
        <w:pStyle w:val="ListBullet"/>
      </w:pPr>
      <w:r>
        <w:t>Supplier must deliver agreed backups, native engineering files, drawings, and configuration records.</w:t>
      </w:r>
    </w:p>
    <w:p>
      <w:r>
        <w:t>Procurement principle: A requirement for spare availability is not the same as a guaranteed spare availability period. The commitment should define the covered products, duration, exclusions, and remedy if the commitment cannot be met.</w:t>
      </w:r>
    </w:p>
    <w:p>
      <w:pPr>
        <w:pStyle w:val="Heading2"/>
      </w:pPr>
      <w:r>
        <w:t>15. Obsolescence comparison matrix</w:t>
      </w:r>
    </w:p>
    <w:p>
      <w:r>
        <w:t>Use a consistent matrix to compare competing bids. Score only against documented evidence.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Evaluation criterion</w:t>
            </w:r>
          </w:p>
        </w:tc>
        <w:tc>
          <w:tcPr>
            <w:tcW w:type="dxa" w:w="3600"/>
            <w:shd w:val="clear" w:color="auto" w:fill="EEF2F7"/>
          </w:tcPr>
          <w:p>
            <w:pPr>
              <w:spacing w:after="0" w:before="0" w:line="240" w:lineRule="auto"/>
              <w:jc w:val="left"/>
            </w:pPr>
            <w:r>
              <w:rPr>
                <w:b/>
                <w:color w:val="1A2E4A"/>
              </w:rPr>
              <w:t>Weight example</w:t>
            </w:r>
          </w:p>
        </w:tc>
        <w:tc>
          <w:tcPr>
            <w:tcW w:type="dxa" w:w="3600"/>
            <w:shd w:val="clear" w:color="auto" w:fill="EEF2F7"/>
          </w:tcPr>
          <w:p>
            <w:pPr>
              <w:spacing w:after="0" w:before="0" w:line="240" w:lineRule="auto"/>
              <w:jc w:val="left"/>
            </w:pPr>
            <w:r>
              <w:rPr>
                <w:b/>
                <w:color w:val="1A2E4A"/>
              </w:rPr>
              <w:t>Evidence required</w:t>
            </w:r>
          </w:p>
        </w:tc>
      </w:tr>
      <w:tr>
        <w:tc>
          <w:tcPr>
            <w:tcW w:type="dxa" w:w="3600"/>
          </w:tcPr>
          <w:p>
            <w:pPr>
              <w:spacing w:after="0" w:before="0" w:line="240" w:lineRule="auto"/>
              <w:jc w:val="left"/>
            </w:pPr>
            <w:r>
              <w:t>Current lifecycle status</w:t>
            </w:r>
          </w:p>
        </w:tc>
        <w:tc>
          <w:tcPr>
            <w:tcW w:type="dxa" w:w="3600"/>
          </w:tcPr>
          <w:p>
            <w:pPr>
              <w:spacing w:after="0" w:before="0" w:line="240" w:lineRule="auto"/>
              <w:jc w:val="left"/>
            </w:pPr>
            <w:r>
              <w:t>15%</w:t>
            </w:r>
          </w:p>
        </w:tc>
        <w:tc>
          <w:tcPr>
            <w:tcW w:type="dxa" w:w="3600"/>
          </w:tcPr>
          <w:p>
            <w:pPr>
              <w:spacing w:after="0" w:before="0" w:line="240" w:lineRule="auto"/>
              <w:jc w:val="left"/>
            </w:pPr>
            <w:r>
              <w:t>Manufacturer lifecycle statement</w:t>
            </w:r>
          </w:p>
        </w:tc>
      </w:tr>
      <w:tr>
        <w:tc>
          <w:tcPr>
            <w:tcW w:type="dxa" w:w="3600"/>
          </w:tcPr>
          <w:p>
            <w:pPr>
              <w:spacing w:after="0" w:before="0" w:line="240" w:lineRule="auto"/>
              <w:jc w:val="left"/>
            </w:pPr>
            <w:r>
              <w:t>Remaining support horizon</w:t>
            </w:r>
          </w:p>
        </w:tc>
        <w:tc>
          <w:tcPr>
            <w:tcW w:type="dxa" w:w="3600"/>
          </w:tcPr>
          <w:p>
            <w:pPr>
              <w:spacing w:after="0" w:before="0" w:line="240" w:lineRule="auto"/>
              <w:jc w:val="left"/>
            </w:pPr>
            <w:r>
              <w:t>20%</w:t>
            </w:r>
          </w:p>
        </w:tc>
        <w:tc>
          <w:tcPr>
            <w:tcW w:type="dxa" w:w="3600"/>
          </w:tcPr>
          <w:p>
            <w:pPr>
              <w:spacing w:after="0" w:before="0" w:line="240" w:lineRule="auto"/>
              <w:jc w:val="left"/>
            </w:pPr>
            <w:r>
              <w:t>Published or written support dates</w:t>
            </w:r>
          </w:p>
        </w:tc>
      </w:tr>
      <w:tr>
        <w:tc>
          <w:tcPr>
            <w:tcW w:type="dxa" w:w="3600"/>
          </w:tcPr>
          <w:p>
            <w:pPr>
              <w:spacing w:after="0" w:before="0" w:line="240" w:lineRule="auto"/>
              <w:jc w:val="left"/>
            </w:pPr>
            <w:r>
              <w:t>Spare-parts strategy</w:t>
            </w:r>
          </w:p>
        </w:tc>
        <w:tc>
          <w:tcPr>
            <w:tcW w:type="dxa" w:w="3600"/>
          </w:tcPr>
          <w:p>
            <w:pPr>
              <w:spacing w:after="0" w:before="0" w:line="240" w:lineRule="auto"/>
              <w:jc w:val="left"/>
            </w:pPr>
            <w:r>
              <w:t>15%</w:t>
            </w:r>
          </w:p>
        </w:tc>
        <w:tc>
          <w:tcPr>
            <w:tcW w:type="dxa" w:w="3600"/>
          </w:tcPr>
          <w:p>
            <w:pPr>
              <w:spacing w:after="0" w:before="0" w:line="240" w:lineRule="auto"/>
              <w:jc w:val="left"/>
            </w:pPr>
            <w:r>
              <w:t>Availability and supply commitments</w:t>
            </w:r>
          </w:p>
        </w:tc>
      </w:tr>
      <w:tr>
        <w:tc>
          <w:tcPr>
            <w:tcW w:type="dxa" w:w="3600"/>
          </w:tcPr>
          <w:p>
            <w:pPr>
              <w:spacing w:after="0" w:before="0" w:line="240" w:lineRule="auto"/>
              <w:jc w:val="left"/>
            </w:pPr>
            <w:r>
              <w:t>Successor compatibility</w:t>
            </w:r>
          </w:p>
        </w:tc>
        <w:tc>
          <w:tcPr>
            <w:tcW w:type="dxa" w:w="3600"/>
          </w:tcPr>
          <w:p>
            <w:pPr>
              <w:spacing w:after="0" w:before="0" w:line="240" w:lineRule="auto"/>
              <w:jc w:val="left"/>
            </w:pPr>
            <w:r>
              <w:t>15%</w:t>
            </w:r>
          </w:p>
        </w:tc>
        <w:tc>
          <w:tcPr>
            <w:tcW w:type="dxa" w:w="3600"/>
          </w:tcPr>
          <w:p>
            <w:pPr>
              <w:spacing w:after="0" w:before="0" w:line="240" w:lineRule="auto"/>
              <w:jc w:val="left"/>
            </w:pPr>
            <w:r>
              <w:t>Migration documentation and compatibility statement</w:t>
            </w:r>
          </w:p>
        </w:tc>
      </w:tr>
      <w:tr>
        <w:tc>
          <w:tcPr>
            <w:tcW w:type="dxa" w:w="3600"/>
          </w:tcPr>
          <w:p>
            <w:pPr>
              <w:spacing w:after="0" w:before="0" w:line="240" w:lineRule="auto"/>
              <w:jc w:val="left"/>
            </w:pPr>
            <w:r>
              <w:t>Software and license continuity</w:t>
            </w:r>
          </w:p>
        </w:tc>
        <w:tc>
          <w:tcPr>
            <w:tcW w:type="dxa" w:w="3600"/>
          </w:tcPr>
          <w:p>
            <w:pPr>
              <w:spacing w:after="0" w:before="0" w:line="240" w:lineRule="auto"/>
              <w:jc w:val="left"/>
            </w:pPr>
            <w:r>
              <w:t>10%</w:t>
            </w:r>
          </w:p>
        </w:tc>
        <w:tc>
          <w:tcPr>
            <w:tcW w:type="dxa" w:w="3600"/>
          </w:tcPr>
          <w:p>
            <w:pPr>
              <w:spacing w:after="0" w:before="0" w:line="240" w:lineRule="auto"/>
              <w:jc w:val="left"/>
            </w:pPr>
            <w:r>
              <w:t>Supported versions and recovery terms</w:t>
            </w:r>
          </w:p>
        </w:tc>
      </w:tr>
      <w:tr>
        <w:tc>
          <w:tcPr>
            <w:tcW w:type="dxa" w:w="3600"/>
          </w:tcPr>
          <w:p>
            <w:pPr>
              <w:spacing w:after="0" w:before="0" w:line="240" w:lineRule="auto"/>
              <w:jc w:val="left"/>
            </w:pPr>
            <w:r>
              <w:t>Cybersecurity lifecycle</w:t>
            </w:r>
          </w:p>
        </w:tc>
        <w:tc>
          <w:tcPr>
            <w:tcW w:type="dxa" w:w="3600"/>
          </w:tcPr>
          <w:p>
            <w:pPr>
              <w:spacing w:after="0" w:before="0" w:line="240" w:lineRule="auto"/>
              <w:jc w:val="left"/>
            </w:pPr>
            <w:r>
              <w:t>10%</w:t>
            </w:r>
          </w:p>
        </w:tc>
        <w:tc>
          <w:tcPr>
            <w:tcW w:type="dxa" w:w="3600"/>
          </w:tcPr>
          <w:p>
            <w:pPr>
              <w:spacing w:after="0" w:before="0" w:line="240" w:lineRule="auto"/>
              <w:jc w:val="left"/>
            </w:pPr>
            <w:r>
              <w:t>Update and vulnerability-support policy</w:t>
            </w:r>
          </w:p>
        </w:tc>
      </w:tr>
      <w:tr>
        <w:tc>
          <w:tcPr>
            <w:tcW w:type="dxa" w:w="3600"/>
          </w:tcPr>
          <w:p>
            <w:pPr>
              <w:spacing w:after="0" w:before="0" w:line="240" w:lineRule="auto"/>
              <w:jc w:val="left"/>
            </w:pPr>
            <w:r>
              <w:t>Migration cost and complexity</w:t>
            </w:r>
          </w:p>
        </w:tc>
        <w:tc>
          <w:tcPr>
            <w:tcW w:type="dxa" w:w="3600"/>
          </w:tcPr>
          <w:p>
            <w:pPr>
              <w:spacing w:after="0" w:before="0" w:line="240" w:lineRule="auto"/>
              <w:jc w:val="left"/>
            </w:pPr>
            <w:r>
              <w:t>10%</w:t>
            </w:r>
          </w:p>
        </w:tc>
        <w:tc>
          <w:tcPr>
            <w:tcW w:type="dxa" w:w="3600"/>
          </w:tcPr>
          <w:p>
            <w:pPr>
              <w:spacing w:after="0" w:before="0" w:line="240" w:lineRule="auto"/>
              <w:jc w:val="left"/>
            </w:pPr>
            <w:r>
              <w:t>Migration scope, estimate, and test requirements</w:t>
            </w:r>
          </w:p>
        </w:tc>
      </w:tr>
      <w:tr>
        <w:tc>
          <w:tcPr>
            <w:tcW w:type="dxa" w:w="3600"/>
          </w:tcPr>
          <w:p>
            <w:pPr>
              <w:spacing w:after="0" w:before="0" w:line="240" w:lineRule="auto"/>
              <w:jc w:val="left"/>
            </w:pPr>
            <w:r>
              <w:t>Lifecycle notification</w:t>
            </w:r>
          </w:p>
        </w:tc>
        <w:tc>
          <w:tcPr>
            <w:tcW w:type="dxa" w:w="3600"/>
          </w:tcPr>
          <w:p>
            <w:pPr>
              <w:spacing w:after="0" w:before="0" w:line="240" w:lineRule="auto"/>
              <w:jc w:val="left"/>
            </w:pPr>
            <w:r>
              <w:t>5%</w:t>
            </w:r>
          </w:p>
        </w:tc>
        <w:tc>
          <w:tcPr>
            <w:tcW w:type="dxa" w:w="3600"/>
          </w:tcPr>
          <w:p>
            <w:pPr>
              <w:spacing w:after="0" w:before="0" w:line="240" w:lineRule="auto"/>
              <w:jc w:val="left"/>
            </w:pPr>
            <w:r>
              <w:t>Written contractual commitment</w:t>
            </w:r>
          </w:p>
        </w:tc>
      </w:tr>
    </w:tbl>
    <w:p/>
    <w:p>
      <w:r>
        <w:t>A weighted score can be calculated as:</w:t>
      </w:r>
    </w:p>
    <w:p>
      <w:pPr>
        <w:spacing w:before="120" w:after="160"/>
        <w:jc w:val="center"/>
      </w:pPr>
      <m:oMathPara>
        <m:oMath>
          <m:r>
            <m:rPr>
              <m:nor/>
            </m:rPr>
            <m:t>Weighted Score</m:t>
          </m:r>
          <m:r>
            <m:t>=</m:t>
          </m:r>
          <m:nary>
            <m:naryPr>
              <m:chr m:val="∑"/>
              <m:limLoc m:val="subSup"/>
              <m:grow m:val="1"/>
              <m:subHide m:val="off"/>
              <m:supHide m:val="off"/>
            </m:naryPr>
            <m:sub>
              <m:r>
                <m:t>i=1</m:t>
              </m:r>
            </m:sub>
            <m:sup>
              <m:r>
                <m:t>n</m:t>
              </m:r>
            </m:sup>
            <m:e>
              <m:sSub>
                <m:e>
                  <m:r>
                    <m:t>w</m:t>
                  </m:r>
                </m:e>
                <m:sub>
                  <m:r>
                    <m:t>i</m:t>
                  </m:r>
                </m:sub>
              </m:sSub>
            </m:e>
          </m:nary>
          <m:sSub>
            <m:e>
              <m:r>
                <m:t>s</m:t>
              </m:r>
            </m:e>
            <m:sub>
              <m:r>
                <m:t>i</m:t>
              </m:r>
            </m:sub>
          </m:sSub>
        </m:oMath>
      </m:oMathPara>
    </w:p>
    <w:p>
      <w:r>
        <w:t xml:space="preserve">Here, </w:t>
      </w:r>
      <m:oMath>
        <m:sSub>
          <m:e>
            <m:r>
              <m:t>w</m:t>
            </m:r>
          </m:e>
          <m:sub>
            <m:r>
              <m:t>i</m:t>
            </m:r>
          </m:sub>
        </m:sSub>
      </m:oMath>
      <w:r>
        <w:t xml:space="preserve"> is the criterion's weight expressed as a fraction and </w:t>
      </w:r>
      <m:oMath>
        <m:sSub>
          <m:e>
            <m:r>
              <m:t>s</m:t>
            </m:r>
          </m:e>
          <m:sub>
            <m:r>
              <m:t>i</m:t>
            </m:r>
          </m:sub>
        </m:sSub>
      </m:oMath>
      <w:r>
        <w:t xml:space="preserve"> is its rating on the chosen scoring scale. The weights must sum to 1.</w:t>
      </w:r>
    </w:p>
    <w:p>
      <w:r>
        <w:t>This example is a starting point, not a universal weighting. The organization should adjust the criteria to suit the equipment's criticality and intended service life.</w:t>
      </w:r>
    </w:p>
    <w:p>
      <w:r>
        <w:t>Mandatory safety, legal, and cybersecurity requirements should remain pass/fail gates. A high weighted score must not compensate for a mandatory failure.</w:t>
      </w:r>
    </w:p>
    <w:p>
      <w:pPr>
        <w:pStyle w:val="Heading2"/>
      </w:pPr>
      <w:r>
        <w:t>16. Worked industrial examples</w:t>
      </w:r>
    </w:p>
    <w:p>
      <w:pPr>
        <w:pStyle w:val="Heading3"/>
      </w:pPr>
      <w:r>
        <w:t>Example 1: Discontinued PLC module</w:t>
      </w:r>
    </w:p>
    <w:p>
      <w:r>
        <w:t>A production machine uses a discontinued digital input module. The module fails, and the original replacement is unavailable through the normal supply channel.</w:t>
      </w:r>
    </w:p>
    <w:p>
      <w:r>
        <w:t>A controlled response is to:</w:t>
      </w:r>
    </w:p>
    <w:p>
      <w:pPr>
        <w:tabs>
          <w:tab w:pos="403" w:val="left"/>
        </w:tabs>
        <w:spacing w:after="40" w:line="276" w:lineRule="auto"/>
        <w:ind w:left="403" w:hanging="403"/>
        <w:jc w:val="left"/>
      </w:pPr>
      <w:r>
        <w:rPr>
          <w:color w:val="1A2E4A"/>
        </w:rPr>
        <w:t>1.</w:t>
        <w:tab/>
      </w:r>
      <w:r>
        <w:t>Verify the exact catalog number, revision, wiring, and failure evidence.</w:t>
      </w:r>
    </w:p>
    <w:p>
      <w:pPr>
        <w:tabs>
          <w:tab w:pos="403" w:val="left"/>
        </w:tabs>
        <w:spacing w:after="40" w:line="276" w:lineRule="auto"/>
        <w:ind w:left="403" w:hanging="403"/>
        <w:jc w:val="left"/>
      </w:pPr>
      <w:r>
        <w:rPr>
          <w:color w:val="1A2E4A"/>
        </w:rPr>
        <w:t>2.</w:t>
        <w:tab/>
      </w:r>
      <w:r>
        <w:t>Check authorized stock and repair options.</w:t>
      </w:r>
    </w:p>
    <w:p>
      <w:pPr>
        <w:tabs>
          <w:tab w:pos="403" w:val="left"/>
        </w:tabs>
        <w:spacing w:after="40" w:line="276" w:lineRule="auto"/>
        <w:ind w:left="403" w:hanging="403"/>
        <w:jc w:val="left"/>
      </w:pPr>
      <w:r>
        <w:rPr>
          <w:color w:val="1A2E4A"/>
        </w:rPr>
        <w:t>3.</w:t>
        <w:tab/>
      </w:r>
      <w:r>
        <w:t>Identify manufacturer-approved successor modules.</w:t>
      </w:r>
    </w:p>
    <w:p>
      <w:pPr>
        <w:tabs>
          <w:tab w:pos="403" w:val="left"/>
        </w:tabs>
        <w:spacing w:after="40" w:line="276" w:lineRule="auto"/>
        <w:ind w:left="403" w:hanging="403"/>
        <w:jc w:val="left"/>
      </w:pPr>
      <w:r>
        <w:rPr>
          <w:color w:val="1A2E4A"/>
        </w:rPr>
        <w:t>4.</w:t>
        <w:tab/>
      </w:r>
      <w:r>
        <w:t>Confirm chassis, backplane, firmware, configuration, and electrical compatibility.</w:t>
      </w:r>
    </w:p>
    <w:p>
      <w:pPr>
        <w:tabs>
          <w:tab w:pos="403" w:val="left"/>
        </w:tabs>
        <w:spacing w:after="40" w:line="276" w:lineRule="auto"/>
        <w:ind w:left="403" w:hanging="403"/>
        <w:jc w:val="left"/>
      </w:pPr>
      <w:r>
        <w:rPr>
          <w:color w:val="1A2E4A"/>
        </w:rPr>
        <w:t>5.</w:t>
        <w:tab/>
      </w:r>
      <w:r>
        <w:t>Check whether the replacement changes input characteristics or diagnostic behavior.</w:t>
      </w:r>
    </w:p>
    <w:p>
      <w:pPr>
        <w:tabs>
          <w:tab w:pos="403" w:val="left"/>
        </w:tabs>
        <w:spacing w:after="40" w:line="276" w:lineRule="auto"/>
        <w:ind w:left="403" w:hanging="403"/>
        <w:jc w:val="left"/>
      </w:pPr>
      <w:r>
        <w:rPr>
          <w:color w:val="1A2E4A"/>
        </w:rPr>
        <w:t>6.</w:t>
        <w:tab/>
      </w:r>
      <w:r>
        <w:t>Back up the controller project and document the existing configuration.</w:t>
      </w:r>
    </w:p>
    <w:p>
      <w:pPr>
        <w:tabs>
          <w:tab w:pos="403" w:val="left"/>
        </w:tabs>
        <w:spacing w:after="40" w:line="276" w:lineRule="auto"/>
        <w:ind w:left="403" w:hanging="403"/>
        <w:jc w:val="left"/>
      </w:pPr>
      <w:r>
        <w:rPr>
          <w:color w:val="1A2E4A"/>
        </w:rPr>
        <w:t>7.</w:t>
        <w:tab/>
      </w:r>
      <w:r>
        <w:t>Replace the module under the approved isolation procedure.</w:t>
      </w:r>
    </w:p>
    <w:p>
      <w:pPr>
        <w:tabs>
          <w:tab w:pos="403" w:val="left"/>
        </w:tabs>
        <w:spacing w:after="40" w:line="276" w:lineRule="auto"/>
        <w:ind w:left="403" w:hanging="403"/>
        <w:jc w:val="left"/>
      </w:pPr>
      <w:r>
        <w:rPr>
          <w:color w:val="1A2E4A"/>
        </w:rPr>
        <w:t>8.</w:t>
        <w:tab/>
      </w:r>
      <w:r>
        <w:t>Test all affected inputs, interlocks, alarms, and machine sequences.</w:t>
      </w:r>
    </w:p>
    <w:p>
      <w:pPr>
        <w:tabs>
          <w:tab w:pos="403" w:val="left"/>
        </w:tabs>
        <w:spacing w:after="40" w:line="276" w:lineRule="auto"/>
        <w:ind w:left="403" w:hanging="403"/>
        <w:jc w:val="left"/>
      </w:pPr>
      <w:r>
        <w:rPr>
          <w:color w:val="1A2E4A"/>
        </w:rPr>
        <w:t>9.</w:t>
        <w:tab/>
      </w:r>
      <w:r>
        <w:t>Update the spare inventory and obsolescence register.</w:t>
      </w:r>
    </w:p>
    <w:p>
      <w:pPr>
        <w:tabs>
          <w:tab w:pos="403" w:val="left"/>
        </w:tabs>
        <w:spacing w:after="40" w:line="276" w:lineRule="auto"/>
        <w:ind w:left="403" w:hanging="403"/>
        <w:jc w:val="left"/>
      </w:pPr>
      <w:r>
        <w:rPr>
          <w:color w:val="1A2E4A"/>
        </w:rPr>
        <w:t>10.</w:t>
        <w:tab/>
      </w:r>
      <w:r>
        <w:t>Decide whether a planned platform migration is required.</w:t>
      </w:r>
    </w:p>
    <w:p>
      <w:r>
        <w:t>Installing a module that merely fits the chassis is not proof that it is electrically or functionally compatible.</w:t>
      </w:r>
    </w:p>
    <w:p>
      <w:pPr>
        <w:pStyle w:val="Heading3"/>
      </w:pPr>
      <w:r>
        <w:t>Example 2: HMI operating system becomes unsupported</w:t>
      </w:r>
    </w:p>
    <w:p>
      <w:r>
        <w:t>An HMI application runs on an industrial PC whose operating system is no longer supported.</w:t>
      </w:r>
    </w:p>
    <w:p>
      <w:r>
        <w:t>Potential responses include migrating to a supported operating system, replacing the industrial PC, upgrading the runtime, or modernizing the HMI platform.</w:t>
      </w:r>
    </w:p>
    <w:p>
      <w:r>
        <w:t>Before selecting an option, verify application compatibility, communication drivers, licenses, screen behavior, alarm history, recipe handling, security controls, and restoration capability. Validate the solution before production release.</w:t>
      </w:r>
    </w:p>
    <w:p>
      <w:pPr>
        <w:pStyle w:val="Heading3"/>
      </w:pPr>
      <w:r>
        <w:t>Example 3: VFD successor requires parameter conversion</w:t>
      </w:r>
    </w:p>
    <w:p>
      <w:r>
        <w:t>A discontinued VFD is replaced by a newer product family. The new drive has different parameter numbering and a different communication interface.</w:t>
      </w:r>
    </w:p>
    <w:p>
      <w:r>
        <w:t>The migration plan should map old parameters to new ones, verify motor and load ratings, configure communication, check control modes, tune the application, and validate stopping behavior and safety functions. A parameter backup from the old drive is a reference, not necessarily a directly restorable configuration for the new drive.</w:t>
      </w:r>
    </w:p>
    <w:p>
      <w:pPr>
        <w:pStyle w:val="Heading3"/>
      </w:pPr>
      <w:r>
        <w:t>Example 4: CNC controller platform reaches end of support</w:t>
      </w:r>
    </w:p>
    <w:p>
      <w:r>
        <w:t>A CNC machine is mechanically healthy, but its controller and associated drives are no longer supported.</w:t>
      </w:r>
    </w:p>
    <w:p>
      <w:r>
        <w:t>The decision should compare continued operation with strategic spares, repair or exchange services, a controller retrofit, and a complete control modernization. The assessment must include machine-builder logic, axis and spindle interfaces, feedback systems, machine parameters, tool compensation, accuracy validation, and production downtime.</w:t>
      </w:r>
    </w:p>
    <w:p>
      <w:r>
        <w:t>A controller retrofit can become a machine re-engineering project. Its cost and risk should be evaluated accordingly.</w:t>
      </w:r>
    </w:p>
    <w:p>
      <w:pPr>
        <w:pStyle w:val="Heading2"/>
      </w:pPr>
      <w:r>
        <w:t>17. Obsolescence register</w:t>
      </w:r>
    </w:p>
    <w:p>
      <w:r>
        <w:t>Maintain a register that links lifecycle information to the installed equipment and its operational risk.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Asset ID</w:t>
            </w:r>
          </w:p>
        </w:tc>
        <w:tc>
          <w:tcPr>
            <w:tcW w:type="dxa" w:w="5400"/>
          </w:tcPr>
          <w:p>
            <w:pPr>
              <w:spacing w:after="0" w:before="0" w:line="240" w:lineRule="auto"/>
              <w:jc w:val="left"/>
            </w:pPr>
            <w:r>
              <w:t>Identify the machine or production asset</w:t>
            </w:r>
          </w:p>
        </w:tc>
      </w:tr>
      <w:tr>
        <w:tc>
          <w:tcPr>
            <w:tcW w:type="dxa" w:w="5400"/>
          </w:tcPr>
          <w:p>
            <w:pPr>
              <w:spacing w:after="0" w:before="0" w:line="240" w:lineRule="auto"/>
              <w:jc w:val="left"/>
            </w:pPr>
            <w:r>
              <w:t>Installed location</w:t>
            </w:r>
          </w:p>
        </w:tc>
        <w:tc>
          <w:tcPr>
            <w:tcW w:type="dxa" w:w="5400"/>
          </w:tcPr>
          <w:p>
            <w:pPr>
              <w:spacing w:after="0" w:before="0" w:line="240" w:lineRule="auto"/>
              <w:jc w:val="left"/>
            </w:pPr>
            <w:r>
              <w:t>Find the equipment in the plant</w:t>
            </w:r>
          </w:p>
        </w:tc>
      </w:tr>
      <w:tr>
        <w:tc>
          <w:tcPr>
            <w:tcW w:type="dxa" w:w="5400"/>
          </w:tcPr>
          <w:p>
            <w:pPr>
              <w:spacing w:after="0" w:before="0" w:line="240" w:lineRule="auto"/>
              <w:jc w:val="left"/>
            </w:pPr>
            <w:r>
              <w:t>Component category</w:t>
            </w:r>
          </w:p>
        </w:tc>
        <w:tc>
          <w:tcPr>
            <w:tcW w:type="dxa" w:w="5400"/>
          </w:tcPr>
          <w:p>
            <w:pPr>
              <w:spacing w:after="0" w:before="0" w:line="240" w:lineRule="auto"/>
              <w:jc w:val="left"/>
            </w:pPr>
            <w:r>
              <w:t>Identify PLC, HMI, drive, CNC, PC, or other device</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Establish exact product identity</w:t>
            </w:r>
          </w:p>
        </w:tc>
      </w:tr>
      <w:tr>
        <w:tc>
          <w:tcPr>
            <w:tcW w:type="dxa" w:w="5400"/>
          </w:tcPr>
          <w:p>
            <w:pPr>
              <w:spacing w:after="0" w:before="0" w:line="240" w:lineRule="auto"/>
              <w:jc w:val="left"/>
            </w:pPr>
            <w:r>
              <w:t>Hardware revision</w:t>
            </w:r>
          </w:p>
        </w:tc>
        <w:tc>
          <w:tcPr>
            <w:tcW w:type="dxa" w:w="5400"/>
          </w:tcPr>
          <w:p>
            <w:pPr>
              <w:spacing w:after="0" w:before="0" w:line="240" w:lineRule="auto"/>
              <w:jc w:val="left"/>
            </w:pPr>
            <w:r>
              <w:t>Distinguish compatible variants</w:t>
            </w:r>
          </w:p>
        </w:tc>
      </w:tr>
      <w:tr>
        <w:tc>
          <w:tcPr>
            <w:tcW w:type="dxa" w:w="5400"/>
          </w:tcPr>
          <w:p>
            <w:pPr>
              <w:spacing w:after="0" w:before="0" w:line="240" w:lineRule="auto"/>
              <w:jc w:val="left"/>
            </w:pPr>
            <w:r>
              <w:t>Firmware and software versions</w:t>
            </w:r>
          </w:p>
        </w:tc>
        <w:tc>
          <w:tcPr>
            <w:tcW w:type="dxa" w:w="5400"/>
          </w:tcPr>
          <w:p>
            <w:pPr>
              <w:spacing w:after="0" w:before="0" w:line="240" w:lineRule="auto"/>
              <w:jc w:val="left"/>
            </w:pPr>
            <w:r>
              <w:t>Identify technical dependencies</w:t>
            </w:r>
          </w:p>
        </w:tc>
      </w:tr>
      <w:tr>
        <w:tc>
          <w:tcPr>
            <w:tcW w:type="dxa" w:w="5400"/>
          </w:tcPr>
          <w:p>
            <w:pPr>
              <w:spacing w:after="0" w:before="0" w:line="240" w:lineRule="auto"/>
              <w:jc w:val="left"/>
            </w:pPr>
            <w:r>
              <w:t>Lifecycle status</w:t>
            </w:r>
          </w:p>
        </w:tc>
        <w:tc>
          <w:tcPr>
            <w:tcW w:type="dxa" w:w="5400"/>
          </w:tcPr>
          <w:p>
            <w:pPr>
              <w:spacing w:after="0" w:before="0" w:line="240" w:lineRule="auto"/>
              <w:jc w:val="left"/>
            </w:pPr>
            <w:r>
              <w:t>Record active, discontinued, or unsupported status</w:t>
            </w:r>
          </w:p>
        </w:tc>
      </w:tr>
      <w:tr>
        <w:tc>
          <w:tcPr>
            <w:tcW w:type="dxa" w:w="5400"/>
          </w:tcPr>
          <w:p>
            <w:pPr>
              <w:spacing w:after="0" w:before="0" w:line="240" w:lineRule="auto"/>
              <w:jc w:val="left"/>
            </w:pPr>
            <w:r>
              <w:t>End-of-sale date</w:t>
            </w:r>
          </w:p>
        </w:tc>
        <w:tc>
          <w:tcPr>
            <w:tcW w:type="dxa" w:w="5400"/>
          </w:tcPr>
          <w:p>
            <w:pPr>
              <w:spacing w:after="0" w:before="0" w:line="240" w:lineRule="auto"/>
              <w:jc w:val="left"/>
            </w:pPr>
            <w:r>
              <w:t>Track purchasing deadline</w:t>
            </w:r>
          </w:p>
        </w:tc>
      </w:tr>
      <w:tr>
        <w:tc>
          <w:tcPr>
            <w:tcW w:type="dxa" w:w="5400"/>
          </w:tcPr>
          <w:p>
            <w:pPr>
              <w:spacing w:after="0" w:before="0" w:line="240" w:lineRule="auto"/>
              <w:jc w:val="left"/>
            </w:pPr>
            <w:r>
              <w:t>End-of-support date</w:t>
            </w:r>
          </w:p>
        </w:tc>
        <w:tc>
          <w:tcPr>
            <w:tcW w:type="dxa" w:w="5400"/>
          </w:tcPr>
          <w:p>
            <w:pPr>
              <w:spacing w:after="0" w:before="0" w:line="240" w:lineRule="auto"/>
              <w:jc w:val="left"/>
            </w:pPr>
            <w:r>
              <w:t>Track service and update deadline</w:t>
            </w:r>
          </w:p>
        </w:tc>
      </w:tr>
      <w:tr>
        <w:tc>
          <w:tcPr>
            <w:tcW w:type="dxa" w:w="5400"/>
          </w:tcPr>
          <w:p>
            <w:pPr>
              <w:spacing w:after="0" w:before="0" w:line="240" w:lineRule="auto"/>
              <w:jc w:val="left"/>
            </w:pPr>
            <w:r>
              <w:t>Criticality</w:t>
            </w:r>
          </w:p>
        </w:tc>
        <w:tc>
          <w:tcPr>
            <w:tcW w:type="dxa" w:w="5400"/>
          </w:tcPr>
          <w:p>
            <w:pPr>
              <w:spacing w:after="0" w:before="0" w:line="240" w:lineRule="auto"/>
              <w:jc w:val="left"/>
            </w:pPr>
            <w:r>
              <w:t>Record production consequence</w:t>
            </w:r>
          </w:p>
        </w:tc>
      </w:tr>
      <w:tr>
        <w:tc>
          <w:tcPr>
            <w:tcW w:type="dxa" w:w="5400"/>
          </w:tcPr>
          <w:p>
            <w:pPr>
              <w:spacing w:after="0" w:before="0" w:line="240" w:lineRule="auto"/>
              <w:jc w:val="left"/>
            </w:pPr>
            <w:r>
              <w:t>Spare status</w:t>
            </w:r>
          </w:p>
        </w:tc>
        <w:tc>
          <w:tcPr>
            <w:tcW w:type="dxa" w:w="5400"/>
          </w:tcPr>
          <w:p>
            <w:pPr>
              <w:spacing w:after="0" w:before="0" w:line="240" w:lineRule="auto"/>
              <w:jc w:val="left"/>
            </w:pPr>
            <w:r>
              <w:t>Record quantity, location, and condition</w:t>
            </w:r>
          </w:p>
        </w:tc>
      </w:tr>
      <w:tr>
        <w:tc>
          <w:tcPr>
            <w:tcW w:type="dxa" w:w="5400"/>
          </w:tcPr>
          <w:p>
            <w:pPr>
              <w:spacing w:after="0" w:before="0" w:line="240" w:lineRule="auto"/>
              <w:jc w:val="left"/>
            </w:pPr>
            <w:r>
              <w:t>Successor model</w:t>
            </w:r>
          </w:p>
        </w:tc>
        <w:tc>
          <w:tcPr>
            <w:tcW w:type="dxa" w:w="5400"/>
          </w:tcPr>
          <w:p>
            <w:pPr>
              <w:spacing w:after="0" w:before="0" w:line="240" w:lineRule="auto"/>
              <w:jc w:val="left"/>
            </w:pPr>
            <w:r>
              <w:t>Identify a potential replacement</w:t>
            </w:r>
          </w:p>
        </w:tc>
      </w:tr>
      <w:tr>
        <w:tc>
          <w:tcPr>
            <w:tcW w:type="dxa" w:w="5400"/>
          </w:tcPr>
          <w:p>
            <w:pPr>
              <w:spacing w:after="0" w:before="0" w:line="240" w:lineRule="auto"/>
              <w:jc w:val="left"/>
            </w:pPr>
            <w:r>
              <w:t>Compatibility status</w:t>
            </w:r>
          </w:p>
        </w:tc>
        <w:tc>
          <w:tcPr>
            <w:tcW w:type="dxa" w:w="5400"/>
          </w:tcPr>
          <w:p>
            <w:pPr>
              <w:spacing w:after="0" w:before="0" w:line="240" w:lineRule="auto"/>
              <w:jc w:val="left"/>
            </w:pPr>
            <w:r>
              <w:t>Record verified, conditional, or unverified compatibility</w:t>
            </w:r>
          </w:p>
        </w:tc>
      </w:tr>
      <w:tr>
        <w:tc>
          <w:tcPr>
            <w:tcW w:type="dxa" w:w="5400"/>
          </w:tcPr>
          <w:p>
            <w:pPr>
              <w:spacing w:after="0" w:before="0" w:line="240" w:lineRule="auto"/>
              <w:jc w:val="left"/>
            </w:pPr>
            <w:r>
              <w:t>Migration estimate</w:t>
            </w:r>
          </w:p>
        </w:tc>
        <w:tc>
          <w:tcPr>
            <w:tcW w:type="dxa" w:w="5400"/>
          </w:tcPr>
          <w:p>
            <w:pPr>
              <w:spacing w:after="0" w:before="0" w:line="240" w:lineRule="auto"/>
              <w:jc w:val="left"/>
            </w:pPr>
            <w:r>
              <w:t>Estimate cost and engineering effort</w:t>
            </w:r>
          </w:p>
        </w:tc>
      </w:tr>
      <w:tr>
        <w:tc>
          <w:tcPr>
            <w:tcW w:type="dxa" w:w="5400"/>
          </w:tcPr>
          <w:p>
            <w:pPr>
              <w:spacing w:after="0" w:before="0" w:line="240" w:lineRule="auto"/>
              <w:jc w:val="left"/>
            </w:pPr>
            <w:r>
              <w:t>Risk owner</w:t>
            </w:r>
          </w:p>
        </w:tc>
        <w:tc>
          <w:tcPr>
            <w:tcW w:type="dxa" w:w="5400"/>
          </w:tcPr>
          <w:p>
            <w:pPr>
              <w:spacing w:after="0" w:before="0" w:line="240" w:lineRule="auto"/>
              <w:jc w:val="left"/>
            </w:pPr>
            <w:r>
              <w:t>Assign accountability</w:t>
            </w:r>
          </w:p>
        </w:tc>
      </w:tr>
      <w:tr>
        <w:tc>
          <w:tcPr>
            <w:tcW w:type="dxa" w:w="5400"/>
          </w:tcPr>
          <w:p>
            <w:pPr>
              <w:spacing w:after="0" w:before="0" w:line="240" w:lineRule="auto"/>
              <w:jc w:val="left"/>
            </w:pPr>
            <w:r>
              <w:t>Mitigation action</w:t>
            </w:r>
          </w:p>
        </w:tc>
        <w:tc>
          <w:tcPr>
            <w:tcW w:type="dxa" w:w="5400"/>
          </w:tcPr>
          <w:p>
            <w:pPr>
              <w:spacing w:after="0" w:before="0" w:line="240" w:lineRule="auto"/>
              <w:jc w:val="left"/>
            </w:pPr>
            <w:r>
              <w:t>Define the selected strategy</w:t>
            </w:r>
          </w:p>
        </w:tc>
      </w:tr>
      <w:tr>
        <w:tc>
          <w:tcPr>
            <w:tcW w:type="dxa" w:w="5400"/>
          </w:tcPr>
          <w:p>
            <w:pPr>
              <w:spacing w:after="0" w:before="0" w:line="240" w:lineRule="auto"/>
              <w:jc w:val="left"/>
            </w:pPr>
            <w:r>
              <w:t>Target date</w:t>
            </w:r>
          </w:p>
        </w:tc>
        <w:tc>
          <w:tcPr>
            <w:tcW w:type="dxa" w:w="5400"/>
          </w:tcPr>
          <w:p>
            <w:pPr>
              <w:spacing w:after="0" w:before="0" w:line="240" w:lineRule="auto"/>
              <w:jc w:val="left"/>
            </w:pPr>
            <w:r>
              <w:t>Set the required completion date</w:t>
            </w:r>
          </w:p>
        </w:tc>
      </w:tr>
      <w:tr>
        <w:tc>
          <w:tcPr>
            <w:tcW w:type="dxa" w:w="5400"/>
          </w:tcPr>
          <w:p>
            <w:pPr>
              <w:spacing w:after="0" w:before="0" w:line="240" w:lineRule="auto"/>
              <w:jc w:val="left"/>
            </w:pPr>
            <w:r>
              <w:t>Evidence and review date</w:t>
            </w:r>
          </w:p>
        </w:tc>
        <w:tc>
          <w:tcPr>
            <w:tcW w:type="dxa" w:w="5400"/>
          </w:tcPr>
          <w:p>
            <w:pPr>
              <w:spacing w:after="0" w:before="0" w:line="240" w:lineRule="auto"/>
              <w:jc w:val="left"/>
            </w:pPr>
            <w:r>
              <w:t>Preserve traceability and keep records current</w:t>
            </w:r>
          </w:p>
        </w:tc>
      </w:tr>
    </w:tbl>
    <w:p/>
    <w:p>
      <w:r>
        <w:t>Review the register periodically and whenever the manufacturer issues a lifecycle notice, an equipment failure occurs, a spare becomes unavailable, or a planned modernization changes the replacement strategy.</w:t>
      </w:r>
    </w:p>
    <w:p>
      <w:pPr>
        <w:pStyle w:val="Heading2"/>
      </w:pPr>
      <w:r>
        <w:t>18. Common mistakes</w:t>
      </w:r>
    </w:p>
    <w:p>
      <w:pPr>
        <w:pStyle w:val="ListBullet"/>
      </w:pPr>
      <w:r>
        <w:t>Selecting a product based only on initial price and technical ratings.</w:t>
      </w:r>
    </w:p>
    <w:p>
      <w:pPr>
        <w:pStyle w:val="ListBullet"/>
      </w:pPr>
      <w:r>
        <w:t>Treating “available today” as proof of long-term support.</w:t>
      </w:r>
    </w:p>
    <w:p>
      <w:pPr>
        <w:pStyle w:val="ListBullet"/>
      </w:pPr>
      <w:r>
        <w:t>Confusing end of sale with end of support.</w:t>
      </w:r>
    </w:p>
    <w:p>
      <w:pPr>
        <w:pStyle w:val="ListBullet"/>
      </w:pPr>
      <w:r>
        <w:t>Assuming the successor product is a drop-in replacement.</w:t>
      </w:r>
    </w:p>
    <w:p>
      <w:pPr>
        <w:pStyle w:val="ListBullet"/>
      </w:pPr>
      <w:r>
        <w:t>Ignoring engineering software, operating systems, firmware, licenses, and interface hardware.</w:t>
      </w:r>
    </w:p>
    <w:p>
      <w:pPr>
        <w:pStyle w:val="ListBullet"/>
      </w:pPr>
      <w:r>
        <w:t>Buying strategic spares without considering storage life and future migration.</w:t>
      </w:r>
    </w:p>
    <w:p>
      <w:pPr>
        <w:pStyle w:val="ListBullet"/>
      </w:pPr>
      <w:r>
        <w:t>Relying on unauthorized or untraceable parts without assessing their risks.</w:t>
      </w:r>
    </w:p>
    <w:p>
      <w:pPr>
        <w:pStyle w:val="ListBullet"/>
      </w:pPr>
      <w:r>
        <w:t>Failing to preserve native programs and configuration files.</w:t>
      </w:r>
    </w:p>
    <w:p>
      <w:pPr>
        <w:pStyle w:val="ListBullet"/>
      </w:pPr>
      <w:r>
        <w:t>Ignoring cybersecurity exposure from unsupported platforms.</w:t>
      </w:r>
    </w:p>
    <w:p>
      <w:pPr>
        <w:pStyle w:val="ListBullet"/>
      </w:pPr>
      <w:r>
        <w:t>Leaving lifecycle notification responsibilities undefined in the purchase order.</w:t>
      </w:r>
    </w:p>
    <w:p>
      <w:pPr>
        <w:pStyle w:val="ListBullet"/>
      </w:pPr>
      <w:r>
        <w:t>Delaying migration planning until a critical component fails.</w:t>
      </w:r>
    </w:p>
    <w:p>
      <w:pPr>
        <w:pStyle w:val="ListBullet"/>
      </w:pPr>
      <w:r>
        <w:t>Treating a weighted evaluation score as permission to accept a mandatory compliance failure.</w:t>
      </w:r>
    </w:p>
    <w:p>
      <w:pPr>
        <w:pStyle w:val="Heading2"/>
      </w:pPr>
      <w:r>
        <w:t>19. Practical checklist for technical bid evaluation</w:t>
      </w:r>
    </w:p>
    <w:p>
      <w:pPr>
        <w:pStyle w:val="ListBullet"/>
      </w:pPr>
      <w:r>
        <w:t>Manufacturer and exact product model are identified.</w:t>
      </w:r>
    </w:p>
    <w:p>
      <w:pPr>
        <w:pStyle w:val="ListBullet"/>
      </w:pPr>
      <w:r>
        <w:t>Lifecycle status is supported by documented evidence.</w:t>
      </w:r>
    </w:p>
    <w:p>
      <w:pPr>
        <w:pStyle w:val="ListBullet"/>
      </w:pPr>
      <w:r>
        <w:t>End-of-sale and end-of-support dates are recorded separately where applicable.</w:t>
      </w:r>
    </w:p>
    <w:p>
      <w:pPr>
        <w:pStyle w:val="ListBullet"/>
      </w:pPr>
      <w:r>
        <w:t>Remaining support life meets the project requirement or an approved mitigation exists.</w:t>
      </w:r>
    </w:p>
    <w:p>
      <w:pPr>
        <w:pStyle w:val="ListBullet"/>
      </w:pPr>
      <w:r>
        <w:t>Spare availability and repair options are documented.</w:t>
      </w:r>
    </w:p>
    <w:p>
      <w:pPr>
        <w:pStyle w:val="ListBullet"/>
      </w:pPr>
      <w:r>
        <w:t>Successor hardware and migration options are identified.</w:t>
      </w:r>
    </w:p>
    <w:p>
      <w:pPr>
        <w:pStyle w:val="ListBullet"/>
      </w:pPr>
      <w:r>
        <w:t>Software, firmware, operating-system, and license dependencies are documented.</w:t>
      </w:r>
    </w:p>
    <w:p>
      <w:pPr>
        <w:pStyle w:val="ListBullet"/>
      </w:pPr>
      <w:r>
        <w:t>Cybersecurity support and vulnerability-handling arrangements are assessed.</w:t>
      </w:r>
    </w:p>
    <w:p>
      <w:pPr>
        <w:pStyle w:val="ListBullet"/>
      </w:pPr>
      <w:r>
        <w:t>Backup, restoration, and recovery procedures are included.</w:t>
      </w:r>
    </w:p>
    <w:p>
      <w:pPr>
        <w:pStyle w:val="ListBullet"/>
      </w:pPr>
      <w:r>
        <w:t>Lifecycle and obsolescence notification responsibilities are defined.</w:t>
      </w:r>
    </w:p>
    <w:p>
      <w:pPr>
        <w:pStyle w:val="ListBullet"/>
      </w:pPr>
      <w:r>
        <w:t>Migration effort, cost, downtime, and validation requirements are estimated.</w:t>
      </w:r>
    </w:p>
    <w:p>
      <w:pPr>
        <w:pStyle w:val="ListBullet"/>
      </w:pPr>
      <w:r>
        <w:t>Deviations and residual risks have named owners and approvals.</w:t>
      </w:r>
    </w:p>
    <w:p>
      <w:pPr>
        <w:pStyle w:val="ListBullet"/>
      </w:pPr>
      <w:r>
        <w:t>Required lifecycle commitments are incorporated into the contract.</w:t>
      </w:r>
    </w:p>
    <w:p>
      <w:pPr>
        <w:pStyle w:val="Heading2"/>
      </w:pPr>
      <w:r>
        <w:t>20. Interview questions and answers</w:t>
      </w:r>
    </w:p>
    <w:p>
      <w:r>
        <w:t>Q1. What is obsolescence in industrial automation?</w:t>
      </w:r>
    </w:p>
    <w:p>
      <w:r>
        <w:t>Obsolescence is the loss of practical availability, support, repairability, or maintainability of equipment, components, software, or technology needed to operate an industrial system.</w:t>
      </w:r>
    </w:p>
    <w:p>
      <w:r>
        <w:t>Q2. What is the difference between end of sale and end of support?</w:t>
      </w:r>
    </w:p>
    <w:p>
      <w:r>
        <w:t>End of sale means new product sales have stopped or are scheduled to stop. End of support means defined technical support, repairs, updates, or other services have ended or will end. The dates and included services must be confirmed from the manufacturer's policy.</w:t>
      </w:r>
    </w:p>
    <w:p>
      <w:r>
        <w:t>Q3. Why should obsolescence be checked during technical bid evaluation?</w:t>
      </w:r>
    </w:p>
    <w:p>
      <w:r>
        <w:t>It helps prevent premature modernization, extended downtime, unsupported software dependencies, spare shortages, and unexpected lifecycle costs.</w:t>
      </w:r>
    </w:p>
    <w:p>
      <w:r>
        <w:t>Q4. Is an obsolete component always unsafe?</w:t>
      </w:r>
    </w:p>
    <w:p>
      <w:r>
        <w:t>No. Obsolescence does not automatically mean that the component is unsafe or defective. However, the lack of repairs, updates, compatible replacements, or cybersecurity fixes can increase operational risk and may make continued use unacceptable.</w:t>
      </w:r>
    </w:p>
    <w:p>
      <w:r>
        <w:t>Q5. What is a last-time buy?</w:t>
      </w:r>
    </w:p>
    <w:p>
      <w:r>
        <w:t>It is a final purchasing opportunity announced before a product's sales end. The required quantity should be based on risk, demand, storage life, support availability, and the planned migration date.</w:t>
      </w:r>
    </w:p>
    <w:p>
      <w:r>
        <w:t>Q6. How would you manage a discontinued PLC in a critical production line?</w:t>
      </w:r>
    </w:p>
    <w:p>
      <w:r>
        <w:t>I would confirm the exact model and lifecycle status, assess repair and authorized spare options, identify and validate a compatible successor, preserve the program and configuration, estimate production risk, and create a controlled migration plan if continued support cannot be assured.</w:t>
      </w:r>
    </w:p>
    <w:p>
      <w:r>
        <w:t>Q7. Why is a successor product not necessarily a drop-in replacement?</w:t>
      </w:r>
    </w:p>
    <w:p>
      <w:r>
        <w:t>It may differ in electrical characteristics, mechanical dimensions, firmware, addressing, communication protocols, software compatibility, diagnostics, or safety behavior. Compatibility must be verified for the actual application.</w:t>
      </w:r>
    </w:p>
    <w:p>
      <w:r>
        <w:t>Q8. What is an obsolescence register?</w:t>
      </w:r>
    </w:p>
    <w:p>
      <w:r>
        <w:t>It is a controlled record of installed products, lifecycle status, support dates, spare availability, successor options, risk, mitigation actions, ownership, and review dates.</w:t>
      </w:r>
    </w:p>
    <w:p>
      <w:r>
        <w:t>Q9. How does obsolescence affect total cost of ownership?</w:t>
      </w:r>
    </w:p>
    <w:p>
      <w:r>
        <w:t>It can increase spare-part prices, repair costs, engineering effort, migration expenses, training costs, cybersecurity remediation, and production downtime.</w:t>
      </w:r>
    </w:p>
    <w:p>
      <w:r>
        <w:t>Q10. What should be included in an obsolescence clause?</w:t>
      </w:r>
    </w:p>
    <w:p>
      <w:r>
        <w:t>The clause should define lifecycle disclosure, notification periods, spare and repair commitments, successor information, migration assistance, software and license arrangements, documentation, exclusions, and the responsibilities of each party.</w:t>
      </w:r>
    </w:p>
    <w:p>
      <w:r>
        <w:t>Q11. How is obsolescence different from failure?</w:t>
      </w:r>
    </w:p>
    <w:p>
      <w:r>
        <w:t>Failure is the loss of a required function. Obsolescence is a lifecycle condition that can make repair, replacement, support, or continued operation difficult. Obsolescence can exist before a failure occurs.</w:t>
      </w:r>
    </w:p>
    <w:p>
      <w:r>
        <w:t>Q12. What is the most important principle of obsolescence management?</w:t>
      </w:r>
    </w:p>
    <w:p>
      <w:r>
        <w:t>Identify lifecycle risks early, verify manufacturer evidence, preserve the information needed to recover the system, and plan migration before loss of support becomes a production emergency.</w:t>
      </w:r>
    </w:p>
    <w:p>
      <w:pPr>
        <w:pStyle w:val="Heading2"/>
      </w:pPr>
      <w:r>
        <w:t>21. Final engineering principle</w:t>
      </w:r>
    </w:p>
    <w:p>
      <w:r>
        <w:t>Obsolescence evaluation is a forward-looking assessment of whether a proposed system can remain supportable, secure, repairable, and economically viable over its required service life. The strongest bid is not necessarily the one offering the newest product or the lowest initial cost. It is the one that meets the technical requirements and provides a credible, documented path for maintaining and eventually replacing the technology.</w:t>
      </w:r>
    </w:p>
    <w:p>
      <w:pPr>
        <w:pStyle w:val="Heading2"/>
      </w:pPr>
      <w:r>
        <w:t>NEXT TOPIC</w:t>
      </w:r>
    </w:p>
    <w:p>
      <w:r>
        <w:rPr>
          <w:rFonts w:ascii="Consolas" w:hAnsi="Consolas"/>
          <w:color w:val="333333"/>
          <w:sz w:val="19"/>
          <w:shd w:val="clear" w:color="auto" w:fill="EFEFEF"/>
        </w:rPr>
        <w:t>02_PLAN_WISE_2026\02_INDUSTRY3_0\09_Procurement\02_Technical_Bid_Evaluation\11_Standardization - Standardization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02_PLAN_WISE_2026\02_INDUSTRY3_0\09_Procurement\02_Technical_Bid_Evaluation\10_Obsolescence - Obsolescence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