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02_PLAN_WISE_2026\02_INDUSTRY3_0\09_Procurement\02_Technical_Bid_Evaluation\11_Standardization - Standardization</w:t>
      </w:r>
    </w:p>
    <w:p>
      <w:pPr>
        <w:pStyle w:val="Heading2"/>
      </w:pPr>
      <w:r>
        <w:t>1. Definition and purpose</w:t>
      </w:r>
    </w:p>
    <w:p>
      <w:r>
        <w:t>Standardization is the deliberate selection and consistent use of approved equipment, components, technologies, engineering methods, documentation formats, and maintenance practices across machines, production lines, and facilities.</w:t>
      </w:r>
    </w:p>
    <w:p>
      <w:r>
        <w:t>In industrial automation, standardization means reducing unnecessary variation while ensuring that every selected component remains suitable for its application, performance requirements, safety obligations, and lifecycle needs.</w:t>
      </w:r>
    </w:p>
    <w:p>
      <w:r>
        <w:t>For example, a plant may use several PLC brands because of historical projects and machine-builder preferences. Standardization could establish one preferred PLC family for new projects, a defined set of approved alternatives, common programming conventions, standard communication protocols, and consistent spare-parts management.</w:t>
      </w:r>
    </w:p>
    <w:p>
      <w:r>
        <w:t>Standardization does not mean forcing every machine to use identical hardware regardless of technical requirements. A high-speed motion-control system, a safety application, and a simple conveyor may need different architectures.</w:t>
      </w:r>
    </w:p>
    <w:p>
      <w:r>
        <w:t>The objective is to achieve controlled consistency without sacrificing technical suitability.</w:t>
      </w:r>
    </w:p>
    <w:p>
      <w:pPr>
        <w:pStyle w:val="Heading2"/>
      </w:pPr>
      <w:r>
        <w:t>2. Why standardization matters in procurement</w:t>
      </w:r>
    </w:p>
    <w:p>
      <w:r>
        <w:t>Without standardization, every new machine can introduce different programming software, communication adapters, spare modules, licenses, diagnostic procedures, and training requirements.</w:t>
      </w:r>
    </w:p>
    <w:p>
      <w:r>
        <w:t>This creates unnecessary complexity throughout the equipment lifecycle.</w:t>
      </w:r>
    </w:p>
    <w:p>
      <w:r>
        <w:t>Key benefits include:</w:t>
      </w:r>
    </w:p>
    <w:p>
      <w:pPr>
        <w:pStyle w:val="ListBullet"/>
      </w:pPr>
      <w:r>
        <w:t>Reduced inventory: Fewer different spare-part models and variants need to be stocked.</w:t>
      </w:r>
    </w:p>
    <w:p>
      <w:pPr>
        <w:pStyle w:val="ListBullet"/>
      </w:pPr>
      <w:r>
        <w:t>Faster maintenance: Technicians become familiar with common hardware, software, diagnostics, and replacement procedures.</w:t>
      </w:r>
    </w:p>
    <w:p>
      <w:pPr>
        <w:pStyle w:val="ListBullet"/>
      </w:pPr>
      <w:r>
        <w:t>Reduced downtime: Common spares and established replacement procedures can shorten recovery time.</w:t>
      </w:r>
    </w:p>
    <w:p>
      <w:pPr>
        <w:pStyle w:val="ListBullet"/>
      </w:pPr>
      <w:r>
        <w:t>Simpler training: Maintenance teams need fewer unrelated engineering environments.</w:t>
      </w:r>
    </w:p>
    <w:p>
      <w:pPr>
        <w:pStyle w:val="ListBullet"/>
      </w:pPr>
      <w:r>
        <w:t>Improved procurement leverage: Consolidated demand may improve pricing and commercial terms.</w:t>
      </w:r>
    </w:p>
    <w:p>
      <w:pPr>
        <w:pStyle w:val="ListBullet"/>
      </w:pPr>
      <w:r>
        <w:t>Better engineering quality: Standard designs, tested templates, and proven configurations reduce avoidable errors.</w:t>
      </w:r>
    </w:p>
    <w:p>
      <w:pPr>
        <w:pStyle w:val="ListBullet"/>
      </w:pPr>
      <w:r>
        <w:t>Simplified documentation: Common drawing conventions, tag naming, backup procedures, and maintenance records improve consistency.</w:t>
      </w:r>
    </w:p>
    <w:p>
      <w:pPr>
        <w:pStyle w:val="ListBullet"/>
      </w:pPr>
      <w:r>
        <w:t>Improved cybersecurity: Standard configurations and controlled versions make asset management and patch planning easier.</w:t>
      </w:r>
    </w:p>
    <w:p>
      <w:pPr>
        <w:pStyle w:val="ListBullet"/>
      </w:pPr>
      <w:r>
        <w:t>Better lifecycle management: Common platforms simplify obsolescence monitoring and migration planning.</w:t>
      </w:r>
    </w:p>
    <w:p>
      <w:pPr>
        <w:pStyle w:val="ListBullet"/>
      </w:pPr>
      <w:r>
        <w:t>Faster project execution: Approved components and reusable designs reduce repeated engineering effort.</w:t>
      </w:r>
    </w:p>
    <w:p>
      <w:r>
        <w:t>The benefits must be evaluated against the cost of changing existing systems, the risk of supplier dependence, and the suitability of the chosen platform for each application.</w:t>
      </w:r>
    </w:p>
    <w:p>
      <w:pPr>
        <w:pStyle w:val="Heading2"/>
      </w:pPr>
      <w:r>
        <w:t>3. Types of standardization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Scope</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Hardware standardization</w:t>
            </w:r>
          </w:p>
        </w:tc>
        <w:tc>
          <w:tcPr>
            <w:tcW w:type="dxa" w:w="3600"/>
          </w:tcPr>
          <w:p>
            <w:pPr>
              <w:spacing w:after="0" w:before="0" w:line="240" w:lineRule="auto"/>
              <w:jc w:val="left"/>
            </w:pPr>
            <w:r>
              <w:t>Approved equipment and components</w:t>
            </w:r>
          </w:p>
        </w:tc>
        <w:tc>
          <w:tcPr>
            <w:tcW w:type="dxa" w:w="3600"/>
          </w:tcPr>
          <w:p>
            <w:pPr>
              <w:spacing w:after="0" w:before="0" w:line="240" w:lineRule="auto"/>
              <w:jc w:val="left"/>
            </w:pPr>
            <w:r>
              <w:t>Preferred PLC, HMI, VFD, and I/O families</w:t>
            </w:r>
          </w:p>
        </w:tc>
      </w:tr>
      <w:tr>
        <w:tc>
          <w:tcPr>
            <w:tcW w:type="dxa" w:w="3600"/>
          </w:tcPr>
          <w:p>
            <w:pPr>
              <w:spacing w:after="0" w:before="0" w:line="240" w:lineRule="auto"/>
              <w:jc w:val="left"/>
            </w:pPr>
            <w:r>
              <w:t>Software standardization</w:t>
            </w:r>
          </w:p>
        </w:tc>
        <w:tc>
          <w:tcPr>
            <w:tcW w:type="dxa" w:w="3600"/>
          </w:tcPr>
          <w:p>
            <w:pPr>
              <w:spacing w:after="0" w:before="0" w:line="240" w:lineRule="auto"/>
              <w:jc w:val="left"/>
            </w:pPr>
            <w:r>
              <w:t>Engineering tools and application conventions</w:t>
            </w:r>
          </w:p>
        </w:tc>
        <w:tc>
          <w:tcPr>
            <w:tcW w:type="dxa" w:w="3600"/>
          </w:tcPr>
          <w:p>
            <w:pPr>
              <w:spacing w:after="0" w:before="0" w:line="240" w:lineRule="auto"/>
              <w:jc w:val="left"/>
            </w:pPr>
            <w:r>
              <w:t>Standard PLC programming languages and project structures</w:t>
            </w:r>
          </w:p>
        </w:tc>
      </w:tr>
      <w:tr>
        <w:tc>
          <w:tcPr>
            <w:tcW w:type="dxa" w:w="3600"/>
          </w:tcPr>
          <w:p>
            <w:pPr>
              <w:spacing w:after="0" w:before="0" w:line="240" w:lineRule="auto"/>
              <w:jc w:val="left"/>
            </w:pPr>
            <w:r>
              <w:t>Architecture standardization</w:t>
            </w:r>
          </w:p>
        </w:tc>
        <w:tc>
          <w:tcPr>
            <w:tcW w:type="dxa" w:w="3600"/>
          </w:tcPr>
          <w:p>
            <w:pPr>
              <w:spacing w:after="0" w:before="0" w:line="240" w:lineRule="auto"/>
              <w:jc w:val="left"/>
            </w:pPr>
            <w:r>
              <w:t>System topology and interfaces</w:t>
            </w:r>
          </w:p>
        </w:tc>
        <w:tc>
          <w:tcPr>
            <w:tcW w:type="dxa" w:w="3600"/>
          </w:tcPr>
          <w:p>
            <w:pPr>
              <w:spacing w:after="0" w:before="0" w:line="240" w:lineRule="auto"/>
              <w:jc w:val="left"/>
            </w:pPr>
            <w:r>
              <w:t>Standard PLC-to-HMI and PLC-to-SCADA architecture</w:t>
            </w:r>
          </w:p>
        </w:tc>
      </w:tr>
      <w:tr>
        <w:tc>
          <w:tcPr>
            <w:tcW w:type="dxa" w:w="3600"/>
          </w:tcPr>
          <w:p>
            <w:pPr>
              <w:spacing w:after="0" w:before="0" w:line="240" w:lineRule="auto"/>
              <w:jc w:val="left"/>
            </w:pPr>
            <w:r>
              <w:t>Communication standardization</w:t>
            </w:r>
          </w:p>
        </w:tc>
        <w:tc>
          <w:tcPr>
            <w:tcW w:type="dxa" w:w="3600"/>
          </w:tcPr>
          <w:p>
            <w:pPr>
              <w:spacing w:after="0" w:before="0" w:line="240" w:lineRule="auto"/>
              <w:jc w:val="left"/>
            </w:pPr>
            <w:r>
              <w:t>Protocols and network design</w:t>
            </w:r>
          </w:p>
        </w:tc>
        <w:tc>
          <w:tcPr>
            <w:tcW w:type="dxa" w:w="3600"/>
          </w:tcPr>
          <w:p>
            <w:pPr>
              <w:spacing w:after="0" w:before="0" w:line="240" w:lineRule="auto"/>
              <w:jc w:val="left"/>
            </w:pPr>
            <w:r>
              <w:t>Industrial Ethernet with defined addressing and segmentation</w:t>
            </w:r>
          </w:p>
        </w:tc>
      </w:tr>
      <w:tr>
        <w:tc>
          <w:tcPr>
            <w:tcW w:type="dxa" w:w="3600"/>
          </w:tcPr>
          <w:p>
            <w:pPr>
              <w:spacing w:after="0" w:before="0" w:line="240" w:lineRule="auto"/>
              <w:jc w:val="left"/>
            </w:pPr>
            <w:r>
              <w:t>Electrical standardization</w:t>
            </w:r>
          </w:p>
        </w:tc>
        <w:tc>
          <w:tcPr>
            <w:tcW w:type="dxa" w:w="3600"/>
          </w:tcPr>
          <w:p>
            <w:pPr>
              <w:spacing w:after="0" w:before="0" w:line="240" w:lineRule="auto"/>
              <w:jc w:val="left"/>
            </w:pPr>
            <w:r>
              <w:t>Panels, wiring, protection, and interfaces</w:t>
            </w:r>
          </w:p>
        </w:tc>
        <w:tc>
          <w:tcPr>
            <w:tcW w:type="dxa" w:w="3600"/>
          </w:tcPr>
          <w:p>
            <w:pPr>
              <w:spacing w:after="0" w:before="0" w:line="240" w:lineRule="auto"/>
              <w:jc w:val="left"/>
            </w:pPr>
            <w:r>
              <w:t>Standard terminal blocks, wire markers, and circuit protection</w:t>
            </w:r>
          </w:p>
        </w:tc>
      </w:tr>
      <w:tr>
        <w:tc>
          <w:tcPr>
            <w:tcW w:type="dxa" w:w="3600"/>
          </w:tcPr>
          <w:p>
            <w:pPr>
              <w:spacing w:after="0" w:before="0" w:line="240" w:lineRule="auto"/>
              <w:jc w:val="left"/>
            </w:pPr>
            <w:r>
              <w:t>Mechanical standardization</w:t>
            </w:r>
          </w:p>
        </w:tc>
        <w:tc>
          <w:tcPr>
            <w:tcW w:type="dxa" w:w="3600"/>
          </w:tcPr>
          <w:p>
            <w:pPr>
              <w:spacing w:after="0" w:before="0" w:line="240" w:lineRule="auto"/>
              <w:jc w:val="left"/>
            </w:pPr>
            <w:r>
              <w:t>Mounting and physical interfaces</w:t>
            </w:r>
          </w:p>
        </w:tc>
        <w:tc>
          <w:tcPr>
            <w:tcW w:type="dxa" w:w="3600"/>
          </w:tcPr>
          <w:p>
            <w:pPr>
              <w:spacing w:after="0" w:before="0" w:line="240" w:lineRule="auto"/>
              <w:jc w:val="left"/>
            </w:pPr>
            <w:r>
              <w:t>Common panel cutouts and mounting arrangements</w:t>
            </w:r>
          </w:p>
        </w:tc>
      </w:tr>
      <w:tr>
        <w:tc>
          <w:tcPr>
            <w:tcW w:type="dxa" w:w="3600"/>
          </w:tcPr>
          <w:p>
            <w:pPr>
              <w:spacing w:after="0" w:before="0" w:line="240" w:lineRule="auto"/>
              <w:jc w:val="left"/>
            </w:pPr>
            <w:r>
              <w:t>Safety standardization</w:t>
            </w:r>
          </w:p>
        </w:tc>
        <w:tc>
          <w:tcPr>
            <w:tcW w:type="dxa" w:w="3600"/>
          </w:tcPr>
          <w:p>
            <w:pPr>
              <w:spacing w:after="0" w:before="0" w:line="240" w:lineRule="auto"/>
              <w:jc w:val="left"/>
            </w:pPr>
            <w:r>
              <w:t>Safety design methods and approved devices</w:t>
            </w:r>
          </w:p>
        </w:tc>
        <w:tc>
          <w:tcPr>
            <w:tcW w:type="dxa" w:w="3600"/>
          </w:tcPr>
          <w:p>
            <w:pPr>
              <w:spacing w:after="0" w:before="0" w:line="240" w:lineRule="auto"/>
              <w:jc w:val="left"/>
            </w:pPr>
            <w:r>
              <w:t>Standard safety architecture and validation procedures</w:t>
            </w:r>
          </w:p>
        </w:tc>
      </w:tr>
      <w:tr>
        <w:tc>
          <w:tcPr>
            <w:tcW w:type="dxa" w:w="3600"/>
          </w:tcPr>
          <w:p>
            <w:pPr>
              <w:spacing w:after="0" w:before="0" w:line="240" w:lineRule="auto"/>
              <w:jc w:val="left"/>
            </w:pPr>
            <w:r>
              <w:t>Documentation standardization</w:t>
            </w:r>
          </w:p>
        </w:tc>
        <w:tc>
          <w:tcPr>
            <w:tcW w:type="dxa" w:w="3600"/>
          </w:tcPr>
          <w:p>
            <w:pPr>
              <w:spacing w:after="0" w:before="0" w:line="240" w:lineRule="auto"/>
              <w:jc w:val="left"/>
            </w:pPr>
            <w:r>
              <w:t>Drawing, naming, and record formats</w:t>
            </w:r>
          </w:p>
        </w:tc>
        <w:tc>
          <w:tcPr>
            <w:tcW w:type="dxa" w:w="3600"/>
          </w:tcPr>
          <w:p>
            <w:pPr>
              <w:spacing w:after="0" w:before="0" w:line="240" w:lineRule="auto"/>
              <w:jc w:val="left"/>
            </w:pPr>
            <w:r>
              <w:t>Common tag naming, I/O lists, and electrical schematics</w:t>
            </w:r>
          </w:p>
        </w:tc>
      </w:tr>
      <w:tr>
        <w:tc>
          <w:tcPr>
            <w:tcW w:type="dxa" w:w="3600"/>
          </w:tcPr>
          <w:p>
            <w:pPr>
              <w:spacing w:after="0" w:before="0" w:line="240" w:lineRule="auto"/>
              <w:jc w:val="left"/>
            </w:pPr>
            <w:r>
              <w:t>Maintenance standardization</w:t>
            </w:r>
          </w:p>
        </w:tc>
        <w:tc>
          <w:tcPr>
            <w:tcW w:type="dxa" w:w="3600"/>
          </w:tcPr>
          <w:p>
            <w:pPr>
              <w:spacing w:after="0" w:before="0" w:line="240" w:lineRule="auto"/>
              <w:jc w:val="left"/>
            </w:pPr>
            <w:r>
              <w:t>Repair, diagnosis, and restoration practices</w:t>
            </w:r>
          </w:p>
        </w:tc>
        <w:tc>
          <w:tcPr>
            <w:tcW w:type="dxa" w:w="3600"/>
          </w:tcPr>
          <w:p>
            <w:pPr>
              <w:spacing w:after="0" w:before="0" w:line="240" w:lineRule="auto"/>
              <w:jc w:val="left"/>
            </w:pPr>
            <w:r>
              <w:t>Common fault-reporting and backup procedures</w:t>
            </w:r>
          </w:p>
        </w:tc>
      </w:tr>
      <w:tr>
        <w:tc>
          <w:tcPr>
            <w:tcW w:type="dxa" w:w="3600"/>
          </w:tcPr>
          <w:p>
            <w:pPr>
              <w:spacing w:after="0" w:before="0" w:line="240" w:lineRule="auto"/>
              <w:jc w:val="left"/>
            </w:pPr>
            <w:r>
              <w:t>Procurement standardization</w:t>
            </w:r>
          </w:p>
        </w:tc>
        <w:tc>
          <w:tcPr>
            <w:tcW w:type="dxa" w:w="3600"/>
          </w:tcPr>
          <w:p>
            <w:pPr>
              <w:spacing w:after="0" w:before="0" w:line="240" w:lineRule="auto"/>
              <w:jc w:val="left"/>
            </w:pPr>
            <w:r>
              <w:t>Approved makes, models, and specifications</w:t>
            </w:r>
          </w:p>
        </w:tc>
        <w:tc>
          <w:tcPr>
            <w:tcW w:type="dxa" w:w="3600"/>
          </w:tcPr>
          <w:p>
            <w:pPr>
              <w:spacing w:after="0" w:before="0" w:line="240" w:lineRule="auto"/>
              <w:jc w:val="left"/>
            </w:pPr>
            <w:r>
              <w:t>Approved-vendor and preferred-component lists</w:t>
            </w:r>
          </w:p>
        </w:tc>
      </w:tr>
      <w:tr>
        <w:tc>
          <w:tcPr>
            <w:tcW w:type="dxa" w:w="3600"/>
          </w:tcPr>
          <w:p>
            <w:pPr>
              <w:spacing w:after="0" w:before="0" w:line="240" w:lineRule="auto"/>
              <w:jc w:val="left"/>
            </w:pPr>
            <w:r>
              <w:t>Lifecycle standardization</w:t>
            </w:r>
          </w:p>
        </w:tc>
        <w:tc>
          <w:tcPr>
            <w:tcW w:type="dxa" w:w="3600"/>
          </w:tcPr>
          <w:p>
            <w:pPr>
              <w:spacing w:after="0" w:before="0" w:line="240" w:lineRule="auto"/>
              <w:jc w:val="left"/>
            </w:pPr>
            <w:r>
              <w:t>Support and replacement policies</w:t>
            </w:r>
          </w:p>
        </w:tc>
        <w:tc>
          <w:tcPr>
            <w:tcW w:type="dxa" w:w="3600"/>
          </w:tcPr>
          <w:p>
            <w:pPr>
              <w:spacing w:after="0" w:before="0" w:line="240" w:lineRule="auto"/>
              <w:jc w:val="left"/>
            </w:pPr>
            <w:r>
              <w:t>Minimum support horizon and approved successor families</w:t>
            </w:r>
          </w:p>
        </w:tc>
      </w:tr>
      <w:tr>
        <w:tc>
          <w:tcPr>
            <w:tcW w:type="dxa" w:w="3600"/>
          </w:tcPr>
          <w:p>
            <w:pPr>
              <w:spacing w:after="0" w:before="0" w:line="240" w:lineRule="auto"/>
              <w:jc w:val="left"/>
            </w:pPr>
            <w:r>
              <w:t>Data standardization</w:t>
            </w:r>
          </w:p>
        </w:tc>
        <w:tc>
          <w:tcPr>
            <w:tcW w:type="dxa" w:w="3600"/>
          </w:tcPr>
          <w:p>
            <w:pPr>
              <w:spacing w:after="0" w:before="0" w:line="240" w:lineRule="auto"/>
              <w:jc w:val="left"/>
            </w:pPr>
            <w:r>
              <w:t>Tag structures and information models</w:t>
            </w:r>
          </w:p>
        </w:tc>
        <w:tc>
          <w:tcPr>
            <w:tcW w:type="dxa" w:w="3600"/>
          </w:tcPr>
          <w:p>
            <w:pPr>
              <w:spacing w:after="0" w:before="0" w:line="240" w:lineRule="auto"/>
              <w:jc w:val="left"/>
            </w:pPr>
            <w:r>
              <w:t>Common equipment-state and alarm definitions</w:t>
            </w:r>
          </w:p>
        </w:tc>
      </w:tr>
    </w:tbl>
    <w:p/>
    <w:p>
      <w:r>
        <w:t>A mature standardization system connects these categories rather than treating them as independent purchasing decisions.</w:t>
      </w:r>
    </w:p>
    <w:p>
      <w:pPr>
        <w:pStyle w:val="Heading2"/>
      </w:pPr>
      <w:r>
        <w:t>4. Standardization hierarchy</w:t>
      </w:r>
    </w:p>
    <w:p>
      <w:r>
        <w:t>A practical industrial standardization hierarchy can be organized as follows:</w:t>
      </w:r>
    </w:p>
    <w:p>
      <w:pPr>
        <w:shd w:val="clear" w:color="auto" w:fill="F4F4F4"/>
        <w:spacing w:before="0" w:after="0" w:line="240" w:lineRule="auto"/>
        <w:ind w:left="216" w:right="216"/>
        <w:jc w:val="left"/>
      </w:pPr>
      <w:r>
        <w:rPr>
          <w:rFonts w:ascii="Consolas" w:hAnsi="Consolas"/>
          <w:color w:val="202020"/>
          <w:sz w:val="18"/>
        </w:rPr>
        <w:t>Plant and Business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Standards and Policies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System Architectures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Equipment Families and Components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 Templates and Configuration Rules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Project Implementation and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Feedback, and Continuous Improvement</w:t>
      </w:r>
    </w:p>
    <w:p/>
    <w:p>
      <w:r>
        <w:t>Each level establishes constraints for the level below it.</w:t>
      </w:r>
    </w:p>
    <w:p>
      <w:r>
        <w:t>For example, a plant network standard may require segmented industrial networks. The architecture standard then defines permitted PLC and SCADA communication arrangements, while equipment standards define approved network interfaces and switch families.</w:t>
      </w:r>
    </w:p>
    <w:p>
      <w:pPr>
        <w:pStyle w:val="Heading2"/>
      </w:pPr>
      <w:r>
        <w:t>5. Standardization versus related concepts</w:t>
      </w:r>
    </w:p>
    <w:p>
      <w:r>
        <w:t>These terms overlap but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Standardization</w:t>
            </w:r>
          </w:p>
        </w:tc>
        <w:tc>
          <w:tcPr>
            <w:tcW w:type="dxa" w:w="3600"/>
          </w:tcPr>
          <w:p>
            <w:pPr>
              <w:spacing w:after="0" w:before="0" w:line="240" w:lineRule="auto"/>
              <w:jc w:val="left"/>
            </w:pPr>
            <w:r>
              <w:t>Establishing common, approved ways of doing things</w:t>
            </w:r>
          </w:p>
        </w:tc>
        <w:tc>
          <w:tcPr>
            <w:tcW w:type="dxa" w:w="3600"/>
          </w:tcPr>
          <w:p>
            <w:pPr>
              <w:spacing w:after="0" w:before="0" w:line="240" w:lineRule="auto"/>
              <w:jc w:val="left"/>
            </w:pPr>
            <w:r>
              <w:t>One preferred PLC family for suitable new applications</w:t>
            </w:r>
          </w:p>
        </w:tc>
      </w:tr>
      <w:tr>
        <w:tc>
          <w:tcPr>
            <w:tcW w:type="dxa" w:w="3600"/>
          </w:tcPr>
          <w:p>
            <w:pPr>
              <w:spacing w:after="0" w:before="0" w:line="240" w:lineRule="auto"/>
              <w:jc w:val="left"/>
            </w:pPr>
            <w:r>
              <w:t>Rationalization</w:t>
            </w:r>
          </w:p>
        </w:tc>
        <w:tc>
          <w:tcPr>
            <w:tcW w:type="dxa" w:w="3600"/>
          </w:tcPr>
          <w:p>
            <w:pPr>
              <w:spacing w:after="0" w:before="0" w:line="240" w:lineRule="auto"/>
              <w:jc w:val="left"/>
            </w:pPr>
            <w:r>
              <w:t>Reducing unnecessary variety and complexity</w:t>
            </w:r>
          </w:p>
        </w:tc>
        <w:tc>
          <w:tcPr>
            <w:tcW w:type="dxa" w:w="3600"/>
          </w:tcPr>
          <w:p>
            <w:pPr>
              <w:spacing w:after="0" w:before="0" w:line="240" w:lineRule="auto"/>
              <w:jc w:val="left"/>
            </w:pPr>
            <w:r>
              <w:t>Reducing 40 different sensor models to 12 approved models</w:t>
            </w:r>
          </w:p>
        </w:tc>
      </w:tr>
      <w:tr>
        <w:tc>
          <w:tcPr>
            <w:tcW w:type="dxa" w:w="3600"/>
          </w:tcPr>
          <w:p>
            <w:pPr>
              <w:spacing w:after="0" w:before="0" w:line="240" w:lineRule="auto"/>
              <w:jc w:val="left"/>
            </w:pPr>
            <w:r>
              <w:t>Harmonization</w:t>
            </w:r>
          </w:p>
        </w:tc>
        <w:tc>
          <w:tcPr>
            <w:tcW w:type="dxa" w:w="3600"/>
          </w:tcPr>
          <w:p>
            <w:pPr>
              <w:spacing w:after="0" w:before="0" w:line="240" w:lineRule="auto"/>
              <w:jc w:val="left"/>
            </w:pPr>
            <w:r>
              <w:t>Making different systems more consistent without necessarily making them identical</w:t>
            </w:r>
          </w:p>
        </w:tc>
        <w:tc>
          <w:tcPr>
            <w:tcW w:type="dxa" w:w="3600"/>
          </w:tcPr>
          <w:p>
            <w:pPr>
              <w:spacing w:after="0" w:before="0" w:line="240" w:lineRule="auto"/>
              <w:jc w:val="left"/>
            </w:pPr>
            <w:r>
              <w:t>Common tag naming across different PLC platforms</w:t>
            </w:r>
          </w:p>
        </w:tc>
      </w:tr>
      <w:tr>
        <w:tc>
          <w:tcPr>
            <w:tcW w:type="dxa" w:w="3600"/>
          </w:tcPr>
          <w:p>
            <w:pPr>
              <w:spacing w:after="0" w:before="0" w:line="240" w:lineRule="auto"/>
              <w:jc w:val="left"/>
            </w:pPr>
            <w:r>
              <w:t>Interchangeability</w:t>
            </w:r>
          </w:p>
        </w:tc>
        <w:tc>
          <w:tcPr>
            <w:tcW w:type="dxa" w:w="3600"/>
          </w:tcPr>
          <w:p>
            <w:pPr>
              <w:spacing w:after="0" w:before="0" w:line="240" w:lineRule="auto"/>
              <w:jc w:val="left"/>
            </w:pPr>
            <w:r>
              <w:t>Replacing one item with another without unacceptable changes</w:t>
            </w:r>
          </w:p>
        </w:tc>
        <w:tc>
          <w:tcPr>
            <w:tcW w:type="dxa" w:w="3600"/>
          </w:tcPr>
          <w:p>
            <w:pPr>
              <w:spacing w:after="0" w:before="0" w:line="240" w:lineRule="auto"/>
              <w:jc w:val="left"/>
            </w:pPr>
            <w:r>
              <w:t>Compatible relay with matching ratings and verified terminal arrangement</w:t>
            </w:r>
          </w:p>
        </w:tc>
      </w:tr>
      <w:tr>
        <w:tc>
          <w:tcPr>
            <w:tcW w:type="dxa" w:w="3600"/>
          </w:tcPr>
          <w:p>
            <w:pPr>
              <w:spacing w:after="0" w:before="0" w:line="240" w:lineRule="auto"/>
              <w:jc w:val="left"/>
            </w:pPr>
            <w:r>
              <w:t>Modularization</w:t>
            </w:r>
          </w:p>
        </w:tc>
        <w:tc>
          <w:tcPr>
            <w:tcW w:type="dxa" w:w="3600"/>
          </w:tcPr>
          <w:p>
            <w:pPr>
              <w:spacing w:after="0" w:before="0" w:line="240" w:lineRule="auto"/>
              <w:jc w:val="left"/>
            </w:pPr>
            <w:r>
              <w:t>Dividing a system into reusable functional units</w:t>
            </w:r>
          </w:p>
        </w:tc>
        <w:tc>
          <w:tcPr>
            <w:tcW w:type="dxa" w:w="3600"/>
          </w:tcPr>
          <w:p>
            <w:pPr>
              <w:spacing w:after="0" w:before="0" w:line="240" w:lineRule="auto"/>
              <w:jc w:val="left"/>
            </w:pPr>
            <w:r>
              <w:t>Standard conveyor control module</w:t>
            </w:r>
          </w:p>
        </w:tc>
      </w:tr>
      <w:tr>
        <w:tc>
          <w:tcPr>
            <w:tcW w:type="dxa" w:w="3600"/>
          </w:tcPr>
          <w:p>
            <w:pPr>
              <w:spacing w:after="0" w:before="0" w:line="240" w:lineRule="auto"/>
              <w:jc w:val="left"/>
            </w:pPr>
            <w:r>
              <w:t>Standard operating procedure</w:t>
            </w:r>
          </w:p>
        </w:tc>
        <w:tc>
          <w:tcPr>
            <w:tcW w:type="dxa" w:w="3600"/>
          </w:tcPr>
          <w:p>
            <w:pPr>
              <w:spacing w:after="0" w:before="0" w:line="240" w:lineRule="auto"/>
              <w:jc w:val="left"/>
            </w:pPr>
            <w:r>
              <w:t>Documenting an approved way to perform a task</w:t>
            </w:r>
          </w:p>
        </w:tc>
        <w:tc>
          <w:tcPr>
            <w:tcW w:type="dxa" w:w="3600"/>
          </w:tcPr>
          <w:p>
            <w:pPr>
              <w:spacing w:after="0" w:before="0" w:line="240" w:lineRule="auto"/>
              <w:jc w:val="left"/>
            </w:pPr>
            <w:r>
              <w:t>Standard PLC backup and restoration procedure</w:t>
            </w:r>
          </w:p>
        </w:tc>
      </w:tr>
      <w:tr>
        <w:tc>
          <w:tcPr>
            <w:tcW w:type="dxa" w:w="3600"/>
          </w:tcPr>
          <w:p>
            <w:pPr>
              <w:spacing w:after="0" w:before="0" w:line="240" w:lineRule="auto"/>
              <w:jc w:val="left"/>
            </w:pPr>
            <w:r>
              <w:t>Certification</w:t>
            </w:r>
          </w:p>
        </w:tc>
        <w:tc>
          <w:tcPr>
            <w:tcW w:type="dxa" w:w="3600"/>
          </w:tcPr>
          <w:p>
            <w:pPr>
              <w:spacing w:after="0" w:before="0" w:line="240" w:lineRule="auto"/>
              <w:jc w:val="left"/>
            </w:pPr>
            <w:r>
              <w:t>Demonstrating conformity to specified requirements</w:t>
            </w:r>
          </w:p>
        </w:tc>
        <w:tc>
          <w:tcPr>
            <w:tcW w:type="dxa" w:w="3600"/>
          </w:tcPr>
          <w:p>
            <w:pPr>
              <w:spacing w:after="0" w:before="0" w:line="240" w:lineRule="auto"/>
              <w:jc w:val="left"/>
            </w:pPr>
            <w:r>
              <w:t>A safety device with the required certification for its intended application</w:t>
            </w:r>
          </w:p>
        </w:tc>
      </w:tr>
      <w:tr>
        <w:tc>
          <w:tcPr>
            <w:tcW w:type="dxa" w:w="3600"/>
          </w:tcPr>
          <w:p>
            <w:pPr>
              <w:spacing w:after="0" w:before="0" w:line="240" w:lineRule="auto"/>
              <w:jc w:val="left"/>
            </w:pPr>
            <w:r>
              <w:t>Vendor consolidation</w:t>
            </w:r>
          </w:p>
        </w:tc>
        <w:tc>
          <w:tcPr>
            <w:tcW w:type="dxa" w:w="3600"/>
          </w:tcPr>
          <w:p>
            <w:pPr>
              <w:spacing w:after="0" w:before="0" w:line="240" w:lineRule="auto"/>
              <w:jc w:val="left"/>
            </w:pPr>
            <w:r>
              <w:t>Reducing the number of suppliers</w:t>
            </w:r>
          </w:p>
        </w:tc>
        <w:tc>
          <w:tcPr>
            <w:tcW w:type="dxa" w:w="3600"/>
          </w:tcPr>
          <w:p>
            <w:pPr>
              <w:spacing w:after="0" w:before="0" w:line="240" w:lineRule="auto"/>
              <w:jc w:val="left"/>
            </w:pPr>
            <w:r>
              <w:t>Awarding suitable sensor demand to fewer approved suppliers</w:t>
            </w:r>
          </w:p>
        </w:tc>
      </w:tr>
    </w:tbl>
    <w:p/>
    <w:p>
      <w:r>
        <w:t>A standardized item is not automatically interchangeable with every other item in its category. Physical fit, electrical characteristics, functional behavior, firmware, and safety requirements must still be checked.</w:t>
      </w:r>
    </w:p>
    <w:p>
      <w:pPr>
        <w:pStyle w:val="Heading2"/>
      </w:pPr>
      <w:r>
        <w:t>6. Establishing an approved equipment standard</w:t>
      </w:r>
    </w:p>
    <w:p>
      <w:r>
        <w:t>A standard should be based on technical requirements and lifecycle evidence, not personal preference or familiarity with a brand.</w:t>
      </w:r>
    </w:p>
    <w:p>
      <w:r>
        <w:t>The process typically includes:</w:t>
      </w:r>
    </w:p>
    <w:p>
      <w:pPr>
        <w:tabs>
          <w:tab w:pos="403" w:val="left"/>
        </w:tabs>
        <w:spacing w:after="40" w:line="276" w:lineRule="auto"/>
        <w:ind w:left="403" w:hanging="403"/>
        <w:jc w:val="left"/>
      </w:pPr>
      <w:r>
        <w:rPr>
          <w:color w:val="1A2E4A"/>
        </w:rPr>
        <w:t>1.</w:t>
        <w:tab/>
      </w:r>
      <w:r>
        <w:t>Identify the applications and operating conditions.</w:t>
      </w:r>
    </w:p>
    <w:p>
      <w:pPr>
        <w:tabs>
          <w:tab w:pos="403" w:val="left"/>
        </w:tabs>
        <w:spacing w:after="40" w:line="276" w:lineRule="auto"/>
        <w:ind w:left="403" w:hanging="403"/>
        <w:jc w:val="left"/>
      </w:pPr>
      <w:r>
        <w:rPr>
          <w:color w:val="1A2E4A"/>
        </w:rPr>
        <w:t>2.</w:t>
        <w:tab/>
      </w:r>
      <w:r>
        <w:t>Collect existing equipment models, failure history, spare usage, and installed quantities.</w:t>
      </w:r>
    </w:p>
    <w:p>
      <w:pPr>
        <w:tabs>
          <w:tab w:pos="403" w:val="left"/>
        </w:tabs>
        <w:spacing w:after="40" w:line="276" w:lineRule="auto"/>
        <w:ind w:left="403" w:hanging="403"/>
        <w:jc w:val="left"/>
      </w:pPr>
      <w:r>
        <w:rPr>
          <w:color w:val="1A2E4A"/>
        </w:rPr>
        <w:t>3.</w:t>
        <w:tab/>
      </w:r>
      <w:r>
        <w:t>Define minimum performance, environmental, safety, and communication requirements.</w:t>
      </w:r>
    </w:p>
    <w:p>
      <w:pPr>
        <w:tabs>
          <w:tab w:pos="403" w:val="left"/>
        </w:tabs>
        <w:spacing w:after="40" w:line="276" w:lineRule="auto"/>
        <w:ind w:left="403" w:hanging="403"/>
        <w:jc w:val="left"/>
      </w:pPr>
      <w:r>
        <w:rPr>
          <w:color w:val="1A2E4A"/>
        </w:rPr>
        <w:t>4.</w:t>
        <w:tab/>
      </w:r>
      <w:r>
        <w:t>Evaluate candidate manufacturers and product families.</w:t>
      </w:r>
    </w:p>
    <w:p>
      <w:pPr>
        <w:tabs>
          <w:tab w:pos="403" w:val="left"/>
        </w:tabs>
        <w:spacing w:after="40" w:line="276" w:lineRule="auto"/>
        <w:ind w:left="403" w:hanging="403"/>
        <w:jc w:val="left"/>
      </w:pPr>
      <w:r>
        <w:rPr>
          <w:color w:val="1A2E4A"/>
        </w:rPr>
        <w:t>5.</w:t>
        <w:tab/>
      </w:r>
      <w:r>
        <w:t>Verify software, firmware, engineering tools, and licensing requirements.</w:t>
      </w:r>
    </w:p>
    <w:p>
      <w:pPr>
        <w:tabs>
          <w:tab w:pos="403" w:val="left"/>
        </w:tabs>
        <w:spacing w:after="40" w:line="276" w:lineRule="auto"/>
        <w:ind w:left="403" w:hanging="403"/>
        <w:jc w:val="left"/>
      </w:pPr>
      <w:r>
        <w:rPr>
          <w:color w:val="1A2E4A"/>
        </w:rPr>
        <w:t>6.</w:t>
        <w:tab/>
      </w:r>
      <w:r>
        <w:t>Evaluate reliability, maintainability, support, and obsolescence risk.</w:t>
      </w:r>
    </w:p>
    <w:p>
      <w:pPr>
        <w:tabs>
          <w:tab w:pos="403" w:val="left"/>
        </w:tabs>
        <w:spacing w:after="40" w:line="276" w:lineRule="auto"/>
        <w:ind w:left="403" w:hanging="403"/>
        <w:jc w:val="left"/>
      </w:pPr>
      <w:r>
        <w:rPr>
          <w:color w:val="1A2E4A"/>
        </w:rPr>
        <w:t>7.</w:t>
        <w:tab/>
      </w:r>
      <w:r>
        <w:t>Assess migration compatibility with the existing installed base.</w:t>
      </w:r>
    </w:p>
    <w:p>
      <w:pPr>
        <w:tabs>
          <w:tab w:pos="403" w:val="left"/>
        </w:tabs>
        <w:spacing w:after="40" w:line="276" w:lineRule="auto"/>
        <w:ind w:left="403" w:hanging="403"/>
        <w:jc w:val="left"/>
      </w:pPr>
      <w:r>
        <w:rPr>
          <w:color w:val="1A2E4A"/>
        </w:rPr>
        <w:t>8.</w:t>
        <w:tab/>
      </w:r>
      <w:r>
        <w:t>Compare total lifecycle cost.</w:t>
      </w:r>
    </w:p>
    <w:p>
      <w:pPr>
        <w:tabs>
          <w:tab w:pos="403" w:val="left"/>
        </w:tabs>
        <w:spacing w:after="40" w:line="276" w:lineRule="auto"/>
        <w:ind w:left="403" w:hanging="403"/>
        <w:jc w:val="left"/>
      </w:pPr>
      <w:r>
        <w:rPr>
          <w:color w:val="1A2E4A"/>
        </w:rPr>
        <w:t>9.</w:t>
        <w:tab/>
      </w:r>
      <w:r>
        <w:t>Conduct technical trials or representative validation where required.</w:t>
      </w:r>
    </w:p>
    <w:p>
      <w:pPr>
        <w:tabs>
          <w:tab w:pos="403" w:val="left"/>
        </w:tabs>
        <w:spacing w:after="40" w:line="276" w:lineRule="auto"/>
        <w:ind w:left="403" w:hanging="403"/>
        <w:jc w:val="left"/>
      </w:pPr>
      <w:r>
        <w:rPr>
          <w:color w:val="1A2E4A"/>
        </w:rPr>
        <w:t>10.</w:t>
        <w:tab/>
      </w:r>
      <w:r>
        <w:t>Obtain approval from the appropriate engineering and business authorities.</w:t>
      </w:r>
    </w:p>
    <w:p>
      <w:pPr>
        <w:tabs>
          <w:tab w:pos="403" w:val="left"/>
        </w:tabs>
        <w:spacing w:after="40" w:line="276" w:lineRule="auto"/>
        <w:ind w:left="403" w:hanging="403"/>
        <w:jc w:val="left"/>
      </w:pPr>
      <w:r>
        <w:rPr>
          <w:color w:val="1A2E4A"/>
        </w:rPr>
        <w:t>11.</w:t>
        <w:tab/>
      </w:r>
      <w:r>
        <w:t>Publish the standard, its scope, revision, and approved alternatives.</w:t>
      </w:r>
    </w:p>
    <w:p>
      <w:pPr>
        <w:tabs>
          <w:tab w:pos="403" w:val="left"/>
        </w:tabs>
        <w:spacing w:after="40" w:line="276" w:lineRule="auto"/>
        <w:ind w:left="403" w:hanging="403"/>
        <w:jc w:val="left"/>
      </w:pPr>
      <w:r>
        <w:rPr>
          <w:color w:val="1A2E4A"/>
        </w:rPr>
        <w:t>12.</w:t>
        <w:tab/>
      </w:r>
      <w:r>
        <w:t>Monitor field performance and revise the standard when justified.</w:t>
      </w:r>
    </w:p>
    <w:p>
      <w:r>
        <w:t>The resulting document should state where the standard applies, where it does not apply, and who may authorize an exception.</w:t>
      </w:r>
    </w:p>
    <w:p>
      <w:pPr>
        <w:pStyle w:val="Heading2"/>
      </w:pPr>
      <w:r>
        <w:t>7. Approved makes and models</w:t>
      </w:r>
    </w:p>
    <w:p>
      <w:r>
        <w:t>An approved-make list identifies manufacturers acceptable for a specified application. An approved-model list goes further by defining the exact product families or catalog numbers that meet the standard.</w:t>
      </w:r>
    </w:p>
    <w:p>
      <w:r>
        <w:t>These lists should not be confused with a statement that all products from a particular manufacturer are interchangeable.</w:t>
      </w:r>
    </w:p>
    <w:p>
      <w:r>
        <w:t>For example, a plant may approve a manufacturer's PLC family for ordinary machine control but require a separate assessment for safety controllers, high-speed motion, or process control.</w:t>
      </w:r>
    </w:p>
    <w:p>
      <w:r>
        <w:t>A useful approved-component record includes:</w:t>
      </w:r>
    </w:p>
    <w:p>
      <w:pPr>
        <w:pStyle w:val="ListBullet"/>
      </w:pPr>
      <w:r>
        <w:t>Component category and application.</w:t>
      </w:r>
    </w:p>
    <w:p>
      <w:pPr>
        <w:pStyle w:val="ListBullet"/>
      </w:pPr>
      <w:r>
        <w:t>Manufacturer and approved product family.</w:t>
      </w:r>
    </w:p>
    <w:p>
      <w:pPr>
        <w:pStyle w:val="ListBullet"/>
      </w:pPr>
      <w:r>
        <w:t>Exact catalog numbers or selection rules.</w:t>
      </w:r>
    </w:p>
    <w:p>
      <w:pPr>
        <w:pStyle w:val="ListBullet"/>
      </w:pPr>
      <w:r>
        <w:t>Required ratings and environmental limits.</w:t>
      </w:r>
    </w:p>
    <w:p>
      <w:pPr>
        <w:pStyle w:val="ListBullet"/>
      </w:pPr>
      <w:r>
        <w:t>Compatible firmware and engineering software.</w:t>
      </w:r>
    </w:p>
    <w:p>
      <w:pPr>
        <w:pStyle w:val="ListBullet"/>
      </w:pPr>
      <w:r>
        <w:t>Permitted communication interfaces.</w:t>
      </w:r>
    </w:p>
    <w:p>
      <w:pPr>
        <w:pStyle w:val="ListBullet"/>
      </w:pPr>
      <w:r>
        <w:t>Required certifications and safety constraints.</w:t>
      </w:r>
    </w:p>
    <w:p>
      <w:pPr>
        <w:pStyle w:val="ListBullet"/>
      </w:pPr>
      <w:r>
        <w:t>Preferred and alternate sources.</w:t>
      </w:r>
    </w:p>
    <w:p>
      <w:pPr>
        <w:pStyle w:val="ListBullet"/>
      </w:pPr>
      <w:r>
        <w:t>Lifecycle and spare-parts status.</w:t>
      </w:r>
    </w:p>
    <w:p>
      <w:pPr>
        <w:pStyle w:val="ListBullet"/>
      </w:pPr>
      <w:r>
        <w:t>Replacement and migration guidance.</w:t>
      </w:r>
    </w:p>
    <w:p>
      <w:pPr>
        <w:pStyle w:val="ListBullet"/>
      </w:pPr>
      <w:r>
        <w:t>Approval owner and revision date.</w:t>
      </w:r>
    </w:p>
    <w:p>
      <w:pPr>
        <w:pStyle w:val="Heading2"/>
      </w:pPr>
      <w:r>
        <w:t>8. PLC standardization</w:t>
      </w:r>
    </w:p>
    <w:p>
      <w:r>
        <w:t>PLC standardization has a particularly strong effect on maintenance and engineering because controller platforms influence programming, diagnostics, spare availability, and machine integration.</w:t>
      </w:r>
    </w:p>
    <w:p>
      <w:r>
        <w:t>A PLC standard may define:</w:t>
      </w:r>
    </w:p>
    <w:p>
      <w:pPr>
        <w:pStyle w:val="ListBullet"/>
      </w:pPr>
      <w:r>
        <w:t>Preferred controller families for specified application classes.</w:t>
      </w:r>
    </w:p>
    <w:p>
      <w:pPr>
        <w:pStyle w:val="ListBullet"/>
      </w:pPr>
      <w:r>
        <w:t>Approved CPU, power supply, communication module, and I/O families.</w:t>
      </w:r>
    </w:p>
    <w:p>
      <w:pPr>
        <w:pStyle w:val="ListBullet"/>
      </w:pPr>
      <w:r>
        <w:t>Supported engineering software versions.</w:t>
      </w:r>
    </w:p>
    <w:p>
      <w:pPr>
        <w:pStyle w:val="ListBullet"/>
      </w:pPr>
      <w:r>
        <w:t>Programming language conventions and naming rules.</w:t>
      </w:r>
    </w:p>
    <w:p>
      <w:pPr>
        <w:pStyle w:val="ListBullet"/>
      </w:pPr>
      <w:r>
        <w:t>Program organization, reusable function blocks, and alarm handling.</w:t>
      </w:r>
    </w:p>
    <w:p>
      <w:pPr>
        <w:pStyle w:val="ListBullet"/>
      </w:pPr>
      <w:r>
        <w:t>Network addressing and communication architecture.</w:t>
      </w:r>
    </w:p>
    <w:p>
      <w:pPr>
        <w:pStyle w:val="ListBullet"/>
      </w:pPr>
      <w:r>
        <w:t>Standard diagnostics and fault reporting.</w:t>
      </w:r>
    </w:p>
    <w:p>
      <w:pPr>
        <w:pStyle w:val="ListBullet"/>
      </w:pPr>
      <w:r>
        <w:t>Program backup, version control, and restoration.</w:t>
      </w:r>
    </w:p>
    <w:p>
      <w:pPr>
        <w:pStyle w:val="ListBullet"/>
      </w:pPr>
      <w:r>
        <w:t>Firmware approval and change-control procedures.</w:t>
      </w:r>
    </w:p>
    <w:p>
      <w:pPr>
        <w:pStyle w:val="ListBullet"/>
      </w:pPr>
      <w:r>
        <w:t>Minimum documentation and handover requirements.</w:t>
      </w:r>
    </w:p>
    <w:p>
      <w:r>
        <w:t>For a plant with Siemens, Allen-Bradley, and Mitsubishi equipment, complete consolidation may be impractical because existing machines, builder expertise, installed licenses, and production dependencies differ.</w:t>
      </w:r>
    </w:p>
    <w:p>
      <w:r>
        <w:t>A realistic policy may designate one preferred family for new standard machine controls while retaining other platforms for legacy assets or specialized applications.</w:t>
      </w:r>
    </w:p>
    <w:p>
      <w:r>
        <w:t>Important: A standard PLC family does not eliminate the need to understand the actual program, hardware configuration, and machine-specific logic.</w:t>
      </w:r>
    </w:p>
    <w:p>
      <w:pPr>
        <w:pStyle w:val="Heading2"/>
      </w:pPr>
      <w:r>
        <w:t>9. HMI and SCADA standardization</w:t>
      </w:r>
    </w:p>
    <w:p>
      <w:r>
        <w:t>Standardizing operator interfaces improves usability and reduces engineering duplication.</w:t>
      </w:r>
    </w:p>
    <w:p>
      <w:r>
        <w:t>Common requirements can include:</w:t>
      </w:r>
    </w:p>
    <w:p>
      <w:pPr>
        <w:pStyle w:val="ListBullet"/>
      </w:pPr>
      <w:r>
        <w:t>Consistent navigation and screen layouts.</w:t>
      </w:r>
    </w:p>
    <w:p>
      <w:pPr>
        <w:pStyle w:val="ListBullet"/>
      </w:pPr>
      <w:r>
        <w:t>Standard alarm priorities, colors, acknowledgments, and event logging.</w:t>
      </w:r>
    </w:p>
    <w:p>
      <w:pPr>
        <w:pStyle w:val="ListBullet"/>
      </w:pPr>
      <w:r>
        <w:t>Common equipment-state terminology.</w:t>
      </w:r>
    </w:p>
    <w:p>
      <w:pPr>
        <w:pStyle w:val="ListBullet"/>
      </w:pPr>
      <w:r>
        <w:t>Standard manual, automatic, setup, and fault-recovery interfaces.</w:t>
      </w:r>
    </w:p>
    <w:p>
      <w:pPr>
        <w:pStyle w:val="ListBullet"/>
      </w:pPr>
      <w:r>
        <w:t>Common user roles and access-control principles.</w:t>
      </w:r>
    </w:p>
    <w:p>
      <w:pPr>
        <w:pStyle w:val="ListBullet"/>
      </w:pPr>
      <w:r>
        <w:t>Consistent trend, recipe, and production-data presentation.</w:t>
      </w:r>
    </w:p>
    <w:p>
      <w:pPr>
        <w:pStyle w:val="ListBullet"/>
      </w:pPr>
      <w:r>
        <w:t>Standard communication drivers and tag naming.</w:t>
      </w:r>
    </w:p>
    <w:p>
      <w:pPr>
        <w:pStyle w:val="ListBullet"/>
      </w:pPr>
      <w:r>
        <w:t>Supported runtime and engineering software versions.</w:t>
      </w:r>
    </w:p>
    <w:p>
      <w:pPr>
        <w:pStyle w:val="ListBullet"/>
      </w:pPr>
      <w:r>
        <w:t>Defined backup, restore, and change-control procedures.</w:t>
      </w:r>
    </w:p>
    <w:p>
      <w:r>
        <w:t xml:space="preserve">For example, if every machine uses a different meaning for the terms </w:t>
      </w:r>
      <w:r>
        <w:rPr>
          <w:rFonts w:ascii="Consolas" w:hAnsi="Consolas"/>
          <w:color w:val="333333"/>
          <w:sz w:val="19"/>
          <w:shd w:val="clear" w:color="auto" w:fill="EFEFEF"/>
        </w:rPr>
        <w:t>READY</w:t>
      </w:r>
      <w:r>
        <w:t xml:space="preserve">, </w:t>
      </w:r>
      <w:r>
        <w:rPr>
          <w:rFonts w:ascii="Consolas" w:hAnsi="Consolas"/>
          <w:color w:val="333333"/>
          <w:sz w:val="19"/>
          <w:shd w:val="clear" w:color="auto" w:fill="EFEFEF"/>
        </w:rPr>
        <w:t>RUNNING</w:t>
      </w:r>
      <w:r>
        <w:t xml:space="preserve">, </w:t>
      </w:r>
      <w:r>
        <w:rPr>
          <w:rFonts w:ascii="Consolas" w:hAnsi="Consolas"/>
          <w:color w:val="333333"/>
          <w:sz w:val="19"/>
          <w:shd w:val="clear" w:color="auto" w:fill="EFEFEF"/>
        </w:rPr>
        <w:t>FAULT</w:t>
      </w:r>
      <w:r>
        <w:t xml:space="preserve">, and </w:t>
      </w:r>
      <w:r>
        <w:rPr>
          <w:rFonts w:ascii="Consolas" w:hAnsi="Consolas"/>
          <w:color w:val="333333"/>
          <w:sz w:val="19"/>
          <w:shd w:val="clear" w:color="auto" w:fill="EFEFEF"/>
        </w:rPr>
        <w:t>COMPLETE</w:t>
      </w:r>
      <w:r>
        <w:t>, a plant-wide dashboard becomes difficult to interpret reliably.</w:t>
      </w:r>
    </w:p>
    <w:p>
      <w:r>
        <w:t>Standardization should define these meanings and their state-transition rules, while allowing machine-specific screens where necessary.</w:t>
      </w:r>
    </w:p>
    <w:p>
      <w:pPr>
        <w:pStyle w:val="Heading2"/>
      </w:pPr>
      <w:r>
        <w:t>10. VFD, servo, and motor-control standardization</w:t>
      </w:r>
    </w:p>
    <w:p>
      <w:r>
        <w:t>Motor-control standards should define approved product families and application boundaries.</w:t>
      </w:r>
    </w:p>
    <w:p>
      <w:r>
        <w:t>Relevant requirements include:</w:t>
      </w:r>
    </w:p>
    <w:p>
      <w:pPr>
        <w:pStyle w:val="ListBullet"/>
      </w:pPr>
      <w:r>
        <w:t>Voltage, current, power, and overload capability.</w:t>
      </w:r>
    </w:p>
    <w:p>
      <w:pPr>
        <w:pStyle w:val="ListBullet"/>
      </w:pPr>
      <w:r>
        <w:t>Motor type and feedback compatibility.</w:t>
      </w:r>
    </w:p>
    <w:p>
      <w:pPr>
        <w:pStyle w:val="ListBullet"/>
      </w:pPr>
      <w:r>
        <w:t>Control mode and performance requirements.</w:t>
      </w:r>
    </w:p>
    <w:p>
      <w:pPr>
        <w:pStyle w:val="ListBullet"/>
      </w:pPr>
      <w:r>
        <w:t>Braking and regenerative-energy arrangements.</w:t>
      </w:r>
    </w:p>
    <w:p>
      <w:pPr>
        <w:pStyle w:val="ListBullet"/>
      </w:pPr>
      <w:r>
        <w:t>Communication interfaces and control-word conventions.</w:t>
      </w:r>
    </w:p>
    <w:p>
      <w:pPr>
        <w:pStyle w:val="ListBullet"/>
      </w:pPr>
      <w:r>
        <w:t>Safety functions and applicable validation requirements.</w:t>
      </w:r>
    </w:p>
    <w:p>
      <w:pPr>
        <w:pStyle w:val="ListBullet"/>
      </w:pPr>
      <w:r>
        <w:t>Parameter backup and restoration methods.</w:t>
      </w:r>
    </w:p>
    <w:p>
      <w:pPr>
        <w:pStyle w:val="ListBullet"/>
      </w:pPr>
      <w:r>
        <w:t>Approved motor-protection devices and isolation arrangements.</w:t>
      </w:r>
    </w:p>
    <w:p>
      <w:pPr>
        <w:pStyle w:val="ListBullet"/>
      </w:pPr>
      <w:r>
        <w:t>Spare availability and successor compatibility.</w:t>
      </w:r>
    </w:p>
    <w:p>
      <w:pPr>
        <w:pStyle w:val="ListBullet"/>
      </w:pPr>
      <w:r>
        <w:t>Commissioning and tuning procedures.</w:t>
      </w:r>
    </w:p>
    <w:p>
      <w:r>
        <w:t>A standard VFD may be appropriate for general conveyor applications but unsuitable for a high-performance spindle or demanding servo-motion application.</w:t>
      </w:r>
    </w:p>
    <w:p>
      <w:r>
        <w:t>The standard should therefore specify application categories rather than selecting one product for every motor.</w:t>
      </w:r>
    </w:p>
    <w:p>
      <w:pPr>
        <w:pStyle w:val="Heading2"/>
      </w:pPr>
      <w:r>
        <w:t>11. Electrical panel and wiring standardization</w:t>
      </w:r>
    </w:p>
    <w:p>
      <w:r>
        <w:t>Electrical standardization reduces variation in panel design, wiring, troubleshooting, and modification.</w:t>
      </w:r>
    </w:p>
    <w:p>
      <w:r>
        <w:t>Typical elements include:</w:t>
      </w:r>
    </w:p>
    <w:p>
      <w:pPr>
        <w:pStyle w:val="ListBullet"/>
      </w:pPr>
      <w:r>
        <w:t>Standard enclosure types and environmental protection.</w:t>
      </w:r>
    </w:p>
    <w:p>
      <w:pPr>
        <w:pStyle w:val="ListBullet"/>
      </w:pPr>
      <w:r>
        <w:t>Defined short-circuit and fault-current requirements.</w:t>
      </w:r>
    </w:p>
    <w:p>
      <w:pPr>
        <w:pStyle w:val="ListBullet"/>
      </w:pPr>
      <w:r>
        <w:t>Approved circuit breakers, fuses, contactors, and overload protection.</w:t>
      </w:r>
    </w:p>
    <w:p>
      <w:pPr>
        <w:pStyle w:val="ListBullet"/>
      </w:pPr>
      <w:r>
        <w:t>Standard terminal blocks and distribution arrangements.</w:t>
      </w:r>
    </w:p>
    <w:p>
      <w:pPr>
        <w:pStyle w:val="ListBullet"/>
      </w:pPr>
      <w:r>
        <w:t>Wire numbering, cable identification, and ferrule conventions.</w:t>
      </w:r>
    </w:p>
    <w:p>
      <w:pPr>
        <w:pStyle w:val="ListBullet"/>
      </w:pPr>
      <w:r>
        <w:t>Separation of power, control, communication, and safety circuits as required.</w:t>
      </w:r>
    </w:p>
    <w:p>
      <w:pPr>
        <w:pStyle w:val="ListBullet"/>
      </w:pPr>
      <w:r>
        <w:t>Standard grounding and bonding practices.</w:t>
      </w:r>
    </w:p>
    <w:p>
      <w:pPr>
        <w:pStyle w:val="ListBullet"/>
      </w:pPr>
      <w:r>
        <w:t>Consistent PLC I/O wiring and terminal numbering.</w:t>
      </w:r>
    </w:p>
    <w:p>
      <w:pPr>
        <w:pStyle w:val="ListBullet"/>
      </w:pPr>
      <w:r>
        <w:t>Common drawing symbols, revision controls, and cross-references.</w:t>
      </w:r>
    </w:p>
    <w:p>
      <w:pPr>
        <w:pStyle w:val="ListBullet"/>
      </w:pPr>
      <w:r>
        <w:t>Standard spare terminal and panel-space provisions.</w:t>
      </w:r>
    </w:p>
    <w:p>
      <w:r>
        <w:t>Standardization must not override equipment ratings, applicable electrical rules, safety requirements, or the actual fault conditions at the installation.</w:t>
      </w:r>
    </w:p>
    <w:p>
      <w:r>
        <w:t>For example, selecting one standard circuit breaker model does not establish that its breaking capacity is adequate at every panel location.</w:t>
      </w:r>
    </w:p>
    <w:p>
      <w:pPr>
        <w:pStyle w:val="Heading2"/>
      </w:pPr>
      <w:r>
        <w:t>12. Industrial communication standardization</w:t>
      </w:r>
    </w:p>
    <w:p>
      <w:r>
        <w:t>Communication standardization makes integration and troubleshooting more predictable.</w:t>
      </w:r>
    </w:p>
    <w:p>
      <w:r>
        <w:t>A plant standard may define:</w:t>
      </w:r>
    </w:p>
    <w:p>
      <w:pPr>
        <w:pStyle w:val="ListBullet"/>
      </w:pPr>
      <w:r>
        <w:t>Approved protocols and their permitted applications.</w:t>
      </w:r>
    </w:p>
    <w:p>
      <w:pPr>
        <w:pStyle w:val="ListBullet"/>
      </w:pPr>
      <w:r>
        <w:t>Network segmentation and IP-addressing rules.</w:t>
      </w:r>
    </w:p>
    <w:p>
      <w:pPr>
        <w:pStyle w:val="ListBullet"/>
      </w:pPr>
      <w:r>
        <w:t>Device naming and asset identification.</w:t>
      </w:r>
    </w:p>
    <w:p>
      <w:pPr>
        <w:pStyle w:val="ListBullet"/>
      </w:pPr>
      <w:r>
        <w:t>Switch selection and redundancy requirements.</w:t>
      </w:r>
    </w:p>
    <w:p>
      <w:pPr>
        <w:pStyle w:val="ListBullet"/>
      </w:pPr>
      <w:r>
        <w:t>Fiber-optic and copper media selection.</w:t>
      </w:r>
    </w:p>
    <w:p>
      <w:pPr>
        <w:pStyle w:val="ListBullet"/>
      </w:pPr>
      <w:r>
        <w:t>Managed-switch configuration and port documentation.</w:t>
      </w:r>
    </w:p>
    <w:p>
      <w:pPr>
        <w:pStyle w:val="ListBullet"/>
      </w:pPr>
      <w:r>
        <w:t>Time synchronization and diagnostic logging.</w:t>
      </w:r>
    </w:p>
    <w:p>
      <w:pPr>
        <w:pStyle w:val="ListBullet"/>
      </w:pPr>
      <w:r>
        <w:t>Security zones, remote access, and firewall requirements.</w:t>
      </w:r>
    </w:p>
    <w:p>
      <w:pPr>
        <w:pStyle w:val="ListBullet"/>
      </w:pPr>
      <w:r>
        <w:t>Data-exchange conventions and PLC-to-device handshake patterns.</w:t>
      </w:r>
    </w:p>
    <w:p>
      <w:pPr>
        <w:pStyle w:val="ListBullet"/>
      </w:pPr>
      <w:r>
        <w:t>Protocol gateways and exception handling for legacy equipment.</w:t>
      </w:r>
    </w:p>
    <w:p>
      <w:r>
        <w:t>Examples of technologies include PROFINET, EtherNet/IP, Modbus TCP, Modbus RTU, OPC UA, and vendor-specific interfaces.</w:t>
      </w:r>
    </w:p>
    <w:p>
      <w:r>
        <w:t>Standardizing a protocol does not mean that every device implementing it will communicate without configuration. Data types, connection limits, update rates, addressing, firmware, device profiles, and application semantics still matter.</w:t>
      </w:r>
    </w:p>
    <w:p>
      <w:r>
        <w:t>A gateway may provide interoperability, but it introduces an additional component requiring configuration control, support, cybersecurity assessment, and spare planning.</w:t>
      </w:r>
    </w:p>
    <w:p>
      <w:pPr>
        <w:pStyle w:val="Heading2"/>
      </w:pPr>
      <w:r>
        <w:t>13. Documentation and software standardization</w:t>
      </w:r>
    </w:p>
    <w:p>
      <w:r>
        <w:t>Consistent documentation is essential when equipment is repaired or modified by someone other than the original designer.</w:t>
      </w:r>
    </w:p>
    <w:p>
      <w:r>
        <w:t>A plant standard should cover:</w:t>
      </w:r>
    </w:p>
    <w:p>
      <w:pPr>
        <w:pStyle w:val="ListBullet"/>
      </w:pPr>
      <w:r>
        <w:t>Electrical drawings and revision history.</w:t>
      </w:r>
    </w:p>
    <w:p>
      <w:pPr>
        <w:pStyle w:val="ListBullet"/>
      </w:pPr>
      <w:r>
        <w:t>PLC hardware configuration and I/O lists.</w:t>
      </w:r>
    </w:p>
    <w:p>
      <w:pPr>
        <w:pStyle w:val="ListBullet"/>
      </w:pPr>
      <w:r>
        <w:t>PLC, HMI, SCADA, CNC, and robot project backups.</w:t>
      </w:r>
    </w:p>
    <w:p>
      <w:pPr>
        <w:pStyle w:val="ListBullet"/>
      </w:pPr>
      <w:r>
        <w:t>Software and firmware version records.</w:t>
      </w:r>
    </w:p>
    <w:p>
      <w:pPr>
        <w:pStyle w:val="ListBullet"/>
      </w:pPr>
      <w:r>
        <w:t>Network architecture and addressing.</w:t>
      </w:r>
    </w:p>
    <w:p>
      <w:pPr>
        <w:pStyle w:val="ListBullet"/>
      </w:pPr>
      <w:r>
        <w:t>Alarm and interlock descriptions.</w:t>
      </w:r>
    </w:p>
    <w:p>
      <w:pPr>
        <w:pStyle w:val="ListBullet"/>
      </w:pPr>
      <w:r>
        <w:t>Parameter sets and configuration exports.</w:t>
      </w:r>
    </w:p>
    <w:p>
      <w:pPr>
        <w:pStyle w:val="ListBullet"/>
      </w:pPr>
      <w:r>
        <w:t>Bill of materials and installed spare-part lists.</w:t>
      </w:r>
    </w:p>
    <w:p>
      <w:pPr>
        <w:pStyle w:val="ListBullet"/>
      </w:pPr>
      <w:r>
        <w:t>Commissioning reports and validation records.</w:t>
      </w:r>
    </w:p>
    <w:p>
      <w:pPr>
        <w:pStyle w:val="ListBullet"/>
      </w:pPr>
      <w:r>
        <w:t>Maintenance procedures and troubleshooting guides.</w:t>
      </w:r>
    </w:p>
    <w:p>
      <w:pPr>
        <w:pStyle w:val="ListBullet"/>
      </w:pPr>
      <w:r>
        <w:t>Restoration instructions and access-control arrangements.</w:t>
      </w:r>
    </w:p>
    <w:p>
      <w:r>
        <w:t>Software conventions may define project folder structure, naming rules, reusable code modules, versioning, comments, diagnostics, and test requirements.</w:t>
      </w:r>
    </w:p>
    <w:p>
      <w:r>
        <w:t>A project backup should be checked for completeness and restoration usability. A file that exists but cannot be opened, licensed, or downloaded to the target device is not a dependable recovery asset.</w:t>
      </w:r>
    </w:p>
    <w:p>
      <w:pPr>
        <w:pStyle w:val="Heading2"/>
      </w:pPr>
      <w:r>
        <w:t>14. Standardization and spare-parts rationalization</w:t>
      </w:r>
    </w:p>
    <w:p>
      <w:r>
        <w:t>One of the most measurable benefits of standardization is the reduction of unnecessary spare-part variety.</w:t>
      </w:r>
    </w:p>
    <w:p>
      <w:r>
        <w:t>Consider a plant with six different VFD families serving similar conveyor applications. Consolidating suitable new installations into two approved families may reduce the number of unique spare models, parameter procedures, software tools, and training requirements.</w:t>
      </w:r>
    </w:p>
    <w:p>
      <w:r>
        <w:t>However, existing installations do not automatically become interchangeable after the purchasing standard changes.</w:t>
      </w:r>
    </w:p>
    <w:p>
      <w:r>
        <w:t>Before rationalizing spare parts, verify:</w:t>
      </w:r>
    </w:p>
    <w:p>
      <w:pPr>
        <w:pStyle w:val="ListBullet"/>
      </w:pPr>
      <w:r>
        <w:t>Exact model and revision compatibility.</w:t>
      </w:r>
    </w:p>
    <w:p>
      <w:pPr>
        <w:pStyle w:val="ListBullet"/>
      </w:pPr>
      <w:r>
        <w:t>Electrical and mechanical ratings.</w:t>
      </w:r>
    </w:p>
    <w:p>
      <w:pPr>
        <w:pStyle w:val="ListBullet"/>
      </w:pPr>
      <w:r>
        <w:t>Firmware and parameter compatibility.</w:t>
      </w:r>
    </w:p>
    <w:p>
      <w:pPr>
        <w:pStyle w:val="ListBullet"/>
      </w:pPr>
      <w:r>
        <w:t>Communication and option-card compatibility.</w:t>
      </w:r>
    </w:p>
    <w:p>
      <w:pPr>
        <w:pStyle w:val="ListBullet"/>
      </w:pPr>
      <w:r>
        <w:t>Safety-function compatibility.</w:t>
      </w:r>
    </w:p>
    <w:p>
      <w:pPr>
        <w:pStyle w:val="ListBullet"/>
      </w:pPr>
      <w:r>
        <w:t>Storage conditions and remaining useful life.</w:t>
      </w:r>
    </w:p>
    <w:p>
      <w:pPr>
        <w:pStyle w:val="ListBullet"/>
      </w:pPr>
      <w:r>
        <w:t>Authorized supply and repair routes.</w:t>
      </w:r>
    </w:p>
    <w:p>
      <w:pPr>
        <w:pStyle w:val="ListBullet"/>
      </w:pPr>
      <w:r>
        <w:t>Whether the proposed replacement requires engineering modification.</w:t>
      </w:r>
    </w:p>
    <w:p>
      <w:r>
        <w:t>An item can be removed from the preferred list without being immediately removed from the installed base.</w:t>
      </w:r>
    </w:p>
    <w:p>
      <w:pPr>
        <w:pStyle w:val="Heading2"/>
      </w:pPr>
      <w:r>
        <w:t>15. Standardization metrics</w:t>
      </w:r>
    </w:p>
    <w:p>
      <w:r>
        <w:t>Standardization should be measured using defined indicators rather than subjective statements such as “the plant has fewer makes now.”</w:t>
      </w:r>
    </w:p>
    <w:p>
      <w:pPr>
        <w:pStyle w:val="Heading3"/>
      </w:pPr>
      <w:r>
        <w:t>15.1 Approved-component adoption</w:t>
      </w:r>
    </w:p>
    <w:p>
      <w:pPr>
        <w:spacing w:before="120" w:after="160"/>
        <w:jc w:val="center"/>
      </w:pPr>
      <m:oMathPara>
        <m:oMath>
          <m:r>
            <m:rPr>
              <m:nor/>
            </m:rPr>
            <m:t>Adoption Rate</m:t>
          </m:r>
          <m:r>
            <m:t>=</m:t>
          </m:r>
          <m:f>
            <m:fPr>
              <m:type m:val="bar"/>
            </m:fPr>
            <m:num>
              <m:r>
                <m:rPr>
                  <m:nor/>
                </m:rPr>
                <m:t>New Installations Using Approved Components</m:t>
              </m:r>
            </m:num>
            <m:den>
              <m:r>
                <m:rPr>
                  <m:nor/>
                </m:rPr>
                <m:t>Total Eligible New Installations</m:t>
              </m:r>
            </m:den>
          </m:f>
          <m:r>
            <m:t>×100</m:t>
          </m:r>
        </m:oMath>
      </m:oMathPara>
    </w:p>
    <w:p>
      <w:pPr>
        <w:pStyle w:val="Heading3"/>
      </w:pPr>
      <w:r>
        <w:t>15.2 Component variety reduction</w:t>
      </w:r>
    </w:p>
    <w:p>
      <w:pPr>
        <w:spacing w:before="120" w:after="160"/>
        <w:jc w:val="center"/>
      </w:pPr>
      <m:oMathPara>
        <m:oMath>
          <m:r>
            <m:rPr>
              <m:nor/>
            </m:rPr>
            <m:t>Variety Reduction</m:t>
          </m:r>
          <m:r>
            <m:t>=</m:t>
          </m:r>
          <m:f>
            <m:fPr>
              <m:type m:val="bar"/>
            </m:fPr>
            <m:num>
              <m:r>
                <m:rPr>
                  <m:nor/>
                </m:rPr>
                <m:t>Initial Variants</m:t>
              </m:r>
              <m:r>
                <m:t>−</m:t>
              </m:r>
              <m:r>
                <m:rPr>
                  <m:nor/>
                </m:rPr>
                <m:t>Current Variants</m:t>
              </m:r>
            </m:num>
            <m:den>
              <m:r>
                <m:rPr>
                  <m:nor/>
                </m:rPr>
                <m:t>Initial Variants</m:t>
              </m:r>
            </m:den>
          </m:f>
          <m:r>
            <m:t>×100</m:t>
          </m:r>
        </m:oMath>
      </m:oMathPara>
    </w:p>
    <w:p>
      <w:pPr>
        <w:pStyle w:val="Heading3"/>
      </w:pPr>
      <w:r>
        <w:t>15.3 Standard spare coverage</w:t>
      </w:r>
    </w:p>
    <w:p>
      <w:pPr>
        <w:spacing w:before="120" w:after="160"/>
        <w:jc w:val="center"/>
      </w:pPr>
      <m:oMathPara>
        <m:oMath>
          <m:r>
            <m:rPr>
              <m:nor/>
            </m:rPr>
            <m:t>Spare Coverage</m:t>
          </m:r>
          <m:r>
            <m:t>=</m:t>
          </m:r>
          <m:f>
            <m:fPr>
              <m:type m:val="bar"/>
            </m:fPr>
            <m:num>
              <m:r>
                <m:rPr>
                  <m:nor/>
                </m:rPr>
                <m:t>Critical Assets Covered by Approved Spare Strategy</m:t>
              </m:r>
            </m:num>
            <m:den>
              <m:r>
                <m:rPr>
                  <m:nor/>
                </m:rPr>
                <m:t>Total Critical Assets</m:t>
              </m:r>
            </m:den>
          </m:f>
          <m:r>
            <m:t>×100</m:t>
          </m:r>
        </m:oMath>
      </m:oMathPara>
    </w:p>
    <w:p>
      <w:pPr>
        <w:pStyle w:val="Heading3"/>
      </w:pPr>
      <w:r>
        <w:t>15.4 Standardization compliance</w:t>
      </w:r>
    </w:p>
    <w:p>
      <w:pPr>
        <w:spacing w:before="120" w:after="160"/>
        <w:jc w:val="center"/>
      </w:pPr>
      <m:oMathPara>
        <m:oMath>
          <m:r>
            <m:rPr>
              <m:nor/>
            </m:rPr>
            <m:t>Compliance Rate</m:t>
          </m:r>
          <m:r>
            <m:t>=</m:t>
          </m:r>
          <m:f>
            <m:fPr>
              <m:type m:val="bar"/>
            </m:fPr>
            <m:num>
              <m:r>
                <m:rPr>
                  <m:nor/>
                </m:rPr>
                <m:t>Audited Items Meeting the Standard</m:t>
              </m:r>
            </m:num>
            <m:den>
              <m:r>
                <m:rPr>
                  <m:nor/>
                </m:rPr>
                <m:t>Total Audited Items</m:t>
              </m:r>
            </m:den>
          </m:f>
          <m:r>
            <m:t>×100</m:t>
          </m:r>
        </m:oMath>
      </m:oMathPara>
    </w:p>
    <w:p>
      <w:r>
        <w:t>Each metric needs a defined scope, data source, review period, and exception policy. A high adoption rate alone does not prove that the selected standard is technically suitable or economically beneficial.</w:t>
      </w:r>
    </w:p>
    <w:p>
      <w:pPr>
        <w:pStyle w:val="Heading2"/>
      </w:pPr>
      <w:r>
        <w:t>16. Lifecycle cost and procurement leverage</w:t>
      </w:r>
    </w:p>
    <w:p>
      <w:r>
        <w:t>Standardization can reduce costs beyond the unit purchase price.</w:t>
      </w:r>
    </w:p>
    <w:p>
      <w:r>
        <w:t>Potential savings include:</w:t>
      </w:r>
    </w:p>
    <w:p>
      <w:pPr>
        <w:pStyle w:val="ListBullet"/>
      </w:pPr>
      <w:r>
        <w:t>Reduced inventory and storage.</w:t>
      </w:r>
    </w:p>
    <w:p>
      <w:pPr>
        <w:pStyle w:val="ListBullet"/>
      </w:pPr>
      <w:r>
        <w:t>Lower training and competency-maintenance costs.</w:t>
      </w:r>
    </w:p>
    <w:p>
      <w:pPr>
        <w:pStyle w:val="ListBullet"/>
      </w:pPr>
      <w:r>
        <w:t>Fewer engineering software environments.</w:t>
      </w:r>
    </w:p>
    <w:p>
      <w:pPr>
        <w:pStyle w:val="ListBullet"/>
      </w:pPr>
      <w:r>
        <w:t>Reuse of tested designs and program libraries.</w:t>
      </w:r>
    </w:p>
    <w:p>
      <w:pPr>
        <w:pStyle w:val="ListBullet"/>
      </w:pPr>
      <w:r>
        <w:t>Reduced commissioning time.</w:t>
      </w:r>
    </w:p>
    <w:p>
      <w:pPr>
        <w:pStyle w:val="ListBullet"/>
      </w:pPr>
      <w:r>
        <w:t>Better purchasing leverage through consolidated demand.</w:t>
      </w:r>
    </w:p>
    <w:p>
      <w:pPr>
        <w:pStyle w:val="ListBullet"/>
      </w:pPr>
      <w:r>
        <w:t>Simplified vendor support and spare sourcing.</w:t>
      </w:r>
    </w:p>
    <w:p>
      <w:pPr>
        <w:pStyle w:val="ListBullet"/>
      </w:pPr>
      <w:r>
        <w:t>Faster restoration and more consistent maintenance.</w:t>
      </w:r>
    </w:p>
    <w:p>
      <w:r>
        <w:t>Potential costs include:</w:t>
      </w:r>
    </w:p>
    <w:p>
      <w:pPr>
        <w:pStyle w:val="ListBullet"/>
      </w:pPr>
      <w:r>
        <w:t>Conversion of legacy equipment.</w:t>
      </w:r>
    </w:p>
    <w:p>
      <w:pPr>
        <w:pStyle w:val="ListBullet"/>
      </w:pPr>
      <w:r>
        <w:t>Training during a platform transition.</w:t>
      </w:r>
    </w:p>
    <w:p>
      <w:pPr>
        <w:pStyle w:val="ListBullet"/>
      </w:pPr>
      <w:r>
        <w:t>Migration engineering and commissioning.</w:t>
      </w:r>
    </w:p>
    <w:p>
      <w:pPr>
        <w:pStyle w:val="ListBullet"/>
      </w:pPr>
      <w:r>
        <w:t>Vendor dependence and licensing costs.</w:t>
      </w:r>
    </w:p>
    <w:p>
      <w:pPr>
        <w:pStyle w:val="ListBullet"/>
      </w:pPr>
      <w:r>
        <w:t>Loss of specialized capabilities if the standard is too restrictive.</w:t>
      </w:r>
    </w:p>
    <w:p>
      <w:pPr>
        <w:pStyle w:val="ListBullet"/>
      </w:pPr>
      <w:r>
        <w:t>Initial costs of developing and validating templates.</w:t>
      </w:r>
    </w:p>
    <w:p>
      <w:pPr>
        <w:pStyle w:val="ListBullet"/>
      </w:pPr>
      <w:r>
        <w:t>The risk of a common platform creating a widespread failure exposure.</w:t>
      </w:r>
    </w:p>
    <w:p>
      <w:r>
        <w:t>A complete business case should compare expected benefits with implementation and lifecycle costs, including the risk of production interruption.</w:t>
      </w:r>
    </w:p>
    <w:p>
      <w:pPr>
        <w:pStyle w:val="Heading2"/>
      </w:pPr>
      <w:r>
        <w:t>17. Vendor lock-in and standardization risk</w:t>
      </w:r>
    </w:p>
    <w:p>
      <w:r>
        <w:t>Standardization can reduce complexity but also concentrate risk.</w:t>
      </w:r>
    </w:p>
    <w:p>
      <w:r>
        <w:t>If every critical machine depends on one supplier's proprietary controller, engineering software, communication interfaces, and licenses, the plant may become highly dependent on that supplier.</w:t>
      </w:r>
    </w:p>
    <w:p>
      <w:r>
        <w:t>Mitigations include:</w:t>
      </w:r>
    </w:p>
    <w:p>
      <w:pPr>
        <w:pStyle w:val="ListBullet"/>
      </w:pPr>
      <w:r>
        <w:t>Documented export and backup formats.</w:t>
      </w:r>
    </w:p>
    <w:p>
      <w:pPr>
        <w:pStyle w:val="ListBullet"/>
      </w:pPr>
      <w:r>
        <w:t>Defined license ownership and recovery arrangements.</w:t>
      </w:r>
    </w:p>
    <w:p>
      <w:pPr>
        <w:pStyle w:val="ListBullet"/>
      </w:pPr>
      <w:r>
        <w:t>Open or well-supported communication interfaces where technically appropriate.</w:t>
      </w:r>
    </w:p>
    <w:p>
      <w:pPr>
        <w:pStyle w:val="ListBullet"/>
      </w:pPr>
      <w:r>
        <w:t>Contractual lifecycle notification requirements.</w:t>
      </w:r>
    </w:p>
    <w:p>
      <w:pPr>
        <w:pStyle w:val="ListBullet"/>
      </w:pPr>
      <w:r>
        <w:t>Qualified alternate sources for suitable components.</w:t>
      </w:r>
    </w:p>
    <w:p>
      <w:pPr>
        <w:pStyle w:val="ListBullet"/>
      </w:pPr>
      <w:r>
        <w:t>Defined migration and interoperability requirements.</w:t>
      </w:r>
    </w:p>
    <w:p>
      <w:pPr>
        <w:pStyle w:val="ListBullet"/>
      </w:pPr>
      <w:r>
        <w:t>Supplier performance reviews.</w:t>
      </w:r>
    </w:p>
    <w:p>
      <w:pPr>
        <w:pStyle w:val="ListBullet"/>
      </w:pPr>
      <w:r>
        <w:t>Retention of application documentation and configuration records.</w:t>
      </w:r>
    </w:p>
    <w:p>
      <w:pPr>
        <w:pStyle w:val="ListBullet"/>
      </w:pPr>
      <w:r>
        <w:t>A controlled exception process for applications requiring specialized technology.</w:t>
      </w:r>
    </w:p>
    <w:p>
      <w:r>
        <w:t>Using multiple vendors is not automatically safer. Multiple platforms can increase support complexity and the number of skills, spares, licenses, and cybersecurity configurations that must be maintained.</w:t>
      </w:r>
    </w:p>
    <w:p>
      <w:r>
        <w:t>The goal is managed supplier and technology risk, not maximum vendor count.</w:t>
      </w:r>
    </w:p>
    <w:p>
      <w:pPr>
        <w:pStyle w:val="Heading2"/>
      </w:pPr>
      <w:r>
        <w:t>18. Technical bid evaluation using standardization criteria</w:t>
      </w:r>
    </w:p>
    <w:p>
      <w:r>
        <w:t>Standardization should be explicitly assessed in the technical bid evaluation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Criterion</w:t>
            </w:r>
          </w:p>
        </w:tc>
        <w:tc>
          <w:tcPr>
            <w:tcW w:type="dxa" w:w="3600"/>
            <w:shd w:val="clear" w:color="auto" w:fill="EEF2F7"/>
          </w:tcPr>
          <w:p>
            <w:pPr>
              <w:spacing w:after="0" w:before="0" w:line="240" w:lineRule="auto"/>
              <w:jc w:val="left"/>
            </w:pPr>
            <w:r>
              <w:rPr>
                <w:b/>
                <w:color w:val="1A2E4A"/>
              </w:rPr>
              <w:t>Evaluation question</w:t>
            </w:r>
          </w:p>
        </w:tc>
        <w:tc>
          <w:tcPr>
            <w:tcW w:type="dxa" w:w="3600"/>
            <w:shd w:val="clear" w:color="auto" w:fill="EEF2F7"/>
          </w:tcPr>
          <w:p>
            <w:pPr>
              <w:spacing w:after="0" w:before="0" w:line="240" w:lineRule="auto"/>
              <w:jc w:val="left"/>
            </w:pPr>
            <w:r>
              <w:rPr>
                <w:b/>
                <w:color w:val="1A2E4A"/>
              </w:rPr>
              <w:t>Evidence required</w:t>
            </w:r>
          </w:p>
        </w:tc>
      </w:tr>
      <w:tr>
        <w:tc>
          <w:tcPr>
            <w:tcW w:type="dxa" w:w="3600"/>
          </w:tcPr>
          <w:p>
            <w:pPr>
              <w:spacing w:after="0" w:before="0" w:line="240" w:lineRule="auto"/>
              <w:jc w:val="left"/>
            </w:pPr>
            <w:r>
              <w:t>Approved platform</w:t>
            </w:r>
          </w:p>
        </w:tc>
        <w:tc>
          <w:tcPr>
            <w:tcW w:type="dxa" w:w="3600"/>
          </w:tcPr>
          <w:p>
            <w:pPr>
              <w:spacing w:after="0" w:before="0" w:line="240" w:lineRule="auto"/>
              <w:jc w:val="left"/>
            </w:pPr>
            <w:r>
              <w:t>Does the offered equipment meet the plant standard?</w:t>
            </w:r>
          </w:p>
        </w:tc>
        <w:tc>
          <w:tcPr>
            <w:tcW w:type="dxa" w:w="3600"/>
          </w:tcPr>
          <w:p>
            <w:pPr>
              <w:spacing w:after="0" w:before="0" w:line="240" w:lineRule="auto"/>
              <w:jc w:val="left"/>
            </w:pPr>
            <w:r>
              <w:t>Exact model and approved-list reference</w:t>
            </w:r>
          </w:p>
        </w:tc>
      </w:tr>
      <w:tr>
        <w:tc>
          <w:tcPr>
            <w:tcW w:type="dxa" w:w="3600"/>
          </w:tcPr>
          <w:p>
            <w:pPr>
              <w:spacing w:after="0" w:before="0" w:line="240" w:lineRule="auto"/>
              <w:jc w:val="left"/>
            </w:pPr>
            <w:r>
              <w:t>Technical suitability</w:t>
            </w:r>
          </w:p>
        </w:tc>
        <w:tc>
          <w:tcPr>
            <w:tcW w:type="dxa" w:w="3600"/>
          </w:tcPr>
          <w:p>
            <w:pPr>
              <w:spacing w:after="0" w:before="0" w:line="240" w:lineRule="auto"/>
              <w:jc w:val="left"/>
            </w:pPr>
            <w:r>
              <w:t>Is the platform appropriate for the application?</w:t>
            </w:r>
          </w:p>
        </w:tc>
        <w:tc>
          <w:tcPr>
            <w:tcW w:type="dxa" w:w="3600"/>
          </w:tcPr>
          <w:p>
            <w:pPr>
              <w:spacing w:after="0" w:before="0" w:line="240" w:lineRule="auto"/>
              <w:jc w:val="left"/>
            </w:pPr>
            <w:r>
              <w:t>Ratings, performance data, and architecture</w:t>
            </w:r>
          </w:p>
        </w:tc>
      </w:tr>
      <w:tr>
        <w:tc>
          <w:tcPr>
            <w:tcW w:type="dxa" w:w="3600"/>
          </w:tcPr>
          <w:p>
            <w:pPr>
              <w:spacing w:after="0" w:before="0" w:line="240" w:lineRule="auto"/>
              <w:jc w:val="left"/>
            </w:pPr>
            <w:r>
              <w:t>Existing compatibility</w:t>
            </w:r>
          </w:p>
        </w:tc>
        <w:tc>
          <w:tcPr>
            <w:tcW w:type="dxa" w:w="3600"/>
          </w:tcPr>
          <w:p>
            <w:pPr>
              <w:spacing w:after="0" w:before="0" w:line="240" w:lineRule="auto"/>
              <w:jc w:val="left"/>
            </w:pPr>
            <w:r>
              <w:t>Does it integrate with the installed base?</w:t>
            </w:r>
          </w:p>
        </w:tc>
        <w:tc>
          <w:tcPr>
            <w:tcW w:type="dxa" w:w="3600"/>
          </w:tcPr>
          <w:p>
            <w:pPr>
              <w:spacing w:after="0" w:before="0" w:line="240" w:lineRule="auto"/>
              <w:jc w:val="left"/>
            </w:pPr>
            <w:r>
              <w:t>Interface and compatibility documentation</w:t>
            </w:r>
          </w:p>
        </w:tc>
      </w:tr>
      <w:tr>
        <w:tc>
          <w:tcPr>
            <w:tcW w:type="dxa" w:w="3600"/>
          </w:tcPr>
          <w:p>
            <w:pPr>
              <w:spacing w:after="0" w:before="0" w:line="240" w:lineRule="auto"/>
              <w:jc w:val="left"/>
            </w:pPr>
            <w:r>
              <w:t>Spare commonality</w:t>
            </w:r>
          </w:p>
        </w:tc>
        <w:tc>
          <w:tcPr>
            <w:tcW w:type="dxa" w:w="3600"/>
          </w:tcPr>
          <w:p>
            <w:pPr>
              <w:spacing w:after="0" w:before="0" w:line="240" w:lineRule="auto"/>
              <w:jc w:val="left"/>
            </w:pPr>
            <w:r>
              <w:t>Can existing approved spares be used?</w:t>
            </w:r>
          </w:p>
        </w:tc>
        <w:tc>
          <w:tcPr>
            <w:tcW w:type="dxa" w:w="3600"/>
          </w:tcPr>
          <w:p>
            <w:pPr>
              <w:spacing w:after="0" w:before="0" w:line="240" w:lineRule="auto"/>
              <w:jc w:val="left"/>
            </w:pPr>
            <w:r>
              <w:t>Verified model and revision compatibility</w:t>
            </w:r>
          </w:p>
        </w:tc>
      </w:tr>
      <w:tr>
        <w:tc>
          <w:tcPr>
            <w:tcW w:type="dxa" w:w="3600"/>
          </w:tcPr>
          <w:p>
            <w:pPr>
              <w:spacing w:after="0" w:before="0" w:line="240" w:lineRule="auto"/>
              <w:jc w:val="left"/>
            </w:pPr>
            <w:r>
              <w:t>Software commonality</w:t>
            </w:r>
          </w:p>
        </w:tc>
        <w:tc>
          <w:tcPr>
            <w:tcW w:type="dxa" w:w="3600"/>
          </w:tcPr>
          <w:p>
            <w:pPr>
              <w:spacing w:after="0" w:before="0" w:line="240" w:lineRule="auto"/>
              <w:jc w:val="left"/>
            </w:pPr>
            <w:r>
              <w:t>Can existing engineering tools maintain it?</w:t>
            </w:r>
          </w:p>
        </w:tc>
        <w:tc>
          <w:tcPr>
            <w:tcW w:type="dxa" w:w="3600"/>
          </w:tcPr>
          <w:p>
            <w:pPr>
              <w:spacing w:after="0" w:before="0" w:line="240" w:lineRule="auto"/>
              <w:jc w:val="left"/>
            </w:pPr>
            <w:r>
              <w:t>Supported software and licensing information</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Does the supplier follow required formats?</w:t>
            </w:r>
          </w:p>
        </w:tc>
        <w:tc>
          <w:tcPr>
            <w:tcW w:type="dxa" w:w="3600"/>
          </w:tcPr>
          <w:p>
            <w:pPr>
              <w:spacing w:after="0" w:before="0" w:line="240" w:lineRule="auto"/>
              <w:jc w:val="left"/>
            </w:pPr>
            <w:r>
              <w:t>Sample drawings, tag lists, and project structure</w:t>
            </w:r>
          </w:p>
        </w:tc>
      </w:tr>
      <w:tr>
        <w:tc>
          <w:tcPr>
            <w:tcW w:type="dxa" w:w="3600"/>
          </w:tcPr>
          <w:p>
            <w:pPr>
              <w:spacing w:after="0" w:before="0" w:line="240" w:lineRule="auto"/>
              <w:jc w:val="left"/>
            </w:pPr>
            <w:r>
              <w:t>Lifecycle support</w:t>
            </w:r>
          </w:p>
        </w:tc>
        <w:tc>
          <w:tcPr>
            <w:tcW w:type="dxa" w:w="3600"/>
          </w:tcPr>
          <w:p>
            <w:pPr>
              <w:spacing w:after="0" w:before="0" w:line="240" w:lineRule="auto"/>
              <w:jc w:val="left"/>
            </w:pPr>
            <w:r>
              <w:t>Does the product meet the required support horizon?</w:t>
            </w:r>
          </w:p>
        </w:tc>
        <w:tc>
          <w:tcPr>
            <w:tcW w:type="dxa" w:w="3600"/>
          </w:tcPr>
          <w:p>
            <w:pPr>
              <w:spacing w:after="0" w:before="0" w:line="240" w:lineRule="auto"/>
              <w:jc w:val="left"/>
            </w:pPr>
            <w:r>
              <w:t>Manufacturer lifecycle evidence</w:t>
            </w:r>
          </w:p>
        </w:tc>
      </w:tr>
      <w:tr>
        <w:tc>
          <w:tcPr>
            <w:tcW w:type="dxa" w:w="3600"/>
          </w:tcPr>
          <w:p>
            <w:pPr>
              <w:spacing w:after="0" w:before="0" w:line="240" w:lineRule="auto"/>
              <w:jc w:val="left"/>
            </w:pPr>
            <w:r>
              <w:t>Cybersecurity</w:t>
            </w:r>
          </w:p>
        </w:tc>
        <w:tc>
          <w:tcPr>
            <w:tcW w:type="dxa" w:w="3600"/>
          </w:tcPr>
          <w:p>
            <w:pPr>
              <w:spacing w:after="0" w:before="0" w:line="240" w:lineRule="auto"/>
              <w:jc w:val="left"/>
            </w:pPr>
            <w:r>
              <w:t>Does it meet the plant's security requirements?</w:t>
            </w:r>
          </w:p>
        </w:tc>
        <w:tc>
          <w:tcPr>
            <w:tcW w:type="dxa" w:w="3600"/>
          </w:tcPr>
          <w:p>
            <w:pPr>
              <w:spacing w:after="0" w:before="0" w:line="240" w:lineRule="auto"/>
              <w:jc w:val="left"/>
            </w:pPr>
            <w:r>
              <w:t>Supported versions and security documentation</w:t>
            </w:r>
          </w:p>
        </w:tc>
      </w:tr>
      <w:tr>
        <w:tc>
          <w:tcPr>
            <w:tcW w:type="dxa" w:w="3600"/>
          </w:tcPr>
          <w:p>
            <w:pPr>
              <w:spacing w:after="0" w:before="0" w:line="240" w:lineRule="auto"/>
              <w:jc w:val="left"/>
            </w:pPr>
            <w:r>
              <w:t>Supplier dependence</w:t>
            </w:r>
          </w:p>
        </w:tc>
        <w:tc>
          <w:tcPr>
            <w:tcW w:type="dxa" w:w="3600"/>
          </w:tcPr>
          <w:p>
            <w:pPr>
              <w:spacing w:after="0" w:before="0" w:line="240" w:lineRule="auto"/>
              <w:jc w:val="left"/>
            </w:pPr>
            <w:r>
              <w:t>Are proprietary dependencies acceptable?</w:t>
            </w:r>
          </w:p>
        </w:tc>
        <w:tc>
          <w:tcPr>
            <w:tcW w:type="dxa" w:w="3600"/>
          </w:tcPr>
          <w:p>
            <w:pPr>
              <w:spacing w:after="0" w:before="0" w:line="240" w:lineRule="auto"/>
              <w:jc w:val="left"/>
            </w:pPr>
            <w:r>
              <w:t>Interface, licensing, and migration details</w:t>
            </w:r>
          </w:p>
        </w:tc>
      </w:tr>
      <w:tr>
        <w:tc>
          <w:tcPr>
            <w:tcW w:type="dxa" w:w="3600"/>
          </w:tcPr>
          <w:p>
            <w:pPr>
              <w:spacing w:after="0" w:before="0" w:line="240" w:lineRule="auto"/>
              <w:jc w:val="left"/>
            </w:pPr>
            <w:r>
              <w:t>Exception management</w:t>
            </w:r>
          </w:p>
        </w:tc>
        <w:tc>
          <w:tcPr>
            <w:tcW w:type="dxa" w:w="3600"/>
          </w:tcPr>
          <w:p>
            <w:pPr>
              <w:spacing w:after="0" w:before="0" w:line="240" w:lineRule="auto"/>
              <w:jc w:val="left"/>
            </w:pPr>
            <w:r>
              <w:t>Are deviations identified and justified?</w:t>
            </w:r>
          </w:p>
        </w:tc>
        <w:tc>
          <w:tcPr>
            <w:tcW w:type="dxa" w:w="3600"/>
          </w:tcPr>
          <w:p>
            <w:pPr>
              <w:spacing w:after="0" w:before="0" w:line="240" w:lineRule="auto"/>
              <w:jc w:val="left"/>
            </w:pPr>
            <w:r>
              <w:t>Deviation list and approval requirements</w:t>
            </w:r>
          </w:p>
        </w:tc>
      </w:tr>
    </w:tbl>
    <w:p/>
    <w:p>
      <w:r>
        <w:t>A technically superior product may justify an exception to the preferred standard, but the decision should document why the benefits outweigh the additional lifecycle and support complexity.</w:t>
      </w:r>
    </w:p>
    <w:p>
      <w:pPr>
        <w:pStyle w:val="Heading2"/>
      </w:pPr>
      <w:r>
        <w:t>19. Exceptions and governance</w:t>
      </w:r>
    </w:p>
    <w:p>
      <w:r>
        <w:t>A standard is useful only when its application is controlled.</w:t>
      </w:r>
    </w:p>
    <w:p>
      <w:r>
        <w:t>Exceptions may be justified when:</w:t>
      </w:r>
    </w:p>
    <w:p>
      <w:pPr>
        <w:pStyle w:val="ListBullet"/>
      </w:pPr>
      <w:r>
        <w:t>The standard cannot meet a safety or performance requirement.</w:t>
      </w:r>
    </w:p>
    <w:p>
      <w:pPr>
        <w:pStyle w:val="ListBullet"/>
      </w:pPr>
      <w:r>
        <w:t>A specialized process requires unique functionality.</w:t>
      </w:r>
    </w:p>
    <w:p>
      <w:pPr>
        <w:pStyle w:val="ListBullet"/>
      </w:pPr>
      <w:r>
        <w:t>The existing machine builder supports only a different platform.</w:t>
      </w:r>
    </w:p>
    <w:p>
      <w:pPr>
        <w:pStyle w:val="ListBullet"/>
      </w:pPr>
      <w:r>
        <w:t>A replacement must integrate with a legacy system.</w:t>
      </w:r>
    </w:p>
    <w:p>
      <w:pPr>
        <w:pStyle w:val="ListBullet"/>
      </w:pPr>
      <w:r>
        <w:t>The approved product is unavailable or has a serious lifecycle risk.</w:t>
      </w:r>
    </w:p>
    <w:p>
      <w:pPr>
        <w:pStyle w:val="ListBullet"/>
      </w:pPr>
      <w:r>
        <w:t>A validated alternative provides a substantial lifecycle benefit.</w:t>
      </w:r>
    </w:p>
    <w:p>
      <w:r>
        <w:t>A controlled exception process should record:</w:t>
      </w:r>
    </w:p>
    <w:p>
      <w:pPr>
        <w:tabs>
          <w:tab w:pos="403" w:val="left"/>
        </w:tabs>
        <w:spacing w:after="40" w:line="276" w:lineRule="auto"/>
        <w:ind w:left="403" w:hanging="403"/>
        <w:jc w:val="left"/>
      </w:pPr>
      <w:r>
        <w:rPr>
          <w:color w:val="1A2E4A"/>
        </w:rPr>
        <w:t>1.</w:t>
        <w:tab/>
      </w:r>
      <w:r>
        <w:t>The requested deviation.</w:t>
      </w:r>
    </w:p>
    <w:p>
      <w:pPr>
        <w:tabs>
          <w:tab w:pos="403" w:val="left"/>
        </w:tabs>
        <w:spacing w:after="40" w:line="276" w:lineRule="auto"/>
        <w:ind w:left="403" w:hanging="403"/>
        <w:jc w:val="left"/>
      </w:pPr>
      <w:r>
        <w:rPr>
          <w:color w:val="1A2E4A"/>
        </w:rPr>
        <w:t>2.</w:t>
        <w:tab/>
      </w:r>
      <w:r>
        <w:t>The technical reason.</w:t>
      </w:r>
    </w:p>
    <w:p>
      <w:pPr>
        <w:tabs>
          <w:tab w:pos="403" w:val="left"/>
        </w:tabs>
        <w:spacing w:after="40" w:line="276" w:lineRule="auto"/>
        <w:ind w:left="403" w:hanging="403"/>
        <w:jc w:val="left"/>
      </w:pPr>
      <w:r>
        <w:rPr>
          <w:color w:val="1A2E4A"/>
        </w:rPr>
        <w:t>3.</w:t>
        <w:tab/>
      </w:r>
      <w:r>
        <w:t>Alternatives considered.</w:t>
      </w:r>
    </w:p>
    <w:p>
      <w:pPr>
        <w:tabs>
          <w:tab w:pos="403" w:val="left"/>
        </w:tabs>
        <w:spacing w:after="40" w:line="276" w:lineRule="auto"/>
        <w:ind w:left="403" w:hanging="403"/>
        <w:jc w:val="left"/>
      </w:pPr>
      <w:r>
        <w:rPr>
          <w:color w:val="1A2E4A"/>
        </w:rPr>
        <w:t>4.</w:t>
        <w:tab/>
      </w:r>
      <w:r>
        <w:t>Safety, quality, cybersecurity, and lifecycle impacts.</w:t>
      </w:r>
    </w:p>
    <w:p>
      <w:pPr>
        <w:tabs>
          <w:tab w:pos="403" w:val="left"/>
        </w:tabs>
        <w:spacing w:after="40" w:line="276" w:lineRule="auto"/>
        <w:ind w:left="403" w:hanging="403"/>
        <w:jc w:val="left"/>
      </w:pPr>
      <w:r>
        <w:rPr>
          <w:color w:val="1A2E4A"/>
        </w:rPr>
        <w:t>5.</w:t>
        <w:tab/>
      </w:r>
      <w:r>
        <w:t>Spare-parts and training implications.</w:t>
      </w:r>
    </w:p>
    <w:p>
      <w:pPr>
        <w:tabs>
          <w:tab w:pos="403" w:val="left"/>
        </w:tabs>
        <w:spacing w:after="40" w:line="276" w:lineRule="auto"/>
        <w:ind w:left="403" w:hanging="403"/>
        <w:jc w:val="left"/>
      </w:pPr>
      <w:r>
        <w:rPr>
          <w:color w:val="1A2E4A"/>
        </w:rPr>
        <w:t>6.</w:t>
        <w:tab/>
      </w:r>
      <w:r>
        <w:t>Additional costs and support requirements.</w:t>
      </w:r>
    </w:p>
    <w:p>
      <w:pPr>
        <w:tabs>
          <w:tab w:pos="403" w:val="left"/>
        </w:tabs>
        <w:spacing w:after="40" w:line="276" w:lineRule="auto"/>
        <w:ind w:left="403" w:hanging="403"/>
        <w:jc w:val="left"/>
      </w:pPr>
      <w:r>
        <w:rPr>
          <w:color w:val="1A2E4A"/>
        </w:rPr>
        <w:t>7.</w:t>
        <w:tab/>
      </w:r>
      <w:r>
        <w:t>Approval from the responsible authorities.</w:t>
      </w:r>
    </w:p>
    <w:p>
      <w:pPr>
        <w:tabs>
          <w:tab w:pos="403" w:val="left"/>
        </w:tabs>
        <w:spacing w:after="40" w:line="276" w:lineRule="auto"/>
        <w:ind w:left="403" w:hanging="403"/>
        <w:jc w:val="left"/>
      </w:pPr>
      <w:r>
        <w:rPr>
          <w:color w:val="1A2E4A"/>
        </w:rPr>
        <w:t>8.</w:t>
        <w:tab/>
      </w:r>
      <w:r>
        <w:t>Conditions, review date, and any future migration requirement.</w:t>
      </w:r>
    </w:p>
    <w:p>
      <w:r>
        <w:t>Standards should be periodically reviewed using field failures, maintenance feedback, product lifecycle notices, project lessons, and changes in technology or regulatory requirements.</w:t>
      </w:r>
    </w:p>
    <w:p>
      <w:pPr>
        <w:pStyle w:val="Heading2"/>
      </w:pPr>
      <w:r>
        <w:t>20. Common standardization mistakes</w:t>
      </w:r>
    </w:p>
    <w:p>
      <w:pPr>
        <w:pStyle w:val="ListBullet"/>
      </w:pPr>
      <w:r>
        <w:t>Selecting one manufacturer for every application without evaluating technical suitability.</w:t>
      </w:r>
    </w:p>
    <w:p>
      <w:pPr>
        <w:pStyle w:val="ListBullet"/>
      </w:pPr>
      <w:r>
        <w:t>Confusing preferred components with mandatory components.</w:t>
      </w:r>
    </w:p>
    <w:p>
      <w:pPr>
        <w:pStyle w:val="ListBullet"/>
      </w:pPr>
      <w:r>
        <w:t>Ignoring compatibility across firmware, software, and hardware revisions.</w:t>
      </w:r>
    </w:p>
    <w:p>
      <w:pPr>
        <w:pStyle w:val="ListBullet"/>
      </w:pPr>
      <w:r>
        <w:t>Declaring two devices interchangeable because they have similar dimensions.</w:t>
      </w:r>
    </w:p>
    <w:p>
      <w:pPr>
        <w:pStyle w:val="ListBullet"/>
      </w:pPr>
      <w:r>
        <w:t>Standardizing a platform without ensuring that technicians can obtain the required licenses and tools.</w:t>
      </w:r>
    </w:p>
    <w:p>
      <w:pPr>
        <w:pStyle w:val="ListBullet"/>
      </w:pPr>
      <w:r>
        <w:t>Retaining an outdated standard after the preferred product becomes obsolete.</w:t>
      </w:r>
    </w:p>
    <w:p>
      <w:pPr>
        <w:pStyle w:val="ListBullet"/>
      </w:pPr>
      <w:r>
        <w:t>Forcing new standards onto legacy assets without a migration plan.</w:t>
      </w:r>
    </w:p>
    <w:p>
      <w:pPr>
        <w:pStyle w:val="ListBullet"/>
      </w:pPr>
      <w:r>
        <w:t>Reducing supplier count so aggressively that supply continuity becomes vulnerable.</w:t>
      </w:r>
    </w:p>
    <w:p>
      <w:pPr>
        <w:pStyle w:val="ListBullet"/>
      </w:pPr>
      <w:r>
        <w:t>Measuring success only by purchase price or number of approved makes.</w:t>
      </w:r>
    </w:p>
    <w:p>
      <w:pPr>
        <w:pStyle w:val="ListBullet"/>
      </w:pPr>
      <w:r>
        <w:t>Allowing exceptions without recording their technical and lifecycle implications.</w:t>
      </w:r>
    </w:p>
    <w:p>
      <w:pPr>
        <w:pStyle w:val="ListBullet"/>
      </w:pPr>
      <w:r>
        <w:t>Failing to update drawings, spare lists, backups, and training after a standard changes.</w:t>
      </w:r>
    </w:p>
    <w:p>
      <w:pPr>
        <w:pStyle w:val="Heading2"/>
      </w:pPr>
      <w:r>
        <w:t>21. Practical implementation checklist</w:t>
      </w:r>
    </w:p>
    <w:p>
      <w:pPr>
        <w:pStyle w:val="ListBullet"/>
      </w:pPr>
      <w:r>
        <w:t>Installed equipment and component variants are inventoried.</w:t>
      </w:r>
    </w:p>
    <w:p>
      <w:pPr>
        <w:pStyle w:val="ListBullet"/>
      </w:pPr>
      <w:r>
        <w:t>Application categories and minimum technical requirements are defined.</w:t>
      </w:r>
    </w:p>
    <w:p>
      <w:pPr>
        <w:pStyle w:val="ListBullet"/>
      </w:pPr>
      <w:r>
        <w:t>Preferred platforms and approved alternatives are documented.</w:t>
      </w:r>
    </w:p>
    <w:p>
      <w:pPr>
        <w:pStyle w:val="ListBullet"/>
      </w:pPr>
      <w:r>
        <w:t>Hardware, firmware, software, and licensing compatibility is checked.</w:t>
      </w:r>
    </w:p>
    <w:p>
      <w:pPr>
        <w:pStyle w:val="ListBullet"/>
      </w:pPr>
      <w:r>
        <w:t>Spare commonality and lifecycle support are evaluated.</w:t>
      </w:r>
    </w:p>
    <w:p>
      <w:pPr>
        <w:pStyle w:val="ListBullet"/>
      </w:pPr>
      <w:r>
        <w:t>Electrical, communication, documentation, and cybersecurity standards are defined.</w:t>
      </w:r>
    </w:p>
    <w:p>
      <w:pPr>
        <w:pStyle w:val="ListBullet"/>
      </w:pPr>
      <w:r>
        <w:t>Standard designs and configuration templates are validated.</w:t>
      </w:r>
    </w:p>
    <w:p>
      <w:pPr>
        <w:pStyle w:val="ListBullet"/>
      </w:pPr>
      <w:r>
        <w:t>Existing assets are assessed separately from new installations.</w:t>
      </w:r>
    </w:p>
    <w:p>
      <w:pPr>
        <w:pStyle w:val="ListBullet"/>
      </w:pPr>
      <w:r>
        <w:t>Exception approval and revision-control procedures are established.</w:t>
      </w:r>
    </w:p>
    <w:p>
      <w:pPr>
        <w:pStyle w:val="ListBullet"/>
      </w:pPr>
      <w:r>
        <w:t>Maintenance, engineering, procurement, IT/OT, safety, and quality responsibilities are defined.</w:t>
      </w:r>
    </w:p>
    <w:p>
      <w:pPr>
        <w:pStyle w:val="ListBullet"/>
      </w:pPr>
      <w:r>
        <w:t>Metrics and periodic reviews are established.</w:t>
      </w:r>
    </w:p>
    <w:p>
      <w:pPr>
        <w:pStyle w:val="ListBullet"/>
      </w:pPr>
      <w:r>
        <w:t>Supplier commitments are incorporated into the technical specification and purchase terms.</w:t>
      </w:r>
    </w:p>
    <w:p>
      <w:pPr>
        <w:pStyle w:val="Heading2"/>
      </w:pPr>
      <w:r>
        <w:t>22. Interview questions and answers</w:t>
      </w:r>
    </w:p>
    <w:p>
      <w:r>
        <w:t>Q1. What is standardization in industrial automation?</w:t>
      </w:r>
    </w:p>
    <w:p>
      <w:r>
        <w:t>It is the controlled adoption of common, approved technologies, components, architectures, engineering practices, and documentation methods to reduce unnecessary variation and improve lifecycle performance.</w:t>
      </w:r>
    </w:p>
    <w:p>
      <w:r>
        <w:t>Q2. What is the difference between standardization and rationalization?</w:t>
      </w:r>
    </w:p>
    <w:p>
      <w:r>
        <w:t>Standardization establishes common requirements or solutions. Rationalization reduces unnecessary variety. Rationalization is often one result of standardization.</w:t>
      </w:r>
    </w:p>
    <w:p>
      <w:r>
        <w:t>Q3. Why is standardization important in maintenance?</w:t>
      </w:r>
    </w:p>
    <w:p>
      <w:r>
        <w:t>It improves technician familiarity, spare availability, diagnostic consistency, training efficiency, and restoration procedures.</w:t>
      </w:r>
    </w:p>
    <w:p>
      <w:r>
        <w:t>Q4. Should a plant use only one PLC manufacturer?</w:t>
      </w:r>
    </w:p>
    <w:p>
      <w:r>
        <w:t>Not necessarily. A preferred platform can simplify support, but specialized applications, legacy assets, machine-builder constraints, lifecycle risk, and technical suitability may justify approved alternatives.</w:t>
      </w:r>
    </w:p>
    <w:p>
      <w:r>
        <w:t>Q5. How does standardization affect procurement costs?</w:t>
      </w:r>
    </w:p>
    <w:p>
      <w:r>
        <w:t>It can reduce engineering duplication, inventory, training, and supplier-management effort while improving purchasing leverage. These benefits must be compared with migration cost and the risk of excessive supplier dependence.</w:t>
      </w:r>
    </w:p>
    <w:p>
      <w:r>
        <w:t>Q6. What is an approved-make list?</w:t>
      </w:r>
    </w:p>
    <w:p>
      <w:r>
        <w:t>It identifies manufacturers accepted for defined applications. A separate approved-model list may specify the exact product families, catalog numbers, ratings, and compatibility requirements.</w:t>
      </w:r>
    </w:p>
    <w:p>
      <w:r>
        <w:t>Q7. Does standardization guarantee interchangeability?</w:t>
      </w:r>
    </w:p>
    <w:p>
      <w:r>
        <w:t>No. Electrical, mechanical, functional, firmware, communication, and safety compatibility must be verified for the intended application.</w:t>
      </w:r>
    </w:p>
    <w:p>
      <w:r>
        <w:t>Q8. How should a standardization exception be handled?</w:t>
      </w:r>
    </w:p>
    <w:p>
      <w:r>
        <w:t>Document the reason, alternatives, technical and lifecycle impacts, cost implications, risk controls, approvals, and any future migration requirement.</w:t>
      </w:r>
    </w:p>
    <w:p>
      <w:r>
        <w:t>Q9. What is the relationship between standardization and obsolescence management?</w:t>
      </w:r>
    </w:p>
    <w:p>
      <w:r>
        <w:t>A controlled set of approved platforms makes lifecycle monitoring, spare planning, software support, and migration planning more manageable. Standards must still be reviewed when the preferred platform approaches obsolescence.</w:t>
      </w:r>
    </w:p>
    <w:p>
      <w:r>
        <w:t>Q10. How can standardization success be measured?</w:t>
      </w:r>
    </w:p>
    <w:p>
      <w:r>
        <w:t>Use defined measures such as approved-component adoption, reduction in component variants, standard spare coverage, compliance rate, engineering reuse, maintenance recovery time, and lifecycle cost.</w:t>
      </w:r>
    </w:p>
    <w:p>
      <w:pPr>
        <w:pStyle w:val="Heading2"/>
      </w:pPr>
      <w:r>
        <w:t>23. Final engineering principle</w:t>
      </w:r>
    </w:p>
    <w:p>
      <w:r>
        <w:t>Effective standardization reduces unnecessary variation while preserving application-specific engineering requirements. The best plant standard is technically suitable, maintainable, secure, supported throughout its intended lifecycle, and practical for the people who design, operate, troubleshoot, and modernize the equipment.</w:t>
      </w:r>
    </w:p>
    <w:p>
      <w:pPr>
        <w:pStyle w:val="Heading2"/>
      </w:pPr>
      <w:r>
        <w:t>NEXT TOPIC</w:t>
      </w:r>
    </w:p>
    <w:p>
      <w:r>
        <w:rPr>
          <w:rFonts w:ascii="Consolas" w:hAnsi="Consolas"/>
          <w:color w:val="333333"/>
          <w:sz w:val="19"/>
          <w:shd w:val="clear" w:color="auto" w:fill="EFEFEF"/>
        </w:rPr>
        <w:t>02_PLAN_WISE_2026\02_INDUSTRY3_0\09_Procurement\03_Commercial_Awareness\01_CAPEX_OPEX - CAPEX / OPEX</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02_PLAN_WISE_2026\02_INDUSTRY3_0\09_Procurement\02_Technical_Bid_Evaluation\11_Standardization - Standardization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