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02_PLAN_WISE_2026\02_INDUSTRY3_0\09_Procurement\03_Commercial_Awareness\01_CAPEX_OPEX - CAPEX / OPEX</w:t>
      </w:r>
    </w:p>
    <w:p>
      <w:pPr>
        <w:pStyle w:val="Heading2"/>
      </w:pPr>
      <w:r>
        <w:t>1. Definition of CAPEX and OPEX</w:t>
      </w:r>
    </w:p>
    <w:p>
      <w:r>
        <w:t>CAPEX (Capital Expenditure) is expenditure incurred to acquire, construct, install, or substantially improve an asset that provides benefits over multiple accounting periods.</w:t>
      </w:r>
    </w:p>
    <w:p>
      <w:r>
        <w:t>OPEX (Operating Expenditure) is expenditure incurred to operate, maintain, and support business activities during normal operations.</w:t>
      </w:r>
    </w:p>
    <w:p>
      <w:r>
        <w:t>In industrial engineering and procurement, the distinction affects project approval, budgeting, financial reporting, asset capitalization, maintenance planning, and total cost of ownership.</w:t>
      </w:r>
    </w:p>
    <w:p>
      <w:r>
        <w:t>For example, purchasing and installing a new CNC machine is generally a capital investment. Paying for routine servicing, electricity, lubricants, and periodic inspections is generally operating expenditure.</w:t>
      </w:r>
    </w:p>
    <w:p>
      <w:r>
        <w:t>However, classification depends on the applicable accounting framework, company policy, materiality thresholds, and the nature of the expenditure. A major overhaul that extends an asset's useful life may qualify for capitalization, while ordinary repairs are generally expensed.</w:t>
      </w:r>
    </w:p>
    <w:p>
      <w:r>
        <w:t>Important: CAPEX and OPEX are accounting and budgeting classifications, not simply synonyms for one-time and recurring payments. A one-time repair can be OPEX, and a project may include both CAPEX and OPEX.</w:t>
      </w:r>
    </w:p>
    <w:p>
      <w:pPr>
        <w:pStyle w:val="Heading2"/>
      </w:pPr>
      <w:r>
        <w:t>2. CAPEX in industrial procurement</w:t>
      </w:r>
    </w:p>
    <w:p>
      <w:r>
        <w:t>CAPEX is expenditure on assets or qualifying improvements expected to provide benefits beyond the current accounting period.</w:t>
      </w:r>
    </w:p>
    <w:p>
      <w:r>
        <w:t>Typical industrial CAPEX includes:</w:t>
      </w:r>
    </w:p>
    <w:p>
      <w:pPr>
        <w:pStyle w:val="ListBullet"/>
      </w:pPr>
      <w:r>
        <w:t>New production machines and test benches.</w:t>
      </w:r>
    </w:p>
    <w:p>
      <w:pPr>
        <w:pStyle w:val="ListBullet"/>
      </w:pPr>
      <w:r>
        <w:t>PLC, CNC, robot, and automation-system installations.</w:t>
      </w:r>
    </w:p>
    <w:p>
      <w:pPr>
        <w:pStyle w:val="ListBullet"/>
      </w:pPr>
      <w:r>
        <w:t>New electrical panels and power-distribution equipment.</w:t>
      </w:r>
    </w:p>
    <w:p>
      <w:pPr>
        <w:pStyle w:val="ListBullet"/>
      </w:pPr>
      <w:r>
        <w:t>Production-line expansion and capacity enhancement.</w:t>
      </w:r>
    </w:p>
    <w:p>
      <w:pPr>
        <w:pStyle w:val="ListBullet"/>
      </w:pPr>
      <w:r>
        <w:t>Factory construction and infrastructure.</w:t>
      </w:r>
    </w:p>
    <w:p>
      <w:pPr>
        <w:pStyle w:val="ListBullet"/>
      </w:pPr>
      <w:r>
        <w:t>Qualifying modernization or major upgrades.</w:t>
      </w:r>
    </w:p>
    <w:p>
      <w:pPr>
        <w:pStyle w:val="ListBullet"/>
      </w:pPr>
      <w:r>
        <w:t>Installation and commissioning costs directly attributable to bringing an asset into its intended operating condition, where accounting rules permit capitalization.</w:t>
      </w:r>
    </w:p>
    <w:p>
      <w:pPr>
        <w:pStyle w:val="ListBullet"/>
      </w:pPr>
      <w:r>
        <w:t>Qualifying software or development costs, depending on the applicable accounting policy.</w:t>
      </w:r>
    </w:p>
    <w:p>
      <w:pPr>
        <w:pStyle w:val="Heading3"/>
      </w:pPr>
      <w:r>
        <w:t>2.1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Industrial activity</w:t>
            </w:r>
          </w:p>
        </w:tc>
        <w:tc>
          <w:tcPr>
            <w:tcW w:type="dxa" w:w="3600"/>
            <w:shd w:val="clear" w:color="auto" w:fill="EEF2F7"/>
          </w:tcPr>
          <w:p>
            <w:pPr>
              <w:spacing w:after="0" w:before="0" w:line="240" w:lineRule="auto"/>
              <w:jc w:val="left"/>
            </w:pPr>
            <w:r>
              <w:rPr>
                <w:b/>
                <w:color w:val="1A2E4A"/>
              </w:rPr>
              <w:t>Typical treatment</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Purchase of a new CNC machine</w:t>
            </w:r>
          </w:p>
        </w:tc>
        <w:tc>
          <w:tcPr>
            <w:tcW w:type="dxa" w:w="3600"/>
          </w:tcPr>
          <w:p>
            <w:pPr>
              <w:spacing w:after="0" w:before="0" w:line="240" w:lineRule="auto"/>
              <w:jc w:val="left"/>
            </w:pPr>
            <w:r>
              <w:t>CAPEX</w:t>
            </w:r>
          </w:p>
        </w:tc>
        <w:tc>
          <w:tcPr>
            <w:tcW w:type="dxa" w:w="3600"/>
          </w:tcPr>
          <w:p>
            <w:pPr>
              <w:spacing w:after="0" w:before="0" w:line="240" w:lineRule="auto"/>
              <w:jc w:val="left"/>
            </w:pPr>
            <w:r>
              <w:t>Creates a long-term operating asset</w:t>
            </w:r>
          </w:p>
        </w:tc>
      </w:tr>
      <w:tr>
        <w:tc>
          <w:tcPr>
            <w:tcW w:type="dxa" w:w="3600"/>
          </w:tcPr>
          <w:p>
            <w:pPr>
              <w:spacing w:after="0" w:before="0" w:line="240" w:lineRule="auto"/>
              <w:jc w:val="left"/>
            </w:pPr>
            <w:r>
              <w:t>New automated assembly line</w:t>
            </w:r>
          </w:p>
        </w:tc>
        <w:tc>
          <w:tcPr>
            <w:tcW w:type="dxa" w:w="3600"/>
          </w:tcPr>
          <w:p>
            <w:pPr>
              <w:spacing w:after="0" w:before="0" w:line="240" w:lineRule="auto"/>
              <w:jc w:val="left"/>
            </w:pPr>
            <w:r>
              <w:t>CAPEX</w:t>
            </w:r>
          </w:p>
        </w:tc>
        <w:tc>
          <w:tcPr>
            <w:tcW w:type="dxa" w:w="3600"/>
          </w:tcPr>
          <w:p>
            <w:pPr>
              <w:spacing w:after="0" w:before="0" w:line="240" w:lineRule="auto"/>
              <w:jc w:val="left"/>
            </w:pPr>
            <w:r>
              <w:t>Adds production capability</w:t>
            </w:r>
          </w:p>
        </w:tc>
      </w:tr>
      <w:tr>
        <w:tc>
          <w:tcPr>
            <w:tcW w:type="dxa" w:w="3600"/>
          </w:tcPr>
          <w:p>
            <w:pPr>
              <w:spacing w:after="0" w:before="0" w:line="240" w:lineRule="auto"/>
              <w:jc w:val="left"/>
            </w:pPr>
            <w:r>
              <w:t>Installation of a new robot cell</w:t>
            </w:r>
          </w:p>
        </w:tc>
        <w:tc>
          <w:tcPr>
            <w:tcW w:type="dxa" w:w="3600"/>
          </w:tcPr>
          <w:p>
            <w:pPr>
              <w:spacing w:after="0" w:before="0" w:line="240" w:lineRule="auto"/>
              <w:jc w:val="left"/>
            </w:pPr>
            <w:r>
              <w:t>CAPEX</w:t>
            </w:r>
          </w:p>
        </w:tc>
        <w:tc>
          <w:tcPr>
            <w:tcW w:type="dxa" w:w="3600"/>
          </w:tcPr>
          <w:p>
            <w:pPr>
              <w:spacing w:after="0" w:before="0" w:line="240" w:lineRule="auto"/>
              <w:jc w:val="left"/>
            </w:pPr>
            <w:r>
              <w:t>Creates a long-term asset</w:t>
            </w:r>
          </w:p>
        </w:tc>
      </w:tr>
      <w:tr>
        <w:tc>
          <w:tcPr>
            <w:tcW w:type="dxa" w:w="3600"/>
          </w:tcPr>
          <w:p>
            <w:pPr>
              <w:spacing w:after="0" w:before="0" w:line="240" w:lineRule="auto"/>
              <w:jc w:val="left"/>
            </w:pPr>
            <w:r>
              <w:t>Qualifying PLC retrofit that extends useful life</w:t>
            </w:r>
          </w:p>
        </w:tc>
        <w:tc>
          <w:tcPr>
            <w:tcW w:type="dxa" w:w="3600"/>
          </w:tcPr>
          <w:p>
            <w:pPr>
              <w:spacing w:after="0" w:before="0" w:line="240" w:lineRule="auto"/>
              <w:jc w:val="left"/>
            </w:pPr>
            <w:r>
              <w:t>Potential CAPEX</w:t>
            </w:r>
          </w:p>
        </w:tc>
        <w:tc>
          <w:tcPr>
            <w:tcW w:type="dxa" w:w="3600"/>
          </w:tcPr>
          <w:p>
            <w:pPr>
              <w:spacing w:after="0" w:before="0" w:line="240" w:lineRule="auto"/>
              <w:jc w:val="left"/>
            </w:pPr>
            <w:r>
              <w:t>May improve or extend the asset's future benefits</w:t>
            </w:r>
          </w:p>
        </w:tc>
      </w:tr>
      <w:tr>
        <w:tc>
          <w:tcPr>
            <w:tcW w:type="dxa" w:w="3600"/>
          </w:tcPr>
          <w:p>
            <w:pPr>
              <w:spacing w:after="0" w:before="0" w:line="240" w:lineRule="auto"/>
              <w:jc w:val="left"/>
            </w:pPr>
            <w:r>
              <w:t>Routine PLC module replacement</w:t>
            </w:r>
          </w:p>
        </w:tc>
        <w:tc>
          <w:tcPr>
            <w:tcW w:type="dxa" w:w="3600"/>
          </w:tcPr>
          <w:p>
            <w:pPr>
              <w:spacing w:after="0" w:before="0" w:line="240" w:lineRule="auto"/>
              <w:jc w:val="left"/>
            </w:pPr>
            <w:r>
              <w:t>Usually OPEX</w:t>
            </w:r>
          </w:p>
        </w:tc>
        <w:tc>
          <w:tcPr>
            <w:tcW w:type="dxa" w:w="3600"/>
          </w:tcPr>
          <w:p>
            <w:pPr>
              <w:spacing w:after="0" w:before="0" w:line="240" w:lineRule="auto"/>
              <w:jc w:val="left"/>
            </w:pPr>
            <w:r>
              <w:t>Restores normal operating condition</w:t>
            </w:r>
          </w:p>
        </w:tc>
      </w:tr>
      <w:tr>
        <w:tc>
          <w:tcPr>
            <w:tcW w:type="dxa" w:w="3600"/>
          </w:tcPr>
          <w:p>
            <w:pPr>
              <w:spacing w:after="0" w:before="0" w:line="240" w:lineRule="auto"/>
              <w:jc w:val="left"/>
            </w:pPr>
            <w:r>
              <w:t>Routine preventive maintenance</w:t>
            </w:r>
          </w:p>
        </w:tc>
        <w:tc>
          <w:tcPr>
            <w:tcW w:type="dxa" w:w="3600"/>
          </w:tcPr>
          <w:p>
            <w:pPr>
              <w:spacing w:after="0" w:before="0" w:line="240" w:lineRule="auto"/>
              <w:jc w:val="left"/>
            </w:pPr>
            <w:r>
              <w:t>OPEX</w:t>
            </w:r>
          </w:p>
        </w:tc>
        <w:tc>
          <w:tcPr>
            <w:tcW w:type="dxa" w:w="3600"/>
          </w:tcPr>
          <w:p>
            <w:pPr>
              <w:spacing w:after="0" w:before="0" w:line="240" w:lineRule="auto"/>
              <w:jc w:val="left"/>
            </w:pPr>
            <w:r>
              <w:t>Maintains existing performance</w:t>
            </w:r>
          </w:p>
        </w:tc>
      </w:tr>
      <w:tr>
        <w:tc>
          <w:tcPr>
            <w:tcW w:type="dxa" w:w="3600"/>
          </w:tcPr>
          <w:p>
            <w:pPr>
              <w:spacing w:after="0" w:before="0" w:line="240" w:lineRule="auto"/>
              <w:jc w:val="left"/>
            </w:pPr>
            <w:r>
              <w:t>Replacement of worn bearings during normal repair</w:t>
            </w:r>
          </w:p>
        </w:tc>
        <w:tc>
          <w:tcPr>
            <w:tcW w:type="dxa" w:w="3600"/>
          </w:tcPr>
          <w:p>
            <w:pPr>
              <w:spacing w:after="0" w:before="0" w:line="240" w:lineRule="auto"/>
              <w:jc w:val="left"/>
            </w:pPr>
            <w:r>
              <w:t>Usually OPEX</w:t>
            </w:r>
          </w:p>
        </w:tc>
        <w:tc>
          <w:tcPr>
            <w:tcW w:type="dxa" w:w="3600"/>
          </w:tcPr>
          <w:p>
            <w:pPr>
              <w:spacing w:after="0" w:before="0" w:line="240" w:lineRule="auto"/>
              <w:jc w:val="left"/>
            </w:pPr>
            <w:r>
              <w:t>Restores the equipment</w:t>
            </w:r>
          </w:p>
        </w:tc>
      </w:tr>
      <w:tr>
        <w:tc>
          <w:tcPr>
            <w:tcW w:type="dxa" w:w="3600"/>
          </w:tcPr>
          <w:p>
            <w:pPr>
              <w:spacing w:after="0" w:before="0" w:line="240" w:lineRule="auto"/>
              <w:jc w:val="left"/>
            </w:pPr>
            <w:r>
              <w:t>Major qualifying plant modernization</w:t>
            </w:r>
          </w:p>
        </w:tc>
        <w:tc>
          <w:tcPr>
            <w:tcW w:type="dxa" w:w="3600"/>
          </w:tcPr>
          <w:p>
            <w:pPr>
              <w:spacing w:after="0" w:before="0" w:line="240" w:lineRule="auto"/>
              <w:jc w:val="left"/>
            </w:pPr>
            <w:r>
              <w:t>Potential CAPEX</w:t>
            </w:r>
          </w:p>
        </w:tc>
        <w:tc>
          <w:tcPr>
            <w:tcW w:type="dxa" w:w="3600"/>
          </w:tcPr>
          <w:p>
            <w:pPr>
              <w:spacing w:after="0" w:before="0" w:line="240" w:lineRule="auto"/>
              <w:jc w:val="left"/>
            </w:pPr>
            <w:r>
              <w:t>May improve capacity, functionality, or useful life</w:t>
            </w:r>
          </w:p>
        </w:tc>
      </w:tr>
      <w:tr>
        <w:tc>
          <w:tcPr>
            <w:tcW w:type="dxa" w:w="3600"/>
          </w:tcPr>
          <w:p>
            <w:pPr>
              <w:spacing w:after="0" w:before="0" w:line="240" w:lineRule="auto"/>
              <w:jc w:val="left"/>
            </w:pPr>
            <w:r>
              <w:t>Purchase of a laptop for an engineering team</w:t>
            </w:r>
          </w:p>
        </w:tc>
        <w:tc>
          <w:tcPr>
            <w:tcW w:type="dxa" w:w="3600"/>
          </w:tcPr>
          <w:p>
            <w:pPr>
              <w:spacing w:after="0" w:before="0" w:line="240" w:lineRule="auto"/>
              <w:jc w:val="left"/>
            </w:pPr>
            <w:r>
              <w:t>Policy-dependent</w:t>
            </w:r>
          </w:p>
        </w:tc>
        <w:tc>
          <w:tcPr>
            <w:tcW w:type="dxa" w:w="3600"/>
          </w:tcPr>
          <w:p>
            <w:pPr>
              <w:spacing w:after="0" w:before="0" w:line="240" w:lineRule="auto"/>
              <w:jc w:val="left"/>
            </w:pPr>
            <w:r>
              <w:t>May be capitalized or expensed under company thresholds</w:t>
            </w:r>
          </w:p>
        </w:tc>
      </w:tr>
      <w:tr>
        <w:tc>
          <w:tcPr>
            <w:tcW w:type="dxa" w:w="3600"/>
          </w:tcPr>
          <w:p>
            <w:pPr>
              <w:spacing w:after="0" w:before="0" w:line="240" w:lineRule="auto"/>
              <w:jc w:val="left"/>
            </w:pPr>
            <w:r>
              <w:t>Capital-project commissioning</w:t>
            </w:r>
          </w:p>
        </w:tc>
        <w:tc>
          <w:tcPr>
            <w:tcW w:type="dxa" w:w="3600"/>
          </w:tcPr>
          <w:p>
            <w:pPr>
              <w:spacing w:after="0" w:before="0" w:line="240" w:lineRule="auto"/>
              <w:jc w:val="left"/>
            </w:pPr>
            <w:r>
              <w:t>Potential CAPEX</w:t>
            </w:r>
          </w:p>
        </w:tc>
        <w:tc>
          <w:tcPr>
            <w:tcW w:type="dxa" w:w="3600"/>
          </w:tcPr>
          <w:p>
            <w:pPr>
              <w:spacing w:after="0" w:before="0" w:line="240" w:lineRule="auto"/>
              <w:jc w:val="left"/>
            </w:pPr>
            <w:r>
              <w:t>Directly attributable costs may qualify</w:t>
            </w:r>
          </w:p>
        </w:tc>
      </w:tr>
      <w:tr>
        <w:tc>
          <w:tcPr>
            <w:tcW w:type="dxa" w:w="3600"/>
          </w:tcPr>
          <w:p>
            <w:pPr>
              <w:spacing w:after="0" w:before="0" w:line="240" w:lineRule="auto"/>
              <w:jc w:val="left"/>
            </w:pPr>
            <w:r>
              <w:t>Operator training for new equipment</w:t>
            </w:r>
          </w:p>
        </w:tc>
        <w:tc>
          <w:tcPr>
            <w:tcW w:type="dxa" w:w="3600"/>
          </w:tcPr>
          <w:p>
            <w:pPr>
              <w:spacing w:after="0" w:before="0" w:line="240" w:lineRule="auto"/>
              <w:jc w:val="left"/>
            </w:pPr>
            <w:r>
              <w:t>Usually OPEX</w:t>
            </w:r>
          </w:p>
        </w:tc>
        <w:tc>
          <w:tcPr>
            <w:tcW w:type="dxa" w:w="3600"/>
          </w:tcPr>
          <w:p>
            <w:pPr>
              <w:spacing w:after="0" w:before="0" w:line="240" w:lineRule="auto"/>
              <w:jc w:val="left"/>
            </w:pPr>
            <w:r>
              <w:t>Training costs are generally expensed</w:t>
            </w:r>
          </w:p>
        </w:tc>
      </w:tr>
      <w:tr>
        <w:tc>
          <w:tcPr>
            <w:tcW w:type="dxa" w:w="3600"/>
          </w:tcPr>
          <w:p>
            <w:pPr>
              <w:spacing w:after="0" w:before="0" w:line="240" w:lineRule="auto"/>
              <w:jc w:val="left"/>
            </w:pPr>
            <w:r>
              <w:t>Initial consumables and operating supplies</w:t>
            </w:r>
          </w:p>
        </w:tc>
        <w:tc>
          <w:tcPr>
            <w:tcW w:type="dxa" w:w="3600"/>
          </w:tcPr>
          <w:p>
            <w:pPr>
              <w:spacing w:after="0" w:before="0" w:line="240" w:lineRule="auto"/>
              <w:jc w:val="left"/>
            </w:pPr>
            <w:r>
              <w:t>Usually OPEX</w:t>
            </w:r>
          </w:p>
        </w:tc>
        <w:tc>
          <w:tcPr>
            <w:tcW w:type="dxa" w:w="3600"/>
          </w:tcPr>
          <w:p>
            <w:pPr>
              <w:spacing w:after="0" w:before="0" w:line="240" w:lineRule="auto"/>
              <w:jc w:val="left"/>
            </w:pPr>
            <w:r>
              <w:t>Normally consumed during operations</w:t>
            </w:r>
          </w:p>
        </w:tc>
      </w:tr>
    </w:tbl>
    <w:p/>
    <w:p>
      <w:r>
        <w:t>These are general examples. The finance team must determine the actual accounting treatment under the organization's applicable rules.</w:t>
      </w:r>
    </w:p>
    <w:p>
      <w:pPr>
        <w:pStyle w:val="Heading2"/>
      </w:pPr>
      <w:r>
        <w:t>3. OPEX in industrial procurement</w:t>
      </w:r>
    </w:p>
    <w:p>
      <w:r>
        <w:t>OPEX covers expenditure associated with operating, maintaining, and supporting the plant and its assets.</w:t>
      </w:r>
    </w:p>
    <w:p>
      <w:r>
        <w:t>Typical examples include:</w:t>
      </w:r>
    </w:p>
    <w:p>
      <w:pPr>
        <w:pStyle w:val="ListBullet"/>
      </w:pPr>
      <w:r>
        <w:t>Electricity, water, compressed air, and other utilities.</w:t>
      </w:r>
    </w:p>
    <w:p>
      <w:pPr>
        <w:pStyle w:val="ListBullet"/>
      </w:pPr>
      <w:r>
        <w:t>Routine preventive and corrective maintenance.</w:t>
      </w:r>
    </w:p>
    <w:p>
      <w:pPr>
        <w:pStyle w:val="ListBullet"/>
      </w:pPr>
      <w:r>
        <w:t>Spare parts consumed during ordinary repairs.</w:t>
      </w:r>
    </w:p>
    <w:p>
      <w:pPr>
        <w:pStyle w:val="ListBullet"/>
      </w:pPr>
      <w:r>
        <w:t>Lubricants, filters, and consumables.</w:t>
      </w:r>
    </w:p>
    <w:p>
      <w:pPr>
        <w:pStyle w:val="ListBullet"/>
      </w:pPr>
      <w:r>
        <w:t>Equipment inspection and calibration services.</w:t>
      </w:r>
    </w:p>
    <w:p>
      <w:pPr>
        <w:pStyle w:val="ListBullet"/>
      </w:pPr>
      <w:r>
        <w:t>Software subscriptions and support contracts.</w:t>
      </w:r>
    </w:p>
    <w:p>
      <w:pPr>
        <w:pStyle w:val="ListBullet"/>
      </w:pPr>
      <w:r>
        <w:t>Routine technical assistance and maintenance services.</w:t>
      </w:r>
    </w:p>
    <w:p>
      <w:pPr>
        <w:pStyle w:val="ListBullet"/>
      </w:pPr>
      <w:r>
        <w:t>Operator and maintenance training.</w:t>
      </w:r>
    </w:p>
    <w:p>
      <w:pPr>
        <w:pStyle w:val="ListBullet"/>
      </w:pPr>
      <w:r>
        <w:t>Recurring cloud, data-storage, or software-runtime services.</w:t>
      </w:r>
    </w:p>
    <w:p>
      <w:pPr>
        <w:pStyle w:val="ListBullet"/>
      </w:pPr>
      <w:r>
        <w:t>Routine cleaning, housekeeping, and facility operations.</w:t>
      </w:r>
    </w:p>
    <w:p>
      <w:pPr>
        <w:pStyle w:val="Heading3"/>
      </w:pPr>
      <w:r>
        <w:t>3.1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Industrial activity</w:t>
            </w:r>
          </w:p>
        </w:tc>
        <w:tc>
          <w:tcPr>
            <w:tcW w:type="dxa" w:w="3600"/>
            <w:shd w:val="clear" w:color="auto" w:fill="EEF2F7"/>
          </w:tcPr>
          <w:p>
            <w:pPr>
              <w:spacing w:after="0" w:before="0" w:line="240" w:lineRule="auto"/>
              <w:jc w:val="left"/>
            </w:pPr>
            <w:r>
              <w:rPr>
                <w:b/>
                <w:color w:val="1A2E4A"/>
              </w:rPr>
              <w:t>Typical classification</w:t>
            </w:r>
          </w:p>
        </w:tc>
        <w:tc>
          <w:tcPr>
            <w:tcW w:type="dxa" w:w="3600"/>
            <w:shd w:val="clear" w:color="auto" w:fill="EEF2F7"/>
          </w:tcPr>
          <w:p>
            <w:pPr>
              <w:spacing w:after="0" w:before="0" w:line="240" w:lineRule="auto"/>
              <w:jc w:val="left"/>
            </w:pPr>
            <w:r>
              <w:rPr>
                <w:b/>
                <w:color w:val="1A2E4A"/>
              </w:rPr>
              <w:t>Main consideration</w:t>
            </w:r>
          </w:p>
        </w:tc>
      </w:tr>
      <w:tr>
        <w:tc>
          <w:tcPr>
            <w:tcW w:type="dxa" w:w="3600"/>
          </w:tcPr>
          <w:p>
            <w:pPr>
              <w:spacing w:after="0" w:before="0" w:line="240" w:lineRule="auto"/>
              <w:jc w:val="left"/>
            </w:pPr>
            <w:r>
              <w:t>Annual maintenance contract for a machine</w:t>
            </w:r>
          </w:p>
        </w:tc>
        <w:tc>
          <w:tcPr>
            <w:tcW w:type="dxa" w:w="3600"/>
          </w:tcPr>
          <w:p>
            <w:pPr>
              <w:spacing w:after="0" w:before="0" w:line="240" w:lineRule="auto"/>
              <w:jc w:val="left"/>
            </w:pPr>
            <w:r>
              <w:t>OPEX</w:t>
            </w:r>
          </w:p>
        </w:tc>
        <w:tc>
          <w:tcPr>
            <w:tcW w:type="dxa" w:w="3600"/>
          </w:tcPr>
          <w:p>
            <w:pPr>
              <w:spacing w:after="0" w:before="0" w:line="240" w:lineRule="auto"/>
              <w:jc w:val="left"/>
            </w:pPr>
            <w:r>
              <w:t>Recurring service expense</w:t>
            </w:r>
          </w:p>
        </w:tc>
      </w:tr>
      <w:tr>
        <w:tc>
          <w:tcPr>
            <w:tcW w:type="dxa" w:w="3600"/>
          </w:tcPr>
          <w:p>
            <w:pPr>
              <w:spacing w:after="0" w:before="0" w:line="240" w:lineRule="auto"/>
              <w:jc w:val="left"/>
            </w:pPr>
            <w:r>
              <w:t>Replacement of a failed contactor</w:t>
            </w:r>
          </w:p>
        </w:tc>
        <w:tc>
          <w:tcPr>
            <w:tcW w:type="dxa" w:w="3600"/>
          </w:tcPr>
          <w:p>
            <w:pPr>
              <w:spacing w:after="0" w:before="0" w:line="240" w:lineRule="auto"/>
              <w:jc w:val="left"/>
            </w:pPr>
            <w:r>
              <w:t>OPEX</w:t>
            </w:r>
          </w:p>
        </w:tc>
        <w:tc>
          <w:tcPr>
            <w:tcW w:type="dxa" w:w="3600"/>
          </w:tcPr>
          <w:p>
            <w:pPr>
              <w:spacing w:after="0" w:before="0" w:line="240" w:lineRule="auto"/>
              <w:jc w:val="left"/>
            </w:pPr>
            <w:r>
              <w:t>Routine restoration</w:t>
            </w:r>
          </w:p>
        </w:tc>
      </w:tr>
      <w:tr>
        <w:tc>
          <w:tcPr>
            <w:tcW w:type="dxa" w:w="3600"/>
          </w:tcPr>
          <w:p>
            <w:pPr>
              <w:spacing w:after="0" w:before="0" w:line="240" w:lineRule="auto"/>
              <w:jc w:val="left"/>
            </w:pPr>
            <w:r>
              <w:t>VFD parameter troubleshooting</w:t>
            </w:r>
          </w:p>
        </w:tc>
        <w:tc>
          <w:tcPr>
            <w:tcW w:type="dxa" w:w="3600"/>
          </w:tcPr>
          <w:p>
            <w:pPr>
              <w:spacing w:after="0" w:before="0" w:line="240" w:lineRule="auto"/>
              <w:jc w:val="left"/>
            </w:pPr>
            <w:r>
              <w:t>OPEX</w:t>
            </w:r>
          </w:p>
        </w:tc>
        <w:tc>
          <w:tcPr>
            <w:tcW w:type="dxa" w:w="3600"/>
          </w:tcPr>
          <w:p>
            <w:pPr>
              <w:spacing w:after="0" w:before="0" w:line="240" w:lineRule="auto"/>
              <w:jc w:val="left"/>
            </w:pPr>
            <w:r>
              <w:t>Maintenance service</w:t>
            </w:r>
          </w:p>
        </w:tc>
      </w:tr>
      <w:tr>
        <w:tc>
          <w:tcPr>
            <w:tcW w:type="dxa" w:w="3600"/>
          </w:tcPr>
          <w:p>
            <w:pPr>
              <w:spacing w:after="0" w:before="0" w:line="240" w:lineRule="auto"/>
              <w:jc w:val="left"/>
            </w:pPr>
            <w:r>
              <w:t>Monthly SCADA software subscription</w:t>
            </w:r>
          </w:p>
        </w:tc>
        <w:tc>
          <w:tcPr>
            <w:tcW w:type="dxa" w:w="3600"/>
          </w:tcPr>
          <w:p>
            <w:pPr>
              <w:spacing w:after="0" w:before="0" w:line="240" w:lineRule="auto"/>
              <w:jc w:val="left"/>
            </w:pPr>
            <w:r>
              <w:t>OPEX</w:t>
            </w:r>
          </w:p>
        </w:tc>
        <w:tc>
          <w:tcPr>
            <w:tcW w:type="dxa" w:w="3600"/>
          </w:tcPr>
          <w:p>
            <w:pPr>
              <w:spacing w:after="0" w:before="0" w:line="240" w:lineRule="auto"/>
              <w:jc w:val="left"/>
            </w:pPr>
            <w:r>
              <w:t>Recurring service</w:t>
            </w:r>
          </w:p>
        </w:tc>
      </w:tr>
      <w:tr>
        <w:tc>
          <w:tcPr>
            <w:tcW w:type="dxa" w:w="3600"/>
          </w:tcPr>
          <w:p>
            <w:pPr>
              <w:spacing w:after="0" w:before="0" w:line="240" w:lineRule="auto"/>
              <w:jc w:val="left"/>
            </w:pPr>
            <w:r>
              <w:t>Plant electricity consumption</w:t>
            </w:r>
          </w:p>
        </w:tc>
        <w:tc>
          <w:tcPr>
            <w:tcW w:type="dxa" w:w="3600"/>
          </w:tcPr>
          <w:p>
            <w:pPr>
              <w:spacing w:after="0" w:before="0" w:line="240" w:lineRule="auto"/>
              <w:jc w:val="left"/>
            </w:pPr>
            <w:r>
              <w:t>OPEX</w:t>
            </w:r>
          </w:p>
        </w:tc>
        <w:tc>
          <w:tcPr>
            <w:tcW w:type="dxa" w:w="3600"/>
          </w:tcPr>
          <w:p>
            <w:pPr>
              <w:spacing w:after="0" w:before="0" w:line="240" w:lineRule="auto"/>
              <w:jc w:val="left"/>
            </w:pPr>
            <w:r>
              <w:t>Operating utility</w:t>
            </w:r>
          </w:p>
        </w:tc>
      </w:tr>
      <w:tr>
        <w:tc>
          <w:tcPr>
            <w:tcW w:type="dxa" w:w="3600"/>
          </w:tcPr>
          <w:p>
            <w:pPr>
              <w:spacing w:after="0" w:before="0" w:line="240" w:lineRule="auto"/>
              <w:jc w:val="left"/>
            </w:pPr>
            <w:r>
              <w:t>Annual calibration of a measuring instrument</w:t>
            </w:r>
          </w:p>
        </w:tc>
        <w:tc>
          <w:tcPr>
            <w:tcW w:type="dxa" w:w="3600"/>
          </w:tcPr>
          <w:p>
            <w:pPr>
              <w:spacing w:after="0" w:before="0" w:line="240" w:lineRule="auto"/>
              <w:jc w:val="left"/>
            </w:pPr>
            <w:r>
              <w:t>OPEX</w:t>
            </w:r>
          </w:p>
        </w:tc>
        <w:tc>
          <w:tcPr>
            <w:tcW w:type="dxa" w:w="3600"/>
          </w:tcPr>
          <w:p>
            <w:pPr>
              <w:spacing w:after="0" w:before="0" w:line="240" w:lineRule="auto"/>
              <w:jc w:val="left"/>
            </w:pPr>
            <w:r>
              <w:t>Routine quality-related service</w:t>
            </w:r>
          </w:p>
        </w:tc>
      </w:tr>
      <w:tr>
        <w:tc>
          <w:tcPr>
            <w:tcW w:type="dxa" w:w="3600"/>
          </w:tcPr>
          <w:p>
            <w:pPr>
              <w:spacing w:after="0" w:before="0" w:line="240" w:lineRule="auto"/>
              <w:jc w:val="left"/>
            </w:pPr>
            <w:r>
              <w:t>Purchase of production lubricants</w:t>
            </w:r>
          </w:p>
        </w:tc>
        <w:tc>
          <w:tcPr>
            <w:tcW w:type="dxa" w:w="3600"/>
          </w:tcPr>
          <w:p>
            <w:pPr>
              <w:spacing w:after="0" w:before="0" w:line="240" w:lineRule="auto"/>
              <w:jc w:val="left"/>
            </w:pPr>
            <w:r>
              <w:t>OPEX</w:t>
            </w:r>
          </w:p>
        </w:tc>
        <w:tc>
          <w:tcPr>
            <w:tcW w:type="dxa" w:w="3600"/>
          </w:tcPr>
          <w:p>
            <w:pPr>
              <w:spacing w:after="0" w:before="0" w:line="240" w:lineRule="auto"/>
              <w:jc w:val="left"/>
            </w:pPr>
            <w:r>
              <w:t>Consumed during operation</w:t>
            </w:r>
          </w:p>
        </w:tc>
      </w:tr>
      <w:tr>
        <w:tc>
          <w:tcPr>
            <w:tcW w:type="dxa" w:w="3600"/>
          </w:tcPr>
          <w:p>
            <w:pPr>
              <w:spacing w:after="0" w:before="0" w:line="240" w:lineRule="auto"/>
              <w:jc w:val="left"/>
            </w:pPr>
            <w:r>
              <w:t>Routine cybersecurity monitoring subscription</w:t>
            </w:r>
          </w:p>
        </w:tc>
        <w:tc>
          <w:tcPr>
            <w:tcW w:type="dxa" w:w="3600"/>
          </w:tcPr>
          <w:p>
            <w:pPr>
              <w:spacing w:after="0" w:before="0" w:line="240" w:lineRule="auto"/>
              <w:jc w:val="left"/>
            </w:pPr>
            <w:r>
              <w:t>OPEX</w:t>
            </w:r>
          </w:p>
        </w:tc>
        <w:tc>
          <w:tcPr>
            <w:tcW w:type="dxa" w:w="3600"/>
          </w:tcPr>
          <w:p>
            <w:pPr>
              <w:spacing w:after="0" w:before="0" w:line="240" w:lineRule="auto"/>
              <w:jc w:val="left"/>
            </w:pPr>
            <w:r>
              <w:t>Recurring service</w:t>
            </w:r>
          </w:p>
        </w:tc>
      </w:tr>
      <w:tr>
        <w:tc>
          <w:tcPr>
            <w:tcW w:type="dxa" w:w="3600"/>
          </w:tcPr>
          <w:p>
            <w:pPr>
              <w:spacing w:after="0" w:before="0" w:line="240" w:lineRule="auto"/>
              <w:jc w:val="left"/>
            </w:pPr>
            <w:r>
              <w:t>Routine software support renewal</w:t>
            </w:r>
          </w:p>
        </w:tc>
        <w:tc>
          <w:tcPr>
            <w:tcW w:type="dxa" w:w="3600"/>
          </w:tcPr>
          <w:p>
            <w:pPr>
              <w:spacing w:after="0" w:before="0" w:line="240" w:lineRule="auto"/>
              <w:jc w:val="left"/>
            </w:pPr>
            <w:r>
              <w:t>OPEX</w:t>
            </w:r>
          </w:p>
        </w:tc>
        <w:tc>
          <w:tcPr>
            <w:tcW w:type="dxa" w:w="3600"/>
          </w:tcPr>
          <w:p>
            <w:pPr>
              <w:spacing w:after="0" w:before="0" w:line="240" w:lineRule="auto"/>
              <w:jc w:val="left"/>
            </w:pPr>
            <w:r>
              <w:t>Ongoing support</w:t>
            </w:r>
          </w:p>
        </w:tc>
      </w:tr>
      <w:tr>
        <w:tc>
          <w:tcPr>
            <w:tcW w:type="dxa" w:w="3600"/>
          </w:tcPr>
          <w:p>
            <w:pPr>
              <w:spacing w:after="0" w:before="0" w:line="240" w:lineRule="auto"/>
              <w:jc w:val="left"/>
            </w:pPr>
            <w:r>
              <w:t>Major system upgrade</w:t>
            </w:r>
          </w:p>
        </w:tc>
        <w:tc>
          <w:tcPr>
            <w:tcW w:type="dxa" w:w="3600"/>
          </w:tcPr>
          <w:p>
            <w:pPr>
              <w:spacing w:after="0" w:before="0" w:line="240" w:lineRule="auto"/>
              <w:jc w:val="left"/>
            </w:pPr>
            <w:r>
              <w:t>Potential CAPEX</w:t>
            </w:r>
          </w:p>
        </w:tc>
        <w:tc>
          <w:tcPr>
            <w:tcW w:type="dxa" w:w="3600"/>
          </w:tcPr>
          <w:p>
            <w:pPr>
              <w:spacing w:after="0" w:before="0" w:line="240" w:lineRule="auto"/>
              <w:jc w:val="left"/>
            </w:pPr>
            <w:r>
              <w:t>Depends on the nature of the improvement and accounting policy</w:t>
            </w:r>
          </w:p>
        </w:tc>
      </w:tr>
    </w:tbl>
    <w:p/>
    <w:p>
      <w:pPr>
        <w:pStyle w:val="Heading2"/>
      </w:pPr>
      <w:r>
        <w:t>4. CAPEX versus OPEX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CAPEX</w:t>
            </w:r>
          </w:p>
        </w:tc>
        <w:tc>
          <w:tcPr>
            <w:tcW w:type="dxa" w:w="3600"/>
            <w:shd w:val="clear" w:color="auto" w:fill="EEF2F7"/>
          </w:tcPr>
          <w:p>
            <w:pPr>
              <w:spacing w:after="0" w:before="0" w:line="240" w:lineRule="auto"/>
              <w:jc w:val="left"/>
            </w:pPr>
            <w:r>
              <w:rPr>
                <w:b/>
                <w:color w:val="1A2E4A"/>
              </w:rPr>
              <w:t>OPEX</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Acquire or improve a long-term asset</w:t>
            </w:r>
          </w:p>
        </w:tc>
        <w:tc>
          <w:tcPr>
            <w:tcW w:type="dxa" w:w="3600"/>
          </w:tcPr>
          <w:p>
            <w:pPr>
              <w:spacing w:after="0" w:before="0" w:line="240" w:lineRule="auto"/>
              <w:jc w:val="left"/>
            </w:pPr>
            <w:r>
              <w:t>Operate and maintain the business</w:t>
            </w:r>
          </w:p>
        </w:tc>
      </w:tr>
      <w:tr>
        <w:tc>
          <w:tcPr>
            <w:tcW w:type="dxa" w:w="3600"/>
          </w:tcPr>
          <w:p>
            <w:pPr>
              <w:spacing w:after="0" w:before="0" w:line="240" w:lineRule="auto"/>
              <w:jc w:val="left"/>
            </w:pPr>
            <w:r>
              <w:t>Typical examples</w:t>
            </w:r>
          </w:p>
        </w:tc>
        <w:tc>
          <w:tcPr>
            <w:tcW w:type="dxa" w:w="3600"/>
          </w:tcPr>
          <w:p>
            <w:pPr>
              <w:spacing w:after="0" w:before="0" w:line="240" w:lineRule="auto"/>
              <w:jc w:val="left"/>
            </w:pPr>
            <w:r>
              <w:t>Machine, production line, qualifying upgrade</w:t>
            </w:r>
          </w:p>
        </w:tc>
        <w:tc>
          <w:tcPr>
            <w:tcW w:type="dxa" w:w="3600"/>
          </w:tcPr>
          <w:p>
            <w:pPr>
              <w:spacing w:after="0" w:before="0" w:line="240" w:lineRule="auto"/>
              <w:jc w:val="left"/>
            </w:pPr>
            <w:r>
              <w:t>Repairs, utilities, routine services</w:t>
            </w:r>
          </w:p>
        </w:tc>
      </w:tr>
      <w:tr>
        <w:tc>
          <w:tcPr>
            <w:tcW w:type="dxa" w:w="3600"/>
          </w:tcPr>
          <w:p>
            <w:pPr>
              <w:spacing w:after="0" w:before="0" w:line="240" w:lineRule="auto"/>
              <w:jc w:val="left"/>
            </w:pPr>
            <w:r>
              <w:t>Financial reporting</w:t>
            </w:r>
          </w:p>
        </w:tc>
        <w:tc>
          <w:tcPr>
            <w:tcW w:type="dxa" w:w="3600"/>
          </w:tcPr>
          <w:p>
            <w:pPr>
              <w:spacing w:after="0" w:before="0" w:line="240" w:lineRule="auto"/>
              <w:jc w:val="left"/>
            </w:pPr>
            <w:r>
              <w:t>Usually recognized as an asset and depreciated or amortized when applicable</w:t>
            </w:r>
          </w:p>
        </w:tc>
        <w:tc>
          <w:tcPr>
            <w:tcW w:type="dxa" w:w="3600"/>
          </w:tcPr>
          <w:p>
            <w:pPr>
              <w:spacing w:after="0" w:before="0" w:line="240" w:lineRule="auto"/>
              <w:jc w:val="left"/>
            </w:pPr>
            <w:r>
              <w:t>Generally recognized as an expense when incurred</w:t>
            </w:r>
          </w:p>
        </w:tc>
      </w:tr>
      <w:tr>
        <w:tc>
          <w:tcPr>
            <w:tcW w:type="dxa" w:w="3600"/>
          </w:tcPr>
          <w:p>
            <w:pPr>
              <w:spacing w:after="0" w:before="0" w:line="240" w:lineRule="auto"/>
              <w:jc w:val="left"/>
            </w:pPr>
            <w:r>
              <w:t>Budgeting</w:t>
            </w:r>
          </w:p>
        </w:tc>
        <w:tc>
          <w:tcPr>
            <w:tcW w:type="dxa" w:w="3600"/>
          </w:tcPr>
          <w:p>
            <w:pPr>
              <w:spacing w:after="0" w:before="0" w:line="240" w:lineRule="auto"/>
              <w:jc w:val="left"/>
            </w:pPr>
            <w:r>
              <w:t>Capital budget or approved investment project</w:t>
            </w:r>
          </w:p>
        </w:tc>
        <w:tc>
          <w:tcPr>
            <w:tcW w:type="dxa" w:w="3600"/>
          </w:tcPr>
          <w:p>
            <w:pPr>
              <w:spacing w:after="0" w:before="0" w:line="240" w:lineRule="auto"/>
              <w:jc w:val="left"/>
            </w:pPr>
            <w:r>
              <w:t>Operating budget</w:t>
            </w:r>
          </w:p>
        </w:tc>
      </w:tr>
      <w:tr>
        <w:tc>
          <w:tcPr>
            <w:tcW w:type="dxa" w:w="3600"/>
          </w:tcPr>
          <w:p>
            <w:pPr>
              <w:spacing w:after="0" w:before="0" w:line="240" w:lineRule="auto"/>
              <w:jc w:val="left"/>
            </w:pPr>
            <w:r>
              <w:t>Approval</w:t>
            </w:r>
          </w:p>
        </w:tc>
        <w:tc>
          <w:tcPr>
            <w:tcW w:type="dxa" w:w="3600"/>
          </w:tcPr>
          <w:p>
            <w:pPr>
              <w:spacing w:after="0" w:before="0" w:line="240" w:lineRule="auto"/>
              <w:jc w:val="left"/>
            </w:pPr>
            <w:r>
              <w:t>Often requires investment justification and capital authorization</w:t>
            </w:r>
          </w:p>
        </w:tc>
        <w:tc>
          <w:tcPr>
            <w:tcW w:type="dxa" w:w="3600"/>
          </w:tcPr>
          <w:p>
            <w:pPr>
              <w:spacing w:after="0" w:before="0" w:line="240" w:lineRule="auto"/>
              <w:jc w:val="left"/>
            </w:pPr>
            <w:r>
              <w:t>Often follows departmental or operating expenditure authorization</w:t>
            </w:r>
          </w:p>
        </w:tc>
      </w:tr>
      <w:tr>
        <w:tc>
          <w:tcPr>
            <w:tcW w:type="dxa" w:w="3600"/>
          </w:tcPr>
          <w:p>
            <w:pPr>
              <w:spacing w:after="0" w:before="0" w:line="240" w:lineRule="auto"/>
              <w:jc w:val="left"/>
            </w:pPr>
            <w:r>
              <w:t>Cash flow</w:t>
            </w:r>
          </w:p>
        </w:tc>
        <w:tc>
          <w:tcPr>
            <w:tcW w:type="dxa" w:w="3600"/>
          </w:tcPr>
          <w:p>
            <w:pPr>
              <w:spacing w:after="0" w:before="0" w:line="240" w:lineRule="auto"/>
              <w:jc w:val="left"/>
            </w:pPr>
            <w:r>
              <w:t>Cash outflow when payment occurs</w:t>
            </w:r>
          </w:p>
        </w:tc>
        <w:tc>
          <w:tcPr>
            <w:tcW w:type="dxa" w:w="3600"/>
          </w:tcPr>
          <w:p>
            <w:pPr>
              <w:spacing w:after="0" w:before="0" w:line="240" w:lineRule="auto"/>
              <w:jc w:val="left"/>
            </w:pPr>
            <w:r>
              <w:t>Cash outflow when payment occurs</w:t>
            </w:r>
          </w:p>
        </w:tc>
      </w:tr>
      <w:tr>
        <w:tc>
          <w:tcPr>
            <w:tcW w:type="dxa" w:w="3600"/>
          </w:tcPr>
          <w:p>
            <w:pPr>
              <w:spacing w:after="0" w:before="0" w:line="240" w:lineRule="auto"/>
              <w:jc w:val="left"/>
            </w:pPr>
            <w:r>
              <w:t>Benefits</w:t>
            </w:r>
          </w:p>
        </w:tc>
        <w:tc>
          <w:tcPr>
            <w:tcW w:type="dxa" w:w="3600"/>
          </w:tcPr>
          <w:p>
            <w:pPr>
              <w:spacing w:after="0" w:before="0" w:line="240" w:lineRule="auto"/>
              <w:jc w:val="left"/>
            </w:pPr>
            <w:r>
              <w:t>Usually extend across multiple periods</w:t>
            </w:r>
          </w:p>
        </w:tc>
        <w:tc>
          <w:tcPr>
            <w:tcW w:type="dxa" w:w="3600"/>
          </w:tcPr>
          <w:p>
            <w:pPr>
              <w:spacing w:after="0" w:before="0" w:line="240" w:lineRule="auto"/>
              <w:jc w:val="left"/>
            </w:pPr>
            <w:r>
              <w:t>Often relate to current operations</w:t>
            </w:r>
          </w:p>
        </w:tc>
      </w:tr>
      <w:tr>
        <w:tc>
          <w:tcPr>
            <w:tcW w:type="dxa" w:w="3600"/>
          </w:tcPr>
          <w:p>
            <w:pPr>
              <w:spacing w:after="0" w:before="0" w:line="240" w:lineRule="auto"/>
              <w:jc w:val="left"/>
            </w:pPr>
            <w:r>
              <w:t>Maintenance impact</w:t>
            </w:r>
          </w:p>
        </w:tc>
        <w:tc>
          <w:tcPr>
            <w:tcW w:type="dxa" w:w="3600"/>
          </w:tcPr>
          <w:p>
            <w:pPr>
              <w:spacing w:after="0" w:before="0" w:line="240" w:lineRule="auto"/>
              <w:jc w:val="left"/>
            </w:pPr>
            <w:r>
              <w:t>May improve capability or establish new capacity</w:t>
            </w:r>
          </w:p>
        </w:tc>
        <w:tc>
          <w:tcPr>
            <w:tcW w:type="dxa" w:w="3600"/>
          </w:tcPr>
          <w:p>
            <w:pPr>
              <w:spacing w:after="0" w:before="0" w:line="240" w:lineRule="auto"/>
              <w:jc w:val="left"/>
            </w:pPr>
            <w:r>
              <w:t>Maintains existing operations</w:t>
            </w:r>
          </w:p>
        </w:tc>
      </w:tr>
      <w:tr>
        <w:tc>
          <w:tcPr>
            <w:tcW w:type="dxa" w:w="3600"/>
          </w:tcPr>
          <w:p>
            <w:pPr>
              <w:spacing w:after="0" w:before="0" w:line="240" w:lineRule="auto"/>
              <w:jc w:val="left"/>
            </w:pPr>
            <w:r>
              <w:t>Evaluation focus</w:t>
            </w:r>
          </w:p>
        </w:tc>
        <w:tc>
          <w:tcPr>
            <w:tcW w:type="dxa" w:w="3600"/>
          </w:tcPr>
          <w:p>
            <w:pPr>
              <w:spacing w:after="0" w:before="0" w:line="240" w:lineRule="auto"/>
              <w:jc w:val="left"/>
            </w:pPr>
            <w:r>
              <w:t>Investment return, capacity, lifecycle cost, strategic value</w:t>
            </w:r>
          </w:p>
        </w:tc>
        <w:tc>
          <w:tcPr>
            <w:tcW w:type="dxa" w:w="3600"/>
          </w:tcPr>
          <w:p>
            <w:pPr>
              <w:spacing w:after="0" w:before="0" w:line="240" w:lineRule="auto"/>
              <w:jc w:val="left"/>
            </w:pPr>
            <w:r>
              <w:t>Cost control, service quality, operating efficiency</w:t>
            </w:r>
          </w:p>
        </w:tc>
      </w:tr>
      <w:tr>
        <w:tc>
          <w:tcPr>
            <w:tcW w:type="dxa" w:w="3600"/>
          </w:tcPr>
          <w:p>
            <w:pPr>
              <w:spacing w:after="0" w:before="0" w:line="240" w:lineRule="auto"/>
              <w:jc w:val="left"/>
            </w:pPr>
            <w:r>
              <w:t>Tax treatment</w:t>
            </w:r>
          </w:p>
        </w:tc>
        <w:tc>
          <w:tcPr>
            <w:tcW w:type="dxa" w:w="3600"/>
          </w:tcPr>
          <w:p>
            <w:pPr>
              <w:spacing w:after="0" w:before="0" w:line="240" w:lineRule="auto"/>
              <w:jc w:val="left"/>
            </w:pPr>
            <w:r>
              <w:t>Depends on applicable accounting and tax rules</w:t>
            </w:r>
          </w:p>
        </w:tc>
        <w:tc>
          <w:tcPr>
            <w:tcW w:type="dxa" w:w="3600"/>
          </w:tcPr>
          <w:p>
            <w:pPr>
              <w:spacing w:after="0" w:before="0" w:line="240" w:lineRule="auto"/>
              <w:jc w:val="left"/>
            </w:pPr>
            <w:r>
              <w:t>Depends on applicable accounting and tax rules</w:t>
            </w:r>
          </w:p>
        </w:tc>
      </w:tr>
    </w:tbl>
    <w:p/>
    <w:p>
      <w:r>
        <w:t>CAPEX is not automatically better than OPEX, and OPEX is not automatically cheaper. The correct decision depends on business need, lifecycle cost, financial policy, operational risk, and the alternatives available.</w:t>
      </w:r>
    </w:p>
    <w:p>
      <w:pPr>
        <w:pStyle w:val="Heading2"/>
      </w:pPr>
      <w:r>
        <w:t>5. The boundary between CAPEX and OPEX</w:t>
      </w:r>
    </w:p>
    <w:p>
      <w:r>
        <w:t>This boundary is one of the most important practical concepts in commercial awareness.</w:t>
      </w:r>
    </w:p>
    <w:p>
      <w:r>
        <w:t>The same physical component can be classified differently depending on the purpose of the expenditure.</w:t>
      </w:r>
    </w:p>
    <w:p>
      <w:r>
        <w:t>For example, consider a PLC replacement:</w:t>
      </w:r>
    </w:p>
    <w:p>
      <w:pPr>
        <w:pStyle w:val="ListBullet"/>
      </w:pPr>
      <w:r>
        <w:t>Replacing a failed CPU with an equivalent supported unit to restore normal operation is generally a repair expense.</w:t>
      </w:r>
    </w:p>
    <w:p>
      <w:pPr>
        <w:pStyle w:val="ListBullet"/>
      </w:pPr>
      <w:r>
        <w:t>Replacing an entire obsolete control system with a substantially upgraded platform may qualify as a capital improvement.</w:t>
      </w:r>
    </w:p>
    <w:p>
      <w:pPr>
        <w:pStyle w:val="ListBullet"/>
      </w:pPr>
      <w:r>
        <w:t>Replacing a complete machine to increase production capacity is generally CAPEX.</w:t>
      </w:r>
    </w:p>
    <w:p>
      <w:pPr>
        <w:pStyle w:val="ListBullet"/>
      </w:pPr>
      <w:r>
        <w:t>Paying for routine PLC programming support is generally OPEX.</w:t>
      </w:r>
    </w:p>
    <w:p>
      <w:pPr>
        <w:pStyle w:val="ListBullet"/>
      </w:pPr>
      <w:r>
        <w:t>Developing or acquiring software may have different accounting treatment depending on the arrangement and applicable policy.</w:t>
      </w:r>
    </w:p>
    <w:p>
      <w:r>
        <w:t>The key questions are:</w:t>
      </w:r>
    </w:p>
    <w:p>
      <w:pPr>
        <w:tabs>
          <w:tab w:pos="403" w:val="left"/>
        </w:tabs>
        <w:spacing w:after="40" w:line="276" w:lineRule="auto"/>
        <w:ind w:left="403" w:hanging="403"/>
        <w:jc w:val="left"/>
      </w:pPr>
      <w:r>
        <w:rPr>
          <w:color w:val="1A2E4A"/>
        </w:rPr>
        <w:t>1.</w:t>
        <w:tab/>
      </w:r>
      <w:r>
        <w:t>Is the expenditure merely restoring the asset to its existing condition?</w:t>
      </w:r>
    </w:p>
    <w:p>
      <w:pPr>
        <w:tabs>
          <w:tab w:pos="403" w:val="left"/>
        </w:tabs>
        <w:spacing w:after="40" w:line="276" w:lineRule="auto"/>
        <w:ind w:left="403" w:hanging="403"/>
        <w:jc w:val="left"/>
      </w:pPr>
      <w:r>
        <w:rPr>
          <w:color w:val="1A2E4A"/>
        </w:rPr>
        <w:t>2.</w:t>
        <w:tab/>
      </w:r>
      <w:r>
        <w:t>Does it create a new asset or substantially improve capacity, functionality, efficiency, or useful life?</w:t>
      </w:r>
    </w:p>
    <w:p>
      <w:pPr>
        <w:tabs>
          <w:tab w:pos="403" w:val="left"/>
        </w:tabs>
        <w:spacing w:after="40" w:line="276" w:lineRule="auto"/>
        <w:ind w:left="403" w:hanging="403"/>
        <w:jc w:val="left"/>
      </w:pPr>
      <w:r>
        <w:rPr>
          <w:color w:val="1A2E4A"/>
        </w:rPr>
        <w:t>3.</w:t>
        <w:tab/>
      </w:r>
      <w:r>
        <w:t>Does the applicable accounting framework permit capitalization?</w:t>
      </w:r>
    </w:p>
    <w:p>
      <w:pPr>
        <w:tabs>
          <w:tab w:pos="403" w:val="left"/>
        </w:tabs>
        <w:spacing w:after="40" w:line="276" w:lineRule="auto"/>
        <w:ind w:left="403" w:hanging="403"/>
        <w:jc w:val="left"/>
      </w:pPr>
      <w:r>
        <w:rPr>
          <w:color w:val="1A2E4A"/>
        </w:rPr>
        <w:t>4.</w:t>
        <w:tab/>
      </w:r>
      <w:r>
        <w:t>Does the project meet company capitalization thresholds and documentation requirements?</w:t>
      </w:r>
    </w:p>
    <w:p>
      <w:pPr>
        <w:tabs>
          <w:tab w:pos="403" w:val="left"/>
        </w:tabs>
        <w:spacing w:after="40" w:line="276" w:lineRule="auto"/>
        <w:ind w:left="403" w:hanging="403"/>
        <w:jc w:val="left"/>
      </w:pPr>
      <w:r>
        <w:rPr>
          <w:color w:val="1A2E4A"/>
        </w:rPr>
        <w:t>5.</w:t>
        <w:tab/>
      </w:r>
      <w:r>
        <w:t>Which costs are directly attributable to the qualifying asset, and which must be expensed?</w:t>
      </w:r>
    </w:p>
    <w:p>
      <w:r>
        <w:t>Engineering should describe the technical scope accurately. Finance should determine the accounting classification.</w:t>
      </w:r>
    </w:p>
    <w:p>
      <w:pPr>
        <w:pStyle w:val="Heading2"/>
      </w:pPr>
      <w:r>
        <w:t>6. CAPEX approval process</w:t>
      </w:r>
    </w:p>
    <w:p>
      <w:r>
        <w:t>Capital expenditure generally requires a business case demonstrating why the investment is necessary and whether it is economically justified.</w:t>
      </w:r>
    </w:p>
    <w:p>
      <w:r>
        <w:t>A typical approval process is:</w:t>
      </w:r>
    </w:p>
    <w:p>
      <w:pPr>
        <w:shd w:val="clear" w:color="auto" w:fill="F4F4F4"/>
        <w:spacing w:before="0" w:after="0" w:line="240" w:lineRule="auto"/>
        <w:ind w:left="216" w:right="216"/>
        <w:jc w:val="left"/>
      </w:pPr>
      <w:r>
        <w:rPr>
          <w:rFonts w:ascii="Consolas" w:hAnsi="Consolas"/>
          <w:color w:val="202020"/>
          <w:sz w:val="18"/>
        </w:rPr>
        <w:t>Business Need or Equipment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Feasibility and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CAPEX Estimate and Alternatives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Business Case and Financial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Budget Availability and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RFQ and Technical/Commercial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and Project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Commissioning, and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Asset Capitalization and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Monitoring</w:t>
      </w:r>
    </w:p>
    <w:p/>
    <w:p>
      <w:r>
        <w:t>The exact approval workflow varies by organization and expenditure threshold.</w:t>
      </w:r>
    </w:p>
    <w:p>
      <w:pPr>
        <w:pStyle w:val="Heading3"/>
      </w:pPr>
      <w:r>
        <w:t>6.1 Typical CAPEX proposal contents</w:t>
      </w:r>
    </w:p>
    <w:p>
      <w:r>
        <w:t>A technically complete proposal should contain:</w:t>
      </w:r>
    </w:p>
    <w:p>
      <w:pPr>
        <w:pStyle w:val="ListBullet"/>
      </w:pPr>
      <w:r>
        <w:t>Problem statement and business need.</w:t>
      </w:r>
    </w:p>
    <w:p>
      <w:pPr>
        <w:pStyle w:val="ListBullet"/>
      </w:pPr>
      <w:r>
        <w:t>Current-state assessment and limitations.</w:t>
      </w:r>
    </w:p>
    <w:p>
      <w:pPr>
        <w:pStyle w:val="ListBullet"/>
      </w:pPr>
      <w:r>
        <w:t>Proposed technical solution and scope of supply.</w:t>
      </w:r>
    </w:p>
    <w:p>
      <w:pPr>
        <w:pStyle w:val="ListBullet"/>
      </w:pPr>
      <w:r>
        <w:t>Production capacity, quality, safety, and reliability benefits.</w:t>
      </w:r>
    </w:p>
    <w:p>
      <w:pPr>
        <w:pStyle w:val="ListBullet"/>
      </w:pPr>
      <w:r>
        <w:t>Alternatives considered, including repair, retrofit, and replacement.</w:t>
      </w:r>
    </w:p>
    <w:p>
      <w:pPr>
        <w:pStyle w:val="ListBullet"/>
      </w:pPr>
      <w:r>
        <w:t>Technical specification and preliminary architecture.</w:t>
      </w:r>
    </w:p>
    <w:p>
      <w:pPr>
        <w:pStyle w:val="ListBullet"/>
      </w:pPr>
      <w:r>
        <w:t>Equipment and installation cost estimate.</w:t>
      </w:r>
    </w:p>
    <w:p>
      <w:pPr>
        <w:pStyle w:val="ListBullet"/>
      </w:pPr>
      <w:r>
        <w:t>Commissioning, training, and validation requirements.</w:t>
      </w:r>
    </w:p>
    <w:p>
      <w:pPr>
        <w:pStyle w:val="ListBullet"/>
      </w:pPr>
      <w:r>
        <w:t>Expected operating and maintenance costs.</w:t>
      </w:r>
    </w:p>
    <w:p>
      <w:pPr>
        <w:pStyle w:val="ListBullet"/>
      </w:pPr>
      <w:r>
        <w:t>Project schedule and production shutdown requirements.</w:t>
      </w:r>
    </w:p>
    <w:p>
      <w:pPr>
        <w:pStyle w:val="ListBullet"/>
      </w:pPr>
      <w:r>
        <w:t>Lifecycle and obsolescence assessment.</w:t>
      </w:r>
    </w:p>
    <w:p>
      <w:pPr>
        <w:pStyle w:val="ListBullet"/>
      </w:pPr>
      <w:r>
        <w:t>Financial justification and expected benefits.</w:t>
      </w:r>
    </w:p>
    <w:p>
      <w:pPr>
        <w:pStyle w:val="ListBullet"/>
      </w:pPr>
      <w:r>
        <w:t>Risks, assumptions, exclusions, and dependencies.</w:t>
      </w:r>
    </w:p>
    <w:p>
      <w:pPr>
        <w:pStyle w:val="ListBullet"/>
      </w:pPr>
      <w:r>
        <w:t>Approval requirements and implementation responsibilities.</w:t>
      </w:r>
    </w:p>
    <w:p>
      <w:r>
        <w:t>A proposal that says only “the machine is old, so replace it” is not a strong investment case. The proposal must demonstrate the operational problem, feasible alternatives, and expected business value.</w:t>
      </w:r>
    </w:p>
    <w:p>
      <w:pPr>
        <w:pStyle w:val="Heading2"/>
      </w:pPr>
      <w:r>
        <w:t>7. CAPEX cost components</w:t>
      </w:r>
    </w:p>
    <w:p>
      <w:r>
        <w:t>The purchase price is only one component of the total capital-project cost.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Equipment purchase</w:t>
            </w:r>
          </w:p>
        </w:tc>
        <w:tc>
          <w:tcPr>
            <w:tcW w:type="dxa" w:w="5400"/>
          </w:tcPr>
          <w:p>
            <w:pPr>
              <w:spacing w:after="0" w:before="0" w:line="240" w:lineRule="auto"/>
              <w:jc w:val="left"/>
            </w:pPr>
            <w:r>
              <w:t>PLC system, machine, robot, CNC</w:t>
            </w:r>
          </w:p>
        </w:tc>
      </w:tr>
      <w:tr>
        <w:tc>
          <w:tcPr>
            <w:tcW w:type="dxa" w:w="5400"/>
          </w:tcPr>
          <w:p>
            <w:pPr>
              <w:spacing w:after="0" w:before="0" w:line="240" w:lineRule="auto"/>
              <w:jc w:val="left"/>
            </w:pPr>
            <w:r>
              <w:t>Engineering</w:t>
            </w:r>
          </w:p>
        </w:tc>
        <w:tc>
          <w:tcPr>
            <w:tcW w:type="dxa" w:w="5400"/>
          </w:tcPr>
          <w:p>
            <w:pPr>
              <w:spacing w:after="0" w:before="0" w:line="240" w:lineRule="auto"/>
              <w:jc w:val="left"/>
            </w:pPr>
            <w:r>
              <w:t>Design, programming, calculations, drawings</w:t>
            </w:r>
          </w:p>
        </w:tc>
      </w:tr>
      <w:tr>
        <w:tc>
          <w:tcPr>
            <w:tcW w:type="dxa" w:w="5400"/>
          </w:tcPr>
          <w:p>
            <w:pPr>
              <w:spacing w:after="0" w:before="0" w:line="240" w:lineRule="auto"/>
              <w:jc w:val="left"/>
            </w:pPr>
            <w:r>
              <w:t>Electrical installation</w:t>
            </w:r>
          </w:p>
        </w:tc>
        <w:tc>
          <w:tcPr>
            <w:tcW w:type="dxa" w:w="5400"/>
          </w:tcPr>
          <w:p>
            <w:pPr>
              <w:spacing w:after="0" w:before="0" w:line="240" w:lineRule="auto"/>
              <w:jc w:val="left"/>
            </w:pPr>
            <w:r>
              <w:t>Panels, cables, wiring, protection</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Foundations, fixtures, alignment</w:t>
            </w:r>
          </w:p>
        </w:tc>
      </w:tr>
      <w:tr>
        <w:tc>
          <w:tcPr>
            <w:tcW w:type="dxa" w:w="5400"/>
          </w:tcPr>
          <w:p>
            <w:pPr>
              <w:spacing w:after="0" w:before="0" w:line="240" w:lineRule="auto"/>
              <w:jc w:val="left"/>
            </w:pPr>
            <w:r>
              <w:t>Networking</w:t>
            </w:r>
          </w:p>
        </w:tc>
        <w:tc>
          <w:tcPr>
            <w:tcW w:type="dxa" w:w="5400"/>
          </w:tcPr>
          <w:p>
            <w:pPr>
              <w:spacing w:after="0" w:before="0" w:line="240" w:lineRule="auto"/>
              <w:jc w:val="left"/>
            </w:pPr>
            <w:r>
              <w:t>Switches, fiber, network integration</w:t>
            </w:r>
          </w:p>
        </w:tc>
      </w:tr>
      <w:tr>
        <w:tc>
          <w:tcPr>
            <w:tcW w:type="dxa" w:w="5400"/>
          </w:tcPr>
          <w:p>
            <w:pPr>
              <w:spacing w:after="0" w:before="0" w:line="240" w:lineRule="auto"/>
              <w:jc w:val="left"/>
            </w:pPr>
            <w:r>
              <w:t>Software and licenses</w:t>
            </w:r>
          </w:p>
        </w:tc>
        <w:tc>
          <w:tcPr>
            <w:tcW w:type="dxa" w:w="5400"/>
          </w:tcPr>
          <w:p>
            <w:pPr>
              <w:spacing w:after="0" w:before="0" w:line="240" w:lineRule="auto"/>
              <w:jc w:val="left"/>
            </w:pPr>
            <w:r>
              <w:t>Qualifying software acquisition costs, where permitted</w:t>
            </w:r>
          </w:p>
        </w:tc>
      </w:tr>
      <w:tr>
        <w:tc>
          <w:tcPr>
            <w:tcW w:type="dxa" w:w="5400"/>
          </w:tcPr>
          <w:p>
            <w:pPr>
              <w:spacing w:after="0" w:before="0" w:line="240" w:lineRule="auto"/>
              <w:jc w:val="left"/>
            </w:pPr>
            <w:r>
              <w:t>Freight and handling</w:t>
            </w:r>
          </w:p>
        </w:tc>
        <w:tc>
          <w:tcPr>
            <w:tcW w:type="dxa" w:w="5400"/>
          </w:tcPr>
          <w:p>
            <w:pPr>
              <w:spacing w:after="0" w:before="0" w:line="240" w:lineRule="auto"/>
              <w:jc w:val="left"/>
            </w:pPr>
            <w:r>
              <w:t>Delivery to the installation site</w:t>
            </w:r>
          </w:p>
        </w:tc>
      </w:tr>
      <w:tr>
        <w:tc>
          <w:tcPr>
            <w:tcW w:type="dxa" w:w="5400"/>
          </w:tcPr>
          <w:p>
            <w:pPr>
              <w:spacing w:after="0" w:before="0" w:line="240" w:lineRule="auto"/>
              <w:jc w:val="left"/>
            </w:pPr>
            <w:r>
              <w:t>Installation services</w:t>
            </w:r>
          </w:p>
        </w:tc>
        <w:tc>
          <w:tcPr>
            <w:tcW w:type="dxa" w:w="5400"/>
          </w:tcPr>
          <w:p>
            <w:pPr>
              <w:spacing w:after="0" w:before="0" w:line="240" w:lineRule="auto"/>
              <w:jc w:val="left"/>
            </w:pPr>
            <w:r>
              <w:t>Assembly, mounting, and integration</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Startup and functional verification</w:t>
            </w:r>
          </w:p>
        </w:tc>
      </w:tr>
      <w:tr>
        <w:tc>
          <w:tcPr>
            <w:tcW w:type="dxa" w:w="5400"/>
          </w:tcPr>
          <w:p>
            <w:pPr>
              <w:spacing w:after="0" w:before="0" w:line="240" w:lineRule="auto"/>
              <w:jc w:val="left"/>
            </w:pPr>
            <w:r>
              <w:t>Testing and validation</w:t>
            </w:r>
          </w:p>
        </w:tc>
        <w:tc>
          <w:tcPr>
            <w:tcW w:type="dxa" w:w="5400"/>
          </w:tcPr>
          <w:p>
            <w:pPr>
              <w:spacing w:after="0" w:before="0" w:line="240" w:lineRule="auto"/>
              <w:jc w:val="left"/>
            </w:pPr>
            <w:r>
              <w:t>Required acceptance and qualification activities</w:t>
            </w:r>
          </w:p>
        </w:tc>
      </w:tr>
      <w:tr>
        <w:tc>
          <w:tcPr>
            <w:tcW w:type="dxa" w:w="5400"/>
          </w:tcPr>
          <w:p>
            <w:pPr>
              <w:spacing w:after="0" w:before="0" w:line="240" w:lineRule="auto"/>
              <w:jc w:val="left"/>
            </w:pPr>
            <w:r>
              <w:t>Directly attributable project costs</w:t>
            </w:r>
          </w:p>
        </w:tc>
        <w:tc>
          <w:tcPr>
            <w:tcW w:type="dxa" w:w="5400"/>
          </w:tcPr>
          <w:p>
            <w:pPr>
              <w:spacing w:after="0" w:before="0" w:line="240" w:lineRule="auto"/>
              <w:jc w:val="left"/>
            </w:pPr>
            <w:r>
              <w:t>Eligible costs needed to bring the asset into operating condition</w:t>
            </w:r>
          </w:p>
        </w:tc>
      </w:tr>
      <w:tr>
        <w:tc>
          <w:tcPr>
            <w:tcW w:type="dxa" w:w="5400"/>
          </w:tcPr>
          <w:p>
            <w:pPr>
              <w:spacing w:after="0" w:before="0" w:line="240" w:lineRule="auto"/>
              <w:jc w:val="left"/>
            </w:pPr>
            <w:r>
              <w:t>Contingency</w:t>
            </w:r>
          </w:p>
        </w:tc>
        <w:tc>
          <w:tcPr>
            <w:tcW w:type="dxa" w:w="5400"/>
          </w:tcPr>
          <w:p>
            <w:pPr>
              <w:spacing w:after="0" w:before="0" w:line="240" w:lineRule="auto"/>
              <w:jc w:val="left"/>
            </w:pPr>
            <w:r>
              <w:t>Allowance for identified project uncertainties, subject to policy</w:t>
            </w:r>
          </w:p>
        </w:tc>
      </w:tr>
    </w:tbl>
    <w:p/>
    <w:p>
      <w:r>
        <w:t>Not every cost in a capital project can be capitalized. Training, general administration, abnormal waste, and many startup costs may need to be expensed. Classification must follow the applicable accounting rules.</w:t>
      </w:r>
    </w:p>
    <w:p>
      <w:pPr>
        <w:pStyle w:val="Heading2"/>
      </w:pPr>
      <w:r>
        <w:t>8. OPEX budgeting and control</w:t>
      </w:r>
    </w:p>
    <w:p>
      <w:r>
        <w:t>OPEX budgeting estimates the resources needed to operate and maintain equipment over a defined period, usually a financial year or another planning horizon.</w:t>
      </w:r>
    </w:p>
    <w:p>
      <w:r>
        <w:t>For industrial maintenance, the budget may include:</w:t>
      </w:r>
    </w:p>
    <w:p>
      <w:pPr>
        <w:pStyle w:val="ListBullet"/>
      </w:pPr>
      <w:r>
        <w:t>Planned preventive maintenance.</w:t>
      </w:r>
    </w:p>
    <w:p>
      <w:pPr>
        <w:pStyle w:val="ListBullet"/>
      </w:pPr>
      <w:r>
        <w:t>Breakdown repairs.</w:t>
      </w:r>
    </w:p>
    <w:p>
      <w:pPr>
        <w:pStyle w:val="ListBullet"/>
      </w:pPr>
      <w:r>
        <w:t>Critical and routine spare parts.</w:t>
      </w:r>
    </w:p>
    <w:p>
      <w:pPr>
        <w:pStyle w:val="ListBullet"/>
      </w:pPr>
      <w:r>
        <w:t>External repair and service contracts.</w:t>
      </w:r>
    </w:p>
    <w:p>
      <w:pPr>
        <w:pStyle w:val="ListBullet"/>
      </w:pPr>
      <w:r>
        <w:t>Calibration and inspection.</w:t>
      </w:r>
    </w:p>
    <w:p>
      <w:pPr>
        <w:pStyle w:val="ListBullet"/>
      </w:pPr>
      <w:r>
        <w:t>Utilities.</w:t>
      </w:r>
    </w:p>
    <w:p>
      <w:pPr>
        <w:pStyle w:val="ListBullet"/>
      </w:pPr>
      <w:r>
        <w:t>Software and license renewals.</w:t>
      </w:r>
    </w:p>
    <w:p>
      <w:pPr>
        <w:pStyle w:val="ListBullet"/>
      </w:pPr>
      <w:r>
        <w:t>Training and competency development.</w:t>
      </w:r>
    </w:p>
    <w:p>
      <w:pPr>
        <w:pStyle w:val="ListBullet"/>
      </w:pPr>
      <w:r>
        <w:t>Equipment cleaning and consumables.</w:t>
      </w:r>
    </w:p>
    <w:p>
      <w:pPr>
        <w:pStyle w:val="ListBullet"/>
      </w:pPr>
      <w:r>
        <w:t>OT cybersecurity support.</w:t>
      </w:r>
    </w:p>
    <w:p>
      <w:pPr>
        <w:pStyle w:val="ListBullet"/>
      </w:pPr>
      <w:r>
        <w:t>Planned overhauls and condition-monitoring services.</w:t>
      </w:r>
    </w:p>
    <w:p>
      <w:pPr>
        <w:pStyle w:val="Heading3"/>
      </w:pPr>
      <w:r>
        <w:t>8.1 Annual OPEX estimate</w:t>
      </w:r>
    </w:p>
    <w:p>
      <w:r>
        <w:t>A simple estimate is:</w:t>
      </w:r>
    </w:p>
    <w:p>
      <w:pPr>
        <w:spacing w:before="120" w:after="160"/>
        <w:jc w:val="center"/>
      </w:pPr>
      <m:oMathPara>
        <m:oMath>
          <m:r>
            <m:rPr>
              <m:nor/>
            </m:rPr>
            <m:t>Annual OPEX</m:t>
          </m:r>
          <m:r>
            <m:t>=</m:t>
          </m:r>
          <m:r>
            <m:rPr>
              <m:nor/>
            </m:rPr>
            <m:t>Maintenance</m:t>
          </m:r>
          <m:r>
            <m:t>+</m:t>
          </m:r>
          <m:r>
            <m:rPr>
              <m:nor/>
            </m:rPr>
            <m:t>Utilities</m:t>
          </m:r>
          <m:r>
            <m:t>+</m:t>
          </m:r>
          <m:r>
            <m:rPr>
              <m:nor/>
            </m:rPr>
            <m:t>Consumables</m:t>
          </m:r>
          <m:r>
            <m:t>+</m:t>
          </m:r>
          <m:r>
            <m:rPr>
              <m:nor/>
            </m:rPr>
            <m:t>Service Contracts</m:t>
          </m:r>
          <m:r>
            <m:t>+</m:t>
          </m:r>
          <m:r>
            <m:rPr>
              <m:nor/>
            </m:rPr>
            <m:t>Other Operating Costs</m:t>
          </m:r>
        </m:oMath>
      </m:oMathPara>
    </w:p>
    <w:p>
      <w:r>
        <w:t>For example, a machine may have annual maintenance expenditure of ₹2 lakh, utilities of ₹3 lakh, consumables of ₹1 lakh, and service contracts of ₹1.5 lakh.</w:t>
      </w:r>
    </w:p>
    <w:p>
      <w:r>
        <w:t>Its estimated annual operating expenditure is:</w:t>
      </w:r>
    </w:p>
    <w:p>
      <w:pPr>
        <w:spacing w:before="120" w:after="160"/>
        <w:jc w:val="center"/>
      </w:pPr>
      <m:oMathPara>
        <m:oMath>
          <m:r>
            <m:rPr>
              <m:nor/>
            </m:rPr>
            <m:t>Annual OPEX</m:t>
          </m:r>
          <m:r>
            <m:t>=2+3+1+1.5=₹7.5</m:t>
          </m:r>
          <m:r>
            <m:rPr>
              <m:nor/>
            </m:rPr>
            <m:t> lakh</m:t>
          </m:r>
        </m:oMath>
      </m:oMathPara>
    </w:p>
    <w:p>
      <w:r>
        <w:t>This estimate should be based on a consistent period and should avoid double-counting costs already included in service contracts.</w:t>
      </w:r>
    </w:p>
    <w:p>
      <w:pPr>
        <w:pStyle w:val="Heading2"/>
      </w:pPr>
      <w:r>
        <w:t>9. CAPEX and OPEX in automation projects</w:t>
      </w:r>
    </w:p>
    <w:p>
      <w:r>
        <w:t>Consider the modernization of an industrial test bench.</w:t>
      </w:r>
    </w:p>
    <w:p>
      <w:r>
        <w:t>The project may include a new PLC, HMI, instrumentation, control panel, engineering, installation, and commissioning. Some directly attributable costs may form part of the capitalized asset cost if the applicable rules permit.</w:t>
      </w:r>
    </w:p>
    <w:p>
      <w:r>
        <w:t>After commissioning, the plant incurs recurring expenditure for electricity, calibration, spare modules, software subscriptions, and maintenance services.</w:t>
      </w:r>
    </w:p>
    <w:p>
      <w:r>
        <w:t>A useful separation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Project or lifecycle activity</w:t>
            </w:r>
          </w:p>
        </w:tc>
        <w:tc>
          <w:tcPr>
            <w:tcW w:type="dxa" w:w="3600"/>
            <w:shd w:val="clear" w:color="auto" w:fill="EEF2F7"/>
          </w:tcPr>
          <w:p>
            <w:pPr>
              <w:spacing w:after="0" w:before="0" w:line="240" w:lineRule="auto"/>
              <w:jc w:val="left"/>
            </w:pPr>
            <w:r>
              <w:rPr>
                <w:b/>
                <w:color w:val="1A2E4A"/>
              </w:rPr>
              <w:t>Likely budget category</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New test-bench purchase</w:t>
            </w:r>
          </w:p>
        </w:tc>
        <w:tc>
          <w:tcPr>
            <w:tcW w:type="dxa" w:w="3600"/>
          </w:tcPr>
          <w:p>
            <w:pPr>
              <w:spacing w:after="0" w:before="0" w:line="240" w:lineRule="auto"/>
              <w:jc w:val="left"/>
            </w:pPr>
            <w:r>
              <w:t>CAPEX</w:t>
            </w:r>
          </w:p>
        </w:tc>
        <w:tc>
          <w:tcPr>
            <w:tcW w:type="dxa" w:w="3600"/>
          </w:tcPr>
          <w:p>
            <w:pPr>
              <w:spacing w:after="0" w:before="0" w:line="240" w:lineRule="auto"/>
              <w:jc w:val="left"/>
            </w:pPr>
            <w:r>
              <w:t>New long-term asset</w:t>
            </w:r>
          </w:p>
        </w:tc>
      </w:tr>
      <w:tr>
        <w:tc>
          <w:tcPr>
            <w:tcW w:type="dxa" w:w="3600"/>
          </w:tcPr>
          <w:p>
            <w:pPr>
              <w:spacing w:after="0" w:before="0" w:line="240" w:lineRule="auto"/>
              <w:jc w:val="left"/>
            </w:pPr>
            <w:r>
              <w:t>New control-panel fabrication</w:t>
            </w:r>
          </w:p>
        </w:tc>
        <w:tc>
          <w:tcPr>
            <w:tcW w:type="dxa" w:w="3600"/>
          </w:tcPr>
          <w:p>
            <w:pPr>
              <w:spacing w:after="0" w:before="0" w:line="240" w:lineRule="auto"/>
              <w:jc w:val="left"/>
            </w:pPr>
            <w:r>
              <w:t>CAPEX when part of a qualifying project</w:t>
            </w:r>
          </w:p>
        </w:tc>
        <w:tc>
          <w:tcPr>
            <w:tcW w:type="dxa" w:w="3600"/>
          </w:tcPr>
          <w:p>
            <w:pPr>
              <w:spacing w:after="0" w:before="0" w:line="240" w:lineRule="auto"/>
              <w:jc w:val="left"/>
            </w:pPr>
            <w:r>
              <w:t>Depends on project accounting treatment</w:t>
            </w:r>
          </w:p>
        </w:tc>
      </w:tr>
      <w:tr>
        <w:tc>
          <w:tcPr>
            <w:tcW w:type="dxa" w:w="3600"/>
          </w:tcPr>
          <w:p>
            <w:pPr>
              <w:spacing w:after="0" w:before="0" w:line="240" w:lineRule="auto"/>
              <w:jc w:val="left"/>
            </w:pPr>
            <w:r>
              <w:t>Engineering and installation</w:t>
            </w:r>
          </w:p>
        </w:tc>
        <w:tc>
          <w:tcPr>
            <w:tcW w:type="dxa" w:w="3600"/>
          </w:tcPr>
          <w:p>
            <w:pPr>
              <w:spacing w:after="0" w:before="0" w:line="240" w:lineRule="auto"/>
              <w:jc w:val="left"/>
            </w:pPr>
            <w:r>
              <w:t>Potential CAPEX</w:t>
            </w:r>
          </w:p>
        </w:tc>
        <w:tc>
          <w:tcPr>
            <w:tcW w:type="dxa" w:w="3600"/>
          </w:tcPr>
          <w:p>
            <w:pPr>
              <w:spacing w:after="0" w:before="0" w:line="240" w:lineRule="auto"/>
              <w:jc w:val="left"/>
            </w:pPr>
            <w:r>
              <w:t>Direct attribution and policy matter</w:t>
            </w:r>
          </w:p>
        </w:tc>
      </w:tr>
      <w:tr>
        <w:tc>
          <w:tcPr>
            <w:tcW w:type="dxa" w:w="3600"/>
          </w:tcPr>
          <w:p>
            <w:pPr>
              <w:spacing w:after="0" w:before="0" w:line="240" w:lineRule="auto"/>
              <w:jc w:val="left"/>
            </w:pPr>
            <w:r>
              <w:t>Routine calibration</w:t>
            </w:r>
          </w:p>
        </w:tc>
        <w:tc>
          <w:tcPr>
            <w:tcW w:type="dxa" w:w="3600"/>
          </w:tcPr>
          <w:p>
            <w:pPr>
              <w:spacing w:after="0" w:before="0" w:line="240" w:lineRule="auto"/>
              <w:jc w:val="left"/>
            </w:pPr>
            <w:r>
              <w:t>OPEX</w:t>
            </w:r>
          </w:p>
        </w:tc>
        <w:tc>
          <w:tcPr>
            <w:tcW w:type="dxa" w:w="3600"/>
          </w:tcPr>
          <w:p>
            <w:pPr>
              <w:spacing w:after="0" w:before="0" w:line="240" w:lineRule="auto"/>
              <w:jc w:val="left"/>
            </w:pPr>
            <w:r>
              <w:t>Recurring quality activity</w:t>
            </w:r>
          </w:p>
        </w:tc>
      </w:tr>
      <w:tr>
        <w:tc>
          <w:tcPr>
            <w:tcW w:type="dxa" w:w="3600"/>
          </w:tcPr>
          <w:p>
            <w:pPr>
              <w:spacing w:after="0" w:before="0" w:line="240" w:lineRule="auto"/>
              <w:jc w:val="left"/>
            </w:pPr>
            <w:r>
              <w:t>Replacement of failed sensor</w:t>
            </w:r>
          </w:p>
        </w:tc>
        <w:tc>
          <w:tcPr>
            <w:tcW w:type="dxa" w:w="3600"/>
          </w:tcPr>
          <w:p>
            <w:pPr>
              <w:spacing w:after="0" w:before="0" w:line="240" w:lineRule="auto"/>
              <w:jc w:val="left"/>
            </w:pPr>
            <w:r>
              <w:t>Usually OPEX</w:t>
            </w:r>
          </w:p>
        </w:tc>
        <w:tc>
          <w:tcPr>
            <w:tcW w:type="dxa" w:w="3600"/>
          </w:tcPr>
          <w:p>
            <w:pPr>
              <w:spacing w:after="0" w:before="0" w:line="240" w:lineRule="auto"/>
              <w:jc w:val="left"/>
            </w:pPr>
            <w:r>
              <w:t>Routine repair</w:t>
            </w:r>
          </w:p>
        </w:tc>
      </w:tr>
      <w:tr>
        <w:tc>
          <w:tcPr>
            <w:tcW w:type="dxa" w:w="3600"/>
          </w:tcPr>
          <w:p>
            <w:pPr>
              <w:spacing w:after="0" w:before="0" w:line="240" w:lineRule="auto"/>
              <w:jc w:val="left"/>
            </w:pPr>
            <w:r>
              <w:t>Major capacity-enhancing retrofit</w:t>
            </w:r>
          </w:p>
        </w:tc>
        <w:tc>
          <w:tcPr>
            <w:tcW w:type="dxa" w:w="3600"/>
          </w:tcPr>
          <w:p>
            <w:pPr>
              <w:spacing w:after="0" w:before="0" w:line="240" w:lineRule="auto"/>
              <w:jc w:val="left"/>
            </w:pPr>
            <w:r>
              <w:t>Potential CAPEX</w:t>
            </w:r>
          </w:p>
        </w:tc>
        <w:tc>
          <w:tcPr>
            <w:tcW w:type="dxa" w:w="3600"/>
          </w:tcPr>
          <w:p>
            <w:pPr>
              <w:spacing w:after="0" w:before="0" w:line="240" w:lineRule="auto"/>
              <w:jc w:val="left"/>
            </w:pPr>
            <w:r>
              <w:t>Must meet capitalization requirements</w:t>
            </w:r>
          </w:p>
        </w:tc>
      </w:tr>
      <w:tr>
        <w:tc>
          <w:tcPr>
            <w:tcW w:type="dxa" w:w="3600"/>
          </w:tcPr>
          <w:p>
            <w:pPr>
              <w:spacing w:after="0" w:before="0" w:line="240" w:lineRule="auto"/>
              <w:jc w:val="left"/>
            </w:pPr>
            <w:r>
              <w:t>Routine PLC program correction</w:t>
            </w:r>
          </w:p>
        </w:tc>
        <w:tc>
          <w:tcPr>
            <w:tcW w:type="dxa" w:w="3600"/>
          </w:tcPr>
          <w:p>
            <w:pPr>
              <w:spacing w:after="0" w:before="0" w:line="240" w:lineRule="auto"/>
              <w:jc w:val="left"/>
            </w:pPr>
            <w:r>
              <w:t>OPEX</w:t>
            </w:r>
          </w:p>
        </w:tc>
        <w:tc>
          <w:tcPr>
            <w:tcW w:type="dxa" w:w="3600"/>
          </w:tcPr>
          <w:p>
            <w:pPr>
              <w:spacing w:after="0" w:before="0" w:line="240" w:lineRule="auto"/>
              <w:jc w:val="left"/>
            </w:pPr>
            <w:r>
              <w:t>Maintenance activity</w:t>
            </w:r>
          </w:p>
        </w:tc>
      </w:tr>
      <w:tr>
        <w:tc>
          <w:tcPr>
            <w:tcW w:type="dxa" w:w="3600"/>
          </w:tcPr>
          <w:p>
            <w:pPr>
              <w:spacing w:after="0" w:before="0" w:line="240" w:lineRule="auto"/>
              <w:jc w:val="left"/>
            </w:pPr>
            <w:r>
              <w:t>Annual software subscription</w:t>
            </w:r>
          </w:p>
        </w:tc>
        <w:tc>
          <w:tcPr>
            <w:tcW w:type="dxa" w:w="3600"/>
          </w:tcPr>
          <w:p>
            <w:pPr>
              <w:spacing w:after="0" w:before="0" w:line="240" w:lineRule="auto"/>
              <w:jc w:val="left"/>
            </w:pPr>
            <w:r>
              <w:t>Usually OPEX</w:t>
            </w:r>
          </w:p>
        </w:tc>
        <w:tc>
          <w:tcPr>
            <w:tcW w:type="dxa" w:w="3600"/>
          </w:tcPr>
          <w:p>
            <w:pPr>
              <w:spacing w:after="0" w:before="0" w:line="240" w:lineRule="auto"/>
              <w:jc w:val="left"/>
            </w:pPr>
            <w:r>
              <w:t>Depends on contractual arrangement</w:t>
            </w:r>
          </w:p>
        </w:tc>
      </w:tr>
      <w:tr>
        <w:tc>
          <w:tcPr>
            <w:tcW w:type="dxa" w:w="3600"/>
          </w:tcPr>
          <w:p>
            <w:pPr>
              <w:spacing w:after="0" w:before="0" w:line="240" w:lineRule="auto"/>
              <w:jc w:val="left"/>
            </w:pPr>
            <w:r>
              <w:t>Routine operator training</w:t>
            </w:r>
          </w:p>
        </w:tc>
        <w:tc>
          <w:tcPr>
            <w:tcW w:type="dxa" w:w="3600"/>
          </w:tcPr>
          <w:p>
            <w:pPr>
              <w:spacing w:after="0" w:before="0" w:line="240" w:lineRule="auto"/>
              <w:jc w:val="left"/>
            </w:pPr>
            <w:r>
              <w:t>Usually OPEX</w:t>
            </w:r>
          </w:p>
        </w:tc>
        <w:tc>
          <w:tcPr>
            <w:tcW w:type="dxa" w:w="3600"/>
          </w:tcPr>
          <w:p>
            <w:pPr>
              <w:spacing w:after="0" w:before="0" w:line="240" w:lineRule="auto"/>
              <w:jc w:val="left"/>
            </w:pPr>
            <w:r>
              <w:t>Training is generally expensed</w:t>
            </w:r>
          </w:p>
        </w:tc>
      </w:tr>
      <w:tr>
        <w:tc>
          <w:tcPr>
            <w:tcW w:type="dxa" w:w="3600"/>
          </w:tcPr>
          <w:p>
            <w:pPr>
              <w:spacing w:after="0" w:before="0" w:line="240" w:lineRule="auto"/>
              <w:jc w:val="left"/>
            </w:pPr>
            <w:r>
              <w:t>Annual maintenance contract</w:t>
            </w:r>
          </w:p>
        </w:tc>
        <w:tc>
          <w:tcPr>
            <w:tcW w:type="dxa" w:w="3600"/>
          </w:tcPr>
          <w:p>
            <w:pPr>
              <w:spacing w:after="0" w:before="0" w:line="240" w:lineRule="auto"/>
              <w:jc w:val="left"/>
            </w:pPr>
            <w:r>
              <w:t>OPEX</w:t>
            </w:r>
          </w:p>
        </w:tc>
        <w:tc>
          <w:tcPr>
            <w:tcW w:type="dxa" w:w="3600"/>
          </w:tcPr>
          <w:p>
            <w:pPr>
              <w:spacing w:after="0" w:before="0" w:line="240" w:lineRule="auto"/>
              <w:jc w:val="left"/>
            </w:pPr>
            <w:r>
              <w:t>Recurring support service</w:t>
            </w:r>
          </w:p>
        </w:tc>
      </w:tr>
    </w:tbl>
    <w:p/>
    <w:p>
      <w:pPr>
        <w:pStyle w:val="Heading2"/>
      </w:pPr>
      <w:r>
        <w:t>10. CAPEX versus repair: a maintenance decision</w:t>
      </w:r>
    </w:p>
    <w:p>
      <w:r>
        <w:t>When equipment fails, the maintenance team should not automatically recommend a new asset. The alternatives should be evaluated technically and commercially.</w:t>
      </w:r>
    </w:p>
    <w:p>
      <w:r>
        <w:t>Example: a discontinued PLC system causes repeated breakdowns.</w:t>
      </w:r>
    </w:p>
    <w:p>
      <w:r>
        <w:t>Possible options include:</w:t>
      </w:r>
    </w:p>
    <w:p>
      <w:pPr>
        <w:tabs>
          <w:tab w:pos="403" w:val="left"/>
        </w:tabs>
        <w:spacing w:after="40" w:line="276" w:lineRule="auto"/>
        <w:ind w:left="403" w:hanging="403"/>
        <w:jc w:val="left"/>
      </w:pPr>
      <w:r>
        <w:rPr>
          <w:color w:val="1A2E4A"/>
        </w:rPr>
        <w:t>1.</w:t>
        <w:tab/>
      </w:r>
      <w:r>
        <w:t>Repair the existing system.</w:t>
      </w:r>
    </w:p>
    <w:p>
      <w:pPr>
        <w:tabs>
          <w:tab w:pos="403" w:val="left"/>
        </w:tabs>
        <w:spacing w:after="40" w:line="276" w:lineRule="auto"/>
        <w:ind w:left="403" w:hanging="403"/>
        <w:jc w:val="left"/>
      </w:pPr>
      <w:r>
        <w:rPr>
          <w:color w:val="1A2E4A"/>
        </w:rPr>
        <w:t>2.</w:t>
        <w:tab/>
      </w:r>
      <w:r>
        <w:t>Purchase available replacement modules.</w:t>
      </w:r>
    </w:p>
    <w:p>
      <w:pPr>
        <w:tabs>
          <w:tab w:pos="403" w:val="left"/>
        </w:tabs>
        <w:spacing w:after="40" w:line="276" w:lineRule="auto"/>
        <w:ind w:left="403" w:hanging="403"/>
        <w:jc w:val="left"/>
      </w:pPr>
      <w:r>
        <w:rPr>
          <w:color w:val="1A2E4A"/>
        </w:rPr>
        <w:t>3.</w:t>
        <w:tab/>
      </w:r>
      <w:r>
        <w:t>Retrofit selected components.</w:t>
      </w:r>
    </w:p>
    <w:p>
      <w:pPr>
        <w:tabs>
          <w:tab w:pos="403" w:val="left"/>
        </w:tabs>
        <w:spacing w:after="40" w:line="276" w:lineRule="auto"/>
        <w:ind w:left="403" w:hanging="403"/>
        <w:jc w:val="left"/>
      </w:pPr>
      <w:r>
        <w:rPr>
          <w:color w:val="1A2E4A"/>
        </w:rPr>
        <w:t>4.</w:t>
        <w:tab/>
      </w:r>
      <w:r>
        <w:t>Migrate to a supported PLC platform.</w:t>
      </w:r>
    </w:p>
    <w:p>
      <w:pPr>
        <w:tabs>
          <w:tab w:pos="403" w:val="left"/>
        </w:tabs>
        <w:spacing w:after="40" w:line="276" w:lineRule="auto"/>
        <w:ind w:left="403" w:hanging="403"/>
        <w:jc w:val="left"/>
      </w:pPr>
      <w:r>
        <w:rPr>
          <w:color w:val="1A2E4A"/>
        </w:rPr>
        <w:t>5.</w:t>
        <w:tab/>
      </w:r>
      <w:r>
        <w:t>Replace the complete control system.</w:t>
      </w:r>
    </w:p>
    <w:p>
      <w:pPr>
        <w:tabs>
          <w:tab w:pos="403" w:val="left"/>
        </w:tabs>
        <w:spacing w:after="40" w:line="276" w:lineRule="auto"/>
        <w:ind w:left="403" w:hanging="403"/>
        <w:jc w:val="left"/>
      </w:pPr>
      <w:r>
        <w:rPr>
          <w:color w:val="1A2E4A"/>
        </w:rPr>
        <w:t>6.</w:t>
        <w:tab/>
      </w:r>
      <w:r>
        <w:t>Replace the machine if the mechanical platform and process capability are also inadequate.</w:t>
      </w:r>
    </w:p>
    <w:p>
      <w:r>
        <w:t>A comparison should consider:</w:t>
      </w:r>
    </w:p>
    <w:p>
      <w:pPr>
        <w:pStyle w:val="ListBullet"/>
      </w:pPr>
      <w:r>
        <w:t>Repair cost and expected reliability after repair.</w:t>
      </w:r>
    </w:p>
    <w:p>
      <w:pPr>
        <w:pStyle w:val="ListBullet"/>
      </w:pPr>
      <w:r>
        <w:t>Availability and lifecycle status of spare parts.</w:t>
      </w:r>
    </w:p>
    <w:p>
      <w:pPr>
        <w:pStyle w:val="ListBullet"/>
      </w:pPr>
      <w:r>
        <w:t>Failure recurrence and production losses.</w:t>
      </w:r>
    </w:p>
    <w:p>
      <w:pPr>
        <w:pStyle w:val="ListBullet"/>
      </w:pPr>
      <w:r>
        <w:t>Migration engineering and validation.</w:t>
      </w:r>
    </w:p>
    <w:p>
      <w:pPr>
        <w:pStyle w:val="ListBullet"/>
      </w:pPr>
      <w:r>
        <w:t>Required shutdown duration.</w:t>
      </w:r>
    </w:p>
    <w:p>
      <w:pPr>
        <w:pStyle w:val="ListBullet"/>
      </w:pPr>
      <w:r>
        <w:t>Cybersecurity and safety implications.</w:t>
      </w:r>
    </w:p>
    <w:p>
      <w:pPr>
        <w:pStyle w:val="ListBullet"/>
      </w:pPr>
      <w:r>
        <w:t>Expected service life after the intervention.</w:t>
      </w:r>
    </w:p>
    <w:p>
      <w:pPr>
        <w:pStyle w:val="ListBullet"/>
      </w:pPr>
      <w:r>
        <w:t>Total cost of ownership.</w:t>
      </w:r>
    </w:p>
    <w:p>
      <w:pPr>
        <w:pStyle w:val="ListBullet"/>
      </w:pPr>
      <w:r>
        <w:t>Budget availability and approval lead time.</w:t>
      </w:r>
    </w:p>
    <w:p>
      <w:r>
        <w:t>A low-cost repair can be appropriate for a noncritical machine with a short remaining service life. Repeated repairs on a critical production line with unavailable spares may make modernization the more defensible option.</w:t>
      </w:r>
    </w:p>
    <w:p>
      <w:pPr>
        <w:pStyle w:val="Heading2"/>
      </w:pPr>
      <w:r>
        <w:t>11. Financial evaluation of CAPEX</w:t>
      </w:r>
    </w:p>
    <w:p>
      <w:r>
        <w:t>Capital investment proposals are often assessed using payback period, return on investment, net present value, and internal rate of return.</w:t>
      </w:r>
    </w:p>
    <w:p>
      <w:r>
        <w:t>These measures support decision-making but do not replace safety, compliance, technical feasibility, or operational risk assessment.</w:t>
      </w:r>
    </w:p>
    <w:p>
      <w:pPr>
        <w:pStyle w:val="Heading3"/>
      </w:pPr>
      <w:r>
        <w:t>11.1 Simple payback period</w:t>
      </w:r>
    </w:p>
    <w:p>
      <w:r>
        <w:t>The simple payback period estimates how long it takes for the initial investment to be recovered through annual net cash benefits.</w:t>
      </w:r>
    </w:p>
    <w:p>
      <w:pPr>
        <w:spacing w:before="120" w:after="160"/>
        <w:jc w:val="center"/>
      </w:pPr>
      <m:oMathPara>
        <m:oMath>
          <m:r>
            <m:rPr>
              <m:nor/>
            </m:rPr>
            <m:t>Payback Period</m:t>
          </m:r>
          <m:r>
            <m:t>=</m:t>
          </m:r>
          <m:f>
            <m:fPr>
              <m:type m:val="bar"/>
            </m:fPr>
            <m:num>
              <m:r>
                <m:rPr>
                  <m:nor/>
                </m:rPr>
                <m:t>Initial Investment</m:t>
              </m:r>
            </m:num>
            <m:den>
              <m:r>
                <m:rPr>
                  <m:nor/>
                </m:rPr>
                <m:t>Annual Net Cash Benefit</m:t>
              </m:r>
            </m:den>
          </m:f>
        </m:oMath>
      </m:oMathPara>
    </w:p>
    <w:p>
      <w:r>
        <w:t>Suppose an automation upgrade costs ₹24 lakh and generates an estimated annual net cash benefit of ₹8 lakh.</w:t>
      </w:r>
    </w:p>
    <w:p>
      <w:pPr>
        <w:spacing w:before="120" w:after="160"/>
        <w:jc w:val="center"/>
      </w:pPr>
      <m:oMathPara>
        <m:oMath>
          <m:r>
            <m:rPr>
              <m:nor/>
            </m:rPr>
            <m:t>Payback Period</m:t>
          </m:r>
          <m:r>
            <m:t>=</m:t>
          </m:r>
          <m:f>
            <m:fPr>
              <m:type m:val="bar"/>
            </m:fPr>
            <m:num>
              <m:r>
                <m:t>24</m:t>
              </m:r>
            </m:num>
            <m:den>
              <m:r>
                <m:t>8</m:t>
              </m:r>
            </m:den>
          </m:f>
          <m:r>
            <m:t>=3</m:t>
          </m:r>
          <m:r>
            <m:rPr>
              <m:nor/>
            </m:rPr>
            <m:t> years</m:t>
          </m:r>
        </m:oMath>
      </m:oMathPara>
    </w:p>
    <w:p>
      <w:r>
        <w:t>Simple payback does not account for the time value of money or benefits and costs after the payback date. It should not be the only investment criterion.</w:t>
      </w:r>
    </w:p>
    <w:p>
      <w:pPr>
        <w:pStyle w:val="Heading3"/>
      </w:pPr>
      <w:r>
        <w:t>11.2 Return on investment</w:t>
      </w:r>
    </w:p>
    <w:p>
      <w:r>
        <w:t>A simplified annual ROI can be expressed as:</w:t>
      </w:r>
    </w:p>
    <w:p>
      <w:pPr>
        <w:spacing w:before="120" w:after="160"/>
        <w:jc w:val="center"/>
      </w:pPr>
      <m:oMathPara>
        <m:oMath>
          <m:r>
            <m:rPr>
              <m:nor/>
            </m:rPr>
            <m:t>Annual ROI</m:t>
          </m:r>
          <m:r>
            <m:t>=</m:t>
          </m:r>
          <m:f>
            <m:fPr>
              <m:type m:val="bar"/>
            </m:fPr>
            <m:num>
              <m:r>
                <m:rPr>
                  <m:nor/>
                </m:rPr>
                <m:t>Annual Net Benefit</m:t>
              </m:r>
            </m:num>
            <m:den>
              <m:r>
                <m:rPr>
                  <m:nor/>
                </m:rPr>
                <m:t>Initial Investment</m:t>
              </m:r>
            </m:den>
          </m:f>
          <m:r>
            <m:t>×100</m:t>
          </m:r>
        </m:oMath>
      </m:oMathPara>
    </w:p>
    <w:p>
      <w:r>
        <w:t>If annual net benefit is ₹8 lakh and the initial investment is ₹24 lakh:</w:t>
      </w:r>
    </w:p>
    <w:p>
      <w:pPr>
        <w:spacing w:before="120" w:after="160"/>
        <w:jc w:val="center"/>
      </w:pPr>
      <m:oMathPara>
        <m:oMath>
          <m:r>
            <m:rPr>
              <m:nor/>
            </m:rPr>
            <m:t>Annual ROI</m:t>
          </m:r>
          <m:r>
            <m:t>=</m:t>
          </m:r>
          <m:f>
            <m:fPr>
              <m:type m:val="bar"/>
            </m:fPr>
            <m:num>
              <m:r>
                <m:t>8</m:t>
              </m:r>
            </m:num>
            <m:den>
              <m:r>
                <m:t>24</m:t>
              </m:r>
            </m:den>
          </m:f>
          <m:r>
            <m:t>×100=33.33</m:t>
          </m:r>
        </m:oMath>
      </m:oMathPara>
    </w:p>
    <w:p>
      <w:r>
        <w:t>The calculation is only meaningful when the definition of net benefit and the evaluation period are consistent.</w:t>
      </w:r>
    </w:p>
    <w:p>
      <w:pPr>
        <w:pStyle w:val="Heading3"/>
      </w:pPr>
      <w:r>
        <w:t>11.3 Net present value</w:t>
      </w:r>
    </w:p>
    <w:p>
      <w:r>
        <w:t>Net present value (NPV) compares the present value of expected future cash flows with the initial investment.</w:t>
      </w:r>
    </w:p>
    <w:p>
      <w:pPr>
        <w:spacing w:before="120" w:after="160"/>
        <w:jc w:val="center"/>
      </w:pPr>
      <m:oMathPara>
        <m:oMath>
          <m:r>
            <m:t>NPV=−</m:t>
          </m:r>
          <m:sSub>
            <m:e>
              <m:r>
                <m:t>I</m:t>
              </m:r>
            </m:e>
            <m:sub>
              <m:r>
                <m:t>0</m:t>
              </m:r>
            </m:sub>
          </m:sSub>
          <m:r>
            <m:t>+</m:t>
          </m:r>
          <m:nary>
            <m:naryPr>
              <m:chr m:val="∑"/>
              <m:limLoc m:val="subSup"/>
              <m:grow m:val="1"/>
              <m:subHide m:val="off"/>
              <m:supHide m:val="off"/>
            </m:naryPr>
            <m:sub>
              <m:r>
                <m:t>t=1</m:t>
              </m:r>
            </m:sub>
            <m:sup>
              <m:r>
                <m:t>n</m:t>
              </m:r>
            </m:sup>
            <m:e>
              <m:f>
                <m:fPr>
                  <m:type m:val="bar"/>
                </m:fPr>
                <m:num>
                  <m:r>
                    <m:t>C</m:t>
                  </m:r>
                  <m:sSub>
                    <m:e>
                      <m:r>
                        <m:t>F</m:t>
                      </m:r>
                    </m:e>
                    <m:sub>
                      <m:r>
                        <m:t>t</m:t>
                      </m:r>
                    </m:sub>
                  </m:sSub>
                </m:num>
                <m:den>
                  <m:sSup>
                    <m:e>
                      <m:d>
                        <m:dPr>
                          <m:sepChr m:val=""/>
                        </m:dPr>
                        <m:e>
                          <m:r>
                            <m:t>1</m:t>
                          </m:r>
                          <m:r>
                            <m:t>+</m:t>
                          </m:r>
                          <m:r>
                            <m:t>r</m:t>
                          </m:r>
                        </m:e>
                      </m:d>
                    </m:e>
                    <m:sup>
                      <m:r>
                        <m:t>t</m:t>
                      </m:r>
                    </m:sup>
                  </m:sSup>
                </m:den>
              </m:f>
            </m:e>
          </m:nary>
        </m:oMath>
      </m:oMathPara>
    </w:p>
    <w:p>
      <w:r>
        <w:t>Where:</w:t>
      </w:r>
    </w:p>
    <w:p>
      <w:pPr>
        <w:pStyle w:val="ListBullet"/>
      </w:pPr>
      <m:oMath>
        <m:sSub>
          <m:e>
            <m:r>
              <m:t>I</m:t>
            </m:r>
          </m:e>
          <m:sub>
            <m:r>
              <m:t>0</m:t>
            </m:r>
          </m:sub>
        </m:sSub>
      </m:oMath>
      <w:r>
        <w:t xml:space="preserve"> is the initial investment.</w:t>
      </w:r>
    </w:p>
    <w:p>
      <w:pPr>
        <w:pStyle w:val="ListBullet"/>
      </w:pPr>
      <m:oMath>
        <m:r>
          <m:t>C</m:t>
        </m:r>
        <m:sSub>
          <m:e>
            <m:r>
              <m:t>F</m:t>
            </m:r>
          </m:e>
          <m:sub>
            <m:r>
              <m:t>t</m:t>
            </m:r>
          </m:sub>
        </m:sSub>
      </m:oMath>
      <w:r>
        <w:t xml:space="preserve"> is the net cash flow in period </w:t>
      </w:r>
      <m:oMath>
        <m:r>
          <m:t>t</m:t>
        </m:r>
      </m:oMath>
      <w:r>
        <w:t>.</w:t>
      </w:r>
    </w:p>
    <w:p>
      <w:pPr>
        <w:pStyle w:val="ListBullet"/>
      </w:pPr>
      <m:oMath>
        <m:r>
          <m:t>r</m:t>
        </m:r>
      </m:oMath>
      <w:r>
        <w:t xml:space="preserve"> is the discount rate per period.</w:t>
      </w:r>
    </w:p>
    <w:p>
      <w:pPr>
        <w:pStyle w:val="ListBullet"/>
      </w:pPr>
      <m:oMath>
        <m:r>
          <m:t>n</m:t>
        </m:r>
      </m:oMath>
      <w:r>
        <w:t xml:space="preserve"> is the number of periods.</w:t>
      </w:r>
    </w:p>
    <w:p>
      <w:r>
        <w:t>A positive NPV indicates that the projected investment creates value relative to the chosen discount rate and assumptions. Actual approval also depends on risk, strategic fit, and company requirements.</w:t>
      </w:r>
    </w:p>
    <w:p>
      <w:pPr>
        <w:pStyle w:val="Heading3"/>
      </w:pPr>
      <w:r>
        <w:t>11.4 Internal rate of return</w:t>
      </w:r>
    </w:p>
    <w:p>
      <w:r>
        <w:t>The internal rate of return (IRR) is the discount rate at which NPV equals zero.</w:t>
      </w:r>
    </w:p>
    <w:p>
      <w:r>
        <w:t>It is used to compare investment returns against a required hurdle rate. IRR can be misleading when cash flows are unusual or multiple IRRs exist, so NPV and the underlying cash-flow forecast should also be reviewed.</w:t>
      </w:r>
    </w:p>
    <w:p>
      <w:pPr>
        <w:pStyle w:val="Heading2"/>
      </w:pPr>
      <w:r>
        <w:t>12. Estimating the benefits of automation CAPEX</w:t>
      </w:r>
    </w:p>
    <w:p>
      <w:r>
        <w:t>Industrial automation projects can produce benefits through several mechanisms:</w:t>
      </w:r>
    </w:p>
    <w:p>
      <w:pPr>
        <w:pStyle w:val="ListBullet"/>
      </w:pPr>
      <w:r>
        <w:t>Reduced breakdown frequency and downtime.</w:t>
      </w:r>
    </w:p>
    <w:p>
      <w:pPr>
        <w:pStyle w:val="ListBullet"/>
      </w:pPr>
      <w:r>
        <w:t>Increased production throughput.</w:t>
      </w:r>
    </w:p>
    <w:p>
      <w:pPr>
        <w:pStyle w:val="ListBullet"/>
      </w:pPr>
      <w:r>
        <w:t>Reduced scrap and rework.</w:t>
      </w:r>
    </w:p>
    <w:p>
      <w:pPr>
        <w:pStyle w:val="ListBullet"/>
      </w:pPr>
      <w:r>
        <w:t>Improved process repeatability.</w:t>
      </w:r>
    </w:p>
    <w:p>
      <w:pPr>
        <w:pStyle w:val="ListBullet"/>
      </w:pPr>
      <w:r>
        <w:t>Reduced manual handling.</w:t>
      </w:r>
    </w:p>
    <w:p>
      <w:pPr>
        <w:pStyle w:val="ListBullet"/>
      </w:pPr>
      <w:r>
        <w:t>Lower energy consumption.</w:t>
      </w:r>
    </w:p>
    <w:p>
      <w:pPr>
        <w:pStyle w:val="ListBullet"/>
      </w:pPr>
      <w:r>
        <w:t>Better traceability and quality reporting.</w:t>
      </w:r>
    </w:p>
    <w:p>
      <w:pPr>
        <w:pStyle w:val="ListBullet"/>
      </w:pPr>
      <w:r>
        <w:t>Improved safety through appropriately designed systems.</w:t>
      </w:r>
    </w:p>
    <w:p>
      <w:pPr>
        <w:pStyle w:val="ListBullet"/>
      </w:pPr>
      <w:r>
        <w:t>Reduced dependence on unsupported technology.</w:t>
      </w:r>
    </w:p>
    <w:p>
      <w:r>
        <w:t>Benefits should be quantified where credible data exist.</w:t>
      </w:r>
    </w:p>
    <w:p>
      <w:r>
        <w:t>For example, the annual value of recovered production may be estimated as:</w:t>
      </w:r>
    </w:p>
    <w:p>
      <w:pPr>
        <w:spacing w:before="120" w:after="160"/>
        <w:jc w:val="center"/>
      </w:pPr>
      <m:oMathPara>
        <m:oMath>
          <m:r>
            <m:rPr>
              <m:nor/>
            </m:rPr>
            <m:t>Recovered Production Value</m:t>
          </m:r>
          <m:r>
            <m:t>=</m:t>
          </m:r>
          <m:r>
            <m:rPr>
              <m:nor/>
            </m:rPr>
            <m:t>Recovered Productive Hours</m:t>
          </m:r>
          <m:r>
            <m:t>×</m:t>
          </m:r>
          <m:r>
            <m:rPr>
              <m:nor/>
            </m:rPr>
            <m:t>Contribution per Productive Hour</m:t>
          </m:r>
        </m:oMath>
      </m:oMathPara>
    </w:p>
    <w:p>
      <w:r>
        <w:t>Use contribution or another finance-approved measure rather than automatically using sales revenue. Recovered capacity only creates financial value if production can be sold, used, or otherwise converted into a measurable benefit.</w:t>
      </w:r>
    </w:p>
    <w:p>
      <w:r>
        <w:t>Do not count the same improvement twice. If reduced downtime already captures the value of recovered production, the business case should not separately count the same output gain as an independent benefit without adjusting for overlap.</w:t>
      </w:r>
    </w:p>
    <w:p>
      <w:pPr>
        <w:pStyle w:val="Heading2"/>
      </w:pPr>
      <w:r>
        <w:t>13. OPEX reduction projects</w:t>
      </w:r>
    </w:p>
    <w:p>
      <w:r>
        <w:t>Not every improvement needs to be treated as a capital project.</w:t>
      </w:r>
    </w:p>
    <w:p>
      <w:r>
        <w:t>Examples of OPEX reduction include:</w:t>
      </w:r>
    </w:p>
    <w:p>
      <w:pPr>
        <w:pStyle w:val="ListBullet"/>
      </w:pPr>
      <w:r>
        <w:t>Optimizing preventive-maintenance intervals based on condition and failure evidence.</w:t>
      </w:r>
    </w:p>
    <w:p>
      <w:pPr>
        <w:pStyle w:val="ListBullet"/>
      </w:pPr>
      <w:r>
        <w:t>Reducing excessive compressed-air leakage.</w:t>
      </w:r>
    </w:p>
    <w:p>
      <w:pPr>
        <w:pStyle w:val="ListBullet"/>
      </w:pPr>
      <w:r>
        <w:t>Improving spare-parts repair and reuse controls.</w:t>
      </w:r>
    </w:p>
    <w:p>
      <w:pPr>
        <w:pStyle w:val="ListBullet"/>
      </w:pPr>
      <w:r>
        <w:t>Reducing unnecessary service-contract expenditure.</w:t>
      </w:r>
    </w:p>
    <w:p>
      <w:pPr>
        <w:pStyle w:val="ListBullet"/>
      </w:pPr>
      <w:r>
        <w:t>Standardizing consumables.</w:t>
      </w:r>
    </w:p>
    <w:p>
      <w:pPr>
        <w:pStyle w:val="ListBullet"/>
      </w:pPr>
      <w:r>
        <w:t>Improving energy-management practices.</w:t>
      </w:r>
    </w:p>
    <w:p>
      <w:pPr>
        <w:pStyle w:val="ListBullet"/>
      </w:pPr>
      <w:r>
        <w:t>Reducing repeat breakdowns through root-cause elimination.</w:t>
      </w:r>
    </w:p>
    <w:p>
      <w:pPr>
        <w:pStyle w:val="ListBullet"/>
      </w:pPr>
      <w:r>
        <w:t>Improving calibration planning.</w:t>
      </w:r>
    </w:p>
    <w:p>
      <w:pPr>
        <w:pStyle w:val="ListBullet"/>
      </w:pPr>
      <w:r>
        <w:t>Removing unused software subscriptions.</w:t>
      </w:r>
    </w:p>
    <w:p>
      <w:r>
        <w:t>An initiative may require some initial spending while generating recurring OPEX savings. The initial spending's accounting treatment must be determined separately from the expected savings.</w:t>
      </w:r>
    </w:p>
    <w:p>
      <w:r>
        <w:t>For example, a small instrumentation purchase may qualify for capitalization under company policy, even though its business objective is to reduce recurring energy expenditure.</w:t>
      </w:r>
    </w:p>
    <w:p>
      <w:pPr>
        <w:pStyle w:val="Heading2"/>
      </w:pPr>
      <w:r>
        <w:t>14. CAPEX and OPEX trade-offs</w:t>
      </w:r>
    </w:p>
    <w:p>
      <w:r>
        <w:t>Sometimes a company can choose between purchasing an asset and paying for a service.</w:t>
      </w:r>
    </w:p>
    <w:p>
      <w:r>
        <w:t>For example, a plant could purchase monitoring hardware and software or pay a supplier for a managed monitoring service.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Decision factor</w:t>
            </w:r>
          </w:p>
        </w:tc>
        <w:tc>
          <w:tcPr>
            <w:tcW w:type="dxa" w:w="3600"/>
            <w:shd w:val="clear" w:color="auto" w:fill="EEF2F7"/>
          </w:tcPr>
          <w:p>
            <w:pPr>
              <w:spacing w:after="0" w:before="0" w:line="240" w:lineRule="auto"/>
              <w:jc w:val="left"/>
            </w:pPr>
            <w:r>
              <w:rPr>
                <w:b/>
                <w:color w:val="1A2E4A"/>
              </w:rPr>
              <w:t>CAPEX-oriented approach</w:t>
            </w:r>
          </w:p>
        </w:tc>
        <w:tc>
          <w:tcPr>
            <w:tcW w:type="dxa" w:w="3600"/>
            <w:shd w:val="clear" w:color="auto" w:fill="EEF2F7"/>
          </w:tcPr>
          <w:p>
            <w:pPr>
              <w:spacing w:after="0" w:before="0" w:line="240" w:lineRule="auto"/>
              <w:jc w:val="left"/>
            </w:pPr>
            <w:r>
              <w:rPr>
                <w:b/>
                <w:color w:val="1A2E4A"/>
              </w:rPr>
              <w:t>OPEX-oriented approach</w:t>
            </w:r>
          </w:p>
        </w:tc>
      </w:tr>
      <w:tr>
        <w:tc>
          <w:tcPr>
            <w:tcW w:type="dxa" w:w="3600"/>
          </w:tcPr>
          <w:p>
            <w:pPr>
              <w:spacing w:after="0" w:before="0" w:line="240" w:lineRule="auto"/>
              <w:jc w:val="left"/>
            </w:pPr>
            <w:r>
              <w:t>Asset ownership</w:t>
            </w:r>
          </w:p>
        </w:tc>
        <w:tc>
          <w:tcPr>
            <w:tcW w:type="dxa" w:w="3600"/>
          </w:tcPr>
          <w:p>
            <w:pPr>
              <w:spacing w:after="0" w:before="0" w:line="240" w:lineRule="auto"/>
              <w:jc w:val="left"/>
            </w:pPr>
            <w:r>
              <w:t>Company generally owns the acquired asset</w:t>
            </w:r>
          </w:p>
        </w:tc>
        <w:tc>
          <w:tcPr>
            <w:tcW w:type="dxa" w:w="3600"/>
          </w:tcPr>
          <w:p>
            <w:pPr>
              <w:spacing w:after="0" w:before="0" w:line="240" w:lineRule="auto"/>
              <w:jc w:val="left"/>
            </w:pPr>
            <w:r>
              <w:t>Supplier may own the equipment or provide access as a service</w:t>
            </w:r>
          </w:p>
        </w:tc>
      </w:tr>
      <w:tr>
        <w:tc>
          <w:tcPr>
            <w:tcW w:type="dxa" w:w="3600"/>
          </w:tcPr>
          <w:p>
            <w:pPr>
              <w:spacing w:after="0" w:before="0" w:line="240" w:lineRule="auto"/>
              <w:jc w:val="left"/>
            </w:pPr>
            <w:r>
              <w:t>Initial cash requirement</w:t>
            </w:r>
          </w:p>
        </w:tc>
        <w:tc>
          <w:tcPr>
            <w:tcW w:type="dxa" w:w="3600"/>
          </w:tcPr>
          <w:p>
            <w:pPr>
              <w:spacing w:after="0" w:before="0" w:line="240" w:lineRule="auto"/>
              <w:jc w:val="left"/>
            </w:pPr>
            <w:r>
              <w:t>Often higher</w:t>
            </w:r>
          </w:p>
        </w:tc>
        <w:tc>
          <w:tcPr>
            <w:tcW w:type="dxa" w:w="3600"/>
          </w:tcPr>
          <w:p>
            <w:pPr>
              <w:spacing w:after="0" w:before="0" w:line="240" w:lineRule="auto"/>
              <w:jc w:val="left"/>
            </w:pPr>
            <w:r>
              <w:t>May be lower or spread over time</w:t>
            </w:r>
          </w:p>
        </w:tc>
      </w:tr>
      <w:tr>
        <w:tc>
          <w:tcPr>
            <w:tcW w:type="dxa" w:w="3600"/>
          </w:tcPr>
          <w:p>
            <w:pPr>
              <w:spacing w:after="0" w:before="0" w:line="240" w:lineRule="auto"/>
              <w:jc w:val="left"/>
            </w:pPr>
            <w:r>
              <w:t>Recurring payment</w:t>
            </w:r>
          </w:p>
        </w:tc>
        <w:tc>
          <w:tcPr>
            <w:tcW w:type="dxa" w:w="3600"/>
          </w:tcPr>
          <w:p>
            <w:pPr>
              <w:spacing w:after="0" w:before="0" w:line="240" w:lineRule="auto"/>
              <w:jc w:val="left"/>
            </w:pPr>
            <w:r>
              <w:t>May include support and maintenance</w:t>
            </w:r>
          </w:p>
        </w:tc>
        <w:tc>
          <w:tcPr>
            <w:tcW w:type="dxa" w:w="3600"/>
          </w:tcPr>
          <w:p>
            <w:pPr>
              <w:spacing w:after="0" w:before="0" w:line="240" w:lineRule="auto"/>
              <w:jc w:val="left"/>
            </w:pPr>
            <w:r>
              <w:t>Often includes subscription or service fees</w:t>
            </w:r>
          </w:p>
        </w:tc>
      </w:tr>
      <w:tr>
        <w:tc>
          <w:tcPr>
            <w:tcW w:type="dxa" w:w="3600"/>
          </w:tcPr>
          <w:p>
            <w:pPr>
              <w:spacing w:after="0" w:before="0" w:line="240" w:lineRule="auto"/>
              <w:jc w:val="left"/>
            </w:pPr>
            <w:r>
              <w:t>Flexibility</w:t>
            </w:r>
          </w:p>
        </w:tc>
        <w:tc>
          <w:tcPr>
            <w:tcW w:type="dxa" w:w="3600"/>
          </w:tcPr>
          <w:p>
            <w:pPr>
              <w:spacing w:after="0" w:before="0" w:line="240" w:lineRule="auto"/>
              <w:jc w:val="left"/>
            </w:pPr>
            <w:r>
              <w:t>Depends on the acquired technology and contracts</w:t>
            </w:r>
          </w:p>
        </w:tc>
        <w:tc>
          <w:tcPr>
            <w:tcW w:type="dxa" w:w="3600"/>
          </w:tcPr>
          <w:p>
            <w:pPr>
              <w:spacing w:after="0" w:before="0" w:line="240" w:lineRule="auto"/>
              <w:jc w:val="left"/>
            </w:pPr>
            <w:r>
              <w:t>May allow easier scaling, depending on terms</w:t>
            </w:r>
          </w:p>
        </w:tc>
      </w:tr>
      <w:tr>
        <w:tc>
          <w:tcPr>
            <w:tcW w:type="dxa" w:w="3600"/>
          </w:tcPr>
          <w:p>
            <w:pPr>
              <w:spacing w:after="0" w:before="0" w:line="240" w:lineRule="auto"/>
              <w:jc w:val="left"/>
            </w:pPr>
            <w:r>
              <w:t>Control</w:t>
            </w:r>
          </w:p>
        </w:tc>
        <w:tc>
          <w:tcPr>
            <w:tcW w:type="dxa" w:w="3600"/>
          </w:tcPr>
          <w:p>
            <w:pPr>
              <w:spacing w:after="0" w:before="0" w:line="240" w:lineRule="auto"/>
              <w:jc w:val="left"/>
            </w:pPr>
            <w:r>
              <w:t>Greater direct control over owned infrastructure</w:t>
            </w:r>
          </w:p>
        </w:tc>
        <w:tc>
          <w:tcPr>
            <w:tcW w:type="dxa" w:w="3600"/>
          </w:tcPr>
          <w:p>
            <w:pPr>
              <w:spacing w:after="0" w:before="0" w:line="240" w:lineRule="auto"/>
              <w:jc w:val="left"/>
            </w:pPr>
            <w:r>
              <w:t>Depends on service agreement and access rights</w:t>
            </w:r>
          </w:p>
        </w:tc>
      </w:tr>
      <w:tr>
        <w:tc>
          <w:tcPr>
            <w:tcW w:type="dxa" w:w="3600"/>
          </w:tcPr>
          <w:p>
            <w:pPr>
              <w:spacing w:after="0" w:before="0" w:line="240" w:lineRule="auto"/>
              <w:jc w:val="left"/>
            </w:pPr>
            <w:r>
              <w:t>Lifecycle responsibility</w:t>
            </w:r>
          </w:p>
        </w:tc>
        <w:tc>
          <w:tcPr>
            <w:tcW w:type="dxa" w:w="3600"/>
          </w:tcPr>
          <w:p>
            <w:pPr>
              <w:spacing w:after="0" w:before="0" w:line="240" w:lineRule="auto"/>
              <w:jc w:val="left"/>
            </w:pPr>
            <w:r>
              <w:t>Company carries more direct asset-management responsibility</w:t>
            </w:r>
          </w:p>
        </w:tc>
        <w:tc>
          <w:tcPr>
            <w:tcW w:type="dxa" w:w="3600"/>
          </w:tcPr>
          <w:p>
            <w:pPr>
              <w:spacing w:after="0" w:before="0" w:line="240" w:lineRule="auto"/>
              <w:jc w:val="left"/>
            </w:pPr>
            <w:r>
              <w:t>Some responsibilities may be outsourced</w:t>
            </w:r>
          </w:p>
        </w:tc>
      </w:tr>
      <w:tr>
        <w:tc>
          <w:tcPr>
            <w:tcW w:type="dxa" w:w="3600"/>
          </w:tcPr>
          <w:p>
            <w:pPr>
              <w:spacing w:after="0" w:before="0" w:line="240" w:lineRule="auto"/>
              <w:jc w:val="left"/>
            </w:pPr>
            <w:r>
              <w:t>Vendor dependence</w:t>
            </w:r>
          </w:p>
        </w:tc>
        <w:tc>
          <w:tcPr>
            <w:tcW w:type="dxa" w:w="3600"/>
          </w:tcPr>
          <w:p>
            <w:pPr>
              <w:spacing w:after="0" w:before="0" w:line="240" w:lineRule="auto"/>
              <w:jc w:val="left"/>
            </w:pPr>
            <w:r>
              <w:t>Can still be high for proprietary equipment</w:t>
            </w:r>
          </w:p>
        </w:tc>
        <w:tc>
          <w:tcPr>
            <w:tcW w:type="dxa" w:w="3600"/>
          </w:tcPr>
          <w:p>
            <w:pPr>
              <w:spacing w:after="0" w:before="0" w:line="240" w:lineRule="auto"/>
              <w:jc w:val="left"/>
            </w:pPr>
            <w:r>
              <w:t>May be high when service and data are supplier-controlled</w:t>
            </w:r>
          </w:p>
        </w:tc>
      </w:tr>
      <w:tr>
        <w:tc>
          <w:tcPr>
            <w:tcW w:type="dxa" w:w="3600"/>
          </w:tcPr>
          <w:p>
            <w:pPr>
              <w:spacing w:after="0" w:before="0" w:line="240" w:lineRule="auto"/>
              <w:jc w:val="left"/>
            </w:pPr>
            <w:r>
              <w:t>Long-term cost</w:t>
            </w:r>
          </w:p>
        </w:tc>
        <w:tc>
          <w:tcPr>
            <w:tcW w:type="dxa" w:w="3600"/>
          </w:tcPr>
          <w:p>
            <w:pPr>
              <w:spacing w:after="0" w:before="0" w:line="240" w:lineRule="auto"/>
              <w:jc w:val="left"/>
            </w:pPr>
            <w:r>
              <w:t>Depends on maintenance, upgrades, and asset life</w:t>
            </w:r>
          </w:p>
        </w:tc>
        <w:tc>
          <w:tcPr>
            <w:tcW w:type="dxa" w:w="3600"/>
          </w:tcPr>
          <w:p>
            <w:pPr>
              <w:spacing w:after="0" w:before="0" w:line="240" w:lineRule="auto"/>
              <w:jc w:val="left"/>
            </w:pPr>
            <w:r>
              <w:t>Depends on recurring fees, escalation, and contract duration</w:t>
            </w:r>
          </w:p>
        </w:tc>
      </w:tr>
    </w:tbl>
    <w:p/>
    <w:p>
      <w:r>
        <w:t>The budget classification should not be chosen simply to make one budget look smaller. Commercial structure, ownership, contractual obligations, accounting rules, and long-term cost must all be considered.</w:t>
      </w:r>
    </w:p>
    <w:p>
      <w:pPr>
        <w:pStyle w:val="Heading2"/>
      </w:pPr>
      <w:r>
        <w:t>15. Common CAPEX/OPEX mistakes</w:t>
      </w:r>
    </w:p>
    <w:p>
      <w:pPr>
        <w:pStyle w:val="ListBullet"/>
      </w:pPr>
      <w:r>
        <w:t>Treating every one-time purchase as CAPEX.</w:t>
      </w:r>
    </w:p>
    <w:p>
      <w:pPr>
        <w:pStyle w:val="ListBullet"/>
      </w:pPr>
      <w:r>
        <w:t>Treating every recurring payment as OPEX without checking the contract and applicable accounting rules.</w:t>
      </w:r>
    </w:p>
    <w:p>
      <w:pPr>
        <w:pStyle w:val="ListBullet"/>
      </w:pPr>
      <w:r>
        <w:t>Capitalizing routine repairs that only restore normal operating condition.</w:t>
      </w:r>
    </w:p>
    <w:p>
      <w:pPr>
        <w:pStyle w:val="ListBullet"/>
      </w:pPr>
      <w:r>
        <w:t>Expensing qualifying asset improvements without checking company policy.</w:t>
      </w:r>
    </w:p>
    <w:p>
      <w:pPr>
        <w:pStyle w:val="ListBullet"/>
      </w:pPr>
      <w:r>
        <w:t>Comparing equipment purchase price without installation, commissioning, and lifecycle costs.</w:t>
      </w:r>
    </w:p>
    <w:p>
      <w:pPr>
        <w:pStyle w:val="ListBullet"/>
      </w:pPr>
      <w:r>
        <w:t>Ignoring annual software, licensing, and service expenditure in a CAPEX proposal.</w:t>
      </w:r>
    </w:p>
    <w:p>
      <w:pPr>
        <w:pStyle w:val="ListBullet"/>
      </w:pPr>
      <w:r>
        <w:t>Calculating payback using gross sales instead of an appropriate net benefit.</w:t>
      </w:r>
    </w:p>
    <w:p>
      <w:pPr>
        <w:pStyle w:val="ListBullet"/>
      </w:pPr>
      <w:r>
        <w:t>Double-counting downtime savings and production gains.</w:t>
      </w:r>
    </w:p>
    <w:p>
      <w:pPr>
        <w:pStyle w:val="ListBullet"/>
      </w:pPr>
      <w:r>
        <w:t>Approving CAPEX without defining acceptance criteria and business benefits.</w:t>
      </w:r>
    </w:p>
    <w:p>
      <w:pPr>
        <w:pStyle w:val="ListBullet"/>
      </w:pPr>
      <w:r>
        <w:t>Selecting repair solely because it costs less today, despite serious lifecycle and production risks.</w:t>
      </w:r>
    </w:p>
    <w:p>
      <w:pPr>
        <w:pStyle w:val="ListBullet"/>
      </w:pPr>
      <w:r>
        <w:t>Selecting replacement solely because the equipment is old, without comparing alternatives.</w:t>
      </w:r>
    </w:p>
    <w:p>
      <w:pPr>
        <w:pStyle w:val="ListBullet"/>
      </w:pPr>
      <w:r>
        <w:t>Failing to separate engineering estimates from finance-approved accounting treatment.</w:t>
      </w:r>
    </w:p>
    <w:p>
      <w:pPr>
        <w:pStyle w:val="Heading2"/>
      </w:pPr>
      <w:r>
        <w:t>16. Practical CAPEX/OPEX checklist</w:t>
      </w:r>
    </w:p>
    <w:p>
      <w:pPr>
        <w:pStyle w:val="Heading3"/>
      </w:pPr>
      <w:r>
        <w:t>CAPEX proposal</w:t>
      </w:r>
    </w:p>
    <w:p>
      <w:pPr>
        <w:pStyle w:val="ListBullet"/>
      </w:pPr>
      <w:r>
        <w:t>Business need and technical problem are documented.</w:t>
      </w:r>
    </w:p>
    <w:p>
      <w:pPr>
        <w:pStyle w:val="ListBullet"/>
      </w:pPr>
      <w:r>
        <w:t>Repair, retrofit, and replacement alternatives are compared.</w:t>
      </w:r>
    </w:p>
    <w:p>
      <w:pPr>
        <w:pStyle w:val="ListBullet"/>
      </w:pPr>
      <w:r>
        <w:t>Equipment scope and technical specifications are defined.</w:t>
      </w:r>
    </w:p>
    <w:p>
      <w:pPr>
        <w:pStyle w:val="ListBullet"/>
      </w:pPr>
      <w:r>
        <w:t>Purchase, installation, engineering, and commissioning costs are estimated.</w:t>
      </w:r>
    </w:p>
    <w:p>
      <w:pPr>
        <w:pStyle w:val="ListBullet"/>
      </w:pPr>
      <w:r>
        <w:t>Expected recurring OPEX is included in the business case.</w:t>
      </w:r>
    </w:p>
    <w:p>
      <w:pPr>
        <w:pStyle w:val="ListBullet"/>
      </w:pPr>
      <w:r>
        <w:t>Lifecycle support, spares, and obsolescence are assessed.</w:t>
      </w:r>
    </w:p>
    <w:p>
      <w:pPr>
        <w:pStyle w:val="ListBullet"/>
      </w:pPr>
      <w:r>
        <w:t>Benefits, risks, assumptions, and project schedule are documented.</w:t>
      </w:r>
    </w:p>
    <w:p>
      <w:pPr>
        <w:pStyle w:val="ListBullet"/>
      </w:pPr>
      <w:r>
        <w:t>Financial evaluation uses approved assumptions.</w:t>
      </w:r>
    </w:p>
    <w:p>
      <w:pPr>
        <w:pStyle w:val="ListBullet"/>
      </w:pPr>
      <w:r>
        <w:t>Required approvals are obtained before commitment.</w:t>
      </w:r>
    </w:p>
    <w:p>
      <w:pPr>
        <w:pStyle w:val="ListBullet"/>
      </w:pPr>
      <w:r>
        <w:t>Acceptance, capitalization, and asset handover responsibilities are defined.</w:t>
      </w:r>
    </w:p>
    <w:p>
      <w:pPr>
        <w:pStyle w:val="Heading3"/>
      </w:pPr>
      <w:r>
        <w:t>OPEX control</w:t>
      </w:r>
    </w:p>
    <w:p>
      <w:pPr>
        <w:pStyle w:val="ListBullet"/>
      </w:pPr>
      <w:r>
        <w:t>Annual maintenance and service costs are estimated.</w:t>
      </w:r>
    </w:p>
    <w:p>
      <w:pPr>
        <w:pStyle w:val="ListBullet"/>
      </w:pPr>
      <w:r>
        <w:t>Utilities and consumables are considered.</w:t>
      </w:r>
    </w:p>
    <w:p>
      <w:pPr>
        <w:pStyle w:val="ListBullet"/>
      </w:pPr>
      <w:r>
        <w:t>Spare-parts consumption and repair expenditure are tracked.</w:t>
      </w:r>
    </w:p>
    <w:p>
      <w:pPr>
        <w:pStyle w:val="ListBullet"/>
      </w:pPr>
      <w:r>
        <w:t>Software subscriptions and license renewals are included.</w:t>
      </w:r>
    </w:p>
    <w:p>
      <w:pPr>
        <w:pStyle w:val="ListBullet"/>
      </w:pPr>
      <w:r>
        <w:t>Budget variance is reviewed.</w:t>
      </w:r>
    </w:p>
    <w:p>
      <w:pPr>
        <w:pStyle w:val="ListBullet"/>
      </w:pPr>
      <w:r>
        <w:t>Repeat breakdowns and avoidable expenditure are analyzed.</w:t>
      </w:r>
    </w:p>
    <w:p>
      <w:pPr>
        <w:pStyle w:val="ListBullet"/>
      </w:pPr>
      <w:r>
        <w:t>Cost-reduction initiatives are verified against actual results.</w:t>
      </w:r>
    </w:p>
    <w:p>
      <w:pPr>
        <w:pStyle w:val="Heading2"/>
      </w:pPr>
      <w:r>
        <w:t>17. Interview questions and answers</w:t>
      </w:r>
    </w:p>
    <w:p>
      <w:r>
        <w:t>Q1. What is CAPEX?</w:t>
      </w:r>
    </w:p>
    <w:p>
      <w:r>
        <w:t>CAPEX is expenditure to acquire, construct, or make qualifying improvements to long-term assets that provide benefits over multiple accounting periods.</w:t>
      </w:r>
    </w:p>
    <w:p>
      <w:r>
        <w:t>Q2. What is OPEX?</w:t>
      </w:r>
    </w:p>
    <w:p>
      <w:r>
        <w:t>OPEX is expenditure incurred in routine business operations, including maintenance, utilities, consumables, and many recurring support services.</w:t>
      </w:r>
    </w:p>
    <w:p>
      <w:r>
        <w:t>Q3. Is replacing a failed PLC always OPEX?</w:t>
      </w:r>
    </w:p>
    <w:p>
      <w:r>
        <w:t>No. A routine replacement that restores the existing system is generally OPEX. A broader modernization may qualify as CAPEX depending on its nature and the applicable accounting policy.</w:t>
      </w:r>
    </w:p>
    <w:p>
      <w:r>
        <w:t>Q4. Can a project contain both CAPEX and OPEX?</w:t>
      </w:r>
    </w:p>
    <w:p>
      <w:r>
        <w:t>Yes. An automation project can include qualifying capital asset costs and expenses such as training, routine maintenance, or other costs that do not qualify for capitalization.</w:t>
      </w:r>
    </w:p>
    <w:p>
      <w:r>
        <w:t>Q5. What is the difference between payback period and ROI?</w:t>
      </w:r>
    </w:p>
    <w:p>
      <w:r>
        <w:t>Payback estimates the time required to recover the initial investment. ROI expresses a defined benefit or return relative to the investment, usually as a percentage. Their usefulness depends on consistent definitions and assumptions.</w:t>
      </w:r>
    </w:p>
    <w:p>
      <w:r>
        <w:t>Q6. Why should OPEX be estimated during CAPEX approval?</w:t>
      </w:r>
    </w:p>
    <w:p>
      <w:r>
        <w:t>A new asset can create recurring costs for energy, spare parts, licenses, maintenance, training, and service contracts. Ignoring these costs understates the investment's true lifecycle burden.</w:t>
      </w:r>
    </w:p>
    <w:p>
      <w:r>
        <w:t>Q7. When should an old machine be replaced instead of repaired?</w:t>
      </w:r>
    </w:p>
    <w:p>
      <w:r>
        <w:t>Replacement becomes more attractive when repair costs, repeat failures, downtime, spare scarcity, safety or cybersecurity concerns, and remaining useful life make continued operation less economical or less acceptable than modernization.</w:t>
      </w:r>
    </w:p>
    <w:p>
      <w:r>
        <w:t>Q8. What is NPV?</w:t>
      </w:r>
    </w:p>
    <w:p>
      <w:r>
        <w:t>NPV is the present value of expected future net cash flows minus the initial investment. It accounts for the time value of money through a discount rate.</w:t>
      </w:r>
    </w:p>
    <w:p>
      <w:r>
        <w:t>Q9. Is a positive NPV sufficient to approve a project?</w:t>
      </w:r>
    </w:p>
    <w:p>
      <w:r>
        <w:t>No. Technical feasibility, safety, regulatory compliance, strategic alignment, risk, funding availability, and internal approval requirements must also be satisfied.</w:t>
      </w:r>
    </w:p>
    <w:p>
      <w:r>
        <w:t>Q10. Who decides whether expenditure is CAPEX or OPEX?</w:t>
      </w:r>
    </w:p>
    <w:p>
      <w:r>
        <w:t>Engineering describes the technical scope and purpose. Finance or the designated accounting authority determines the treatment under the applicable accounting framework and company policy.</w:t>
      </w:r>
    </w:p>
    <w:p>
      <w:pPr>
        <w:pStyle w:val="Heading2"/>
      </w:pPr>
      <w:r>
        <w:t>18. Final engineering principle</w:t>
      </w:r>
    </w:p>
    <w:p>
      <w:r>
        <w:t>CAPEX/OPEX awareness helps engineers connect technical decisions with business performance. A sound decision evaluates not only what equipment costs to purchase, but also what it costs to install, operate, maintain, upgrade, and eventually replace. Engineering should establish the technical need and credible benefits; procurement should obtain competitive and contractually clear offers; finance should validate the business case and accounting treatment.</w:t>
      </w:r>
    </w:p>
    <w:p>
      <w:pPr>
        <w:pStyle w:val="Heading2"/>
      </w:pPr>
      <w:r>
        <w:t>NEXT TOPIC</w:t>
      </w:r>
    </w:p>
    <w:p>
      <w:r>
        <w:rPr>
          <w:rFonts w:ascii="Consolas" w:hAnsi="Consolas"/>
          <w:color w:val="333333"/>
          <w:sz w:val="19"/>
          <w:shd w:val="clear" w:color="auto" w:fill="EFEFEF"/>
        </w:rPr>
        <w:t>02_PLAN_WISE_2026\02_INDUSTRY3_0\09_Procurement\03_Commercial_Awareness\02_Equipment_Cost - Equipment cost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02_PLAN_WISE_2026\02_INDUSTRY3_0\09_Procurement\03_Commercial_Awareness\01_CAPEX_OPEX - CAPEX / OPEX</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