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02_PLAN_WISE_2026\02_INDUSTRY3_0\09_Procurement\03_Commercial_Awareness\02_Equipment_Cost - Equipment cost</w:t>
      </w:r>
    </w:p>
    <w:p>
      <w:pPr>
        <w:pStyle w:val="Heading2"/>
      </w:pPr>
      <w:r>
        <w:t>1. Definition of equipment cost</w:t>
      </w:r>
    </w:p>
    <w:p>
      <w:r>
        <w:t>Equipment cost is the total expenditure associated with acquiring the equipment itself and the items or services that must be included in the equipment supply package, as defined by the procurement scope and commercial offer.</w:t>
      </w:r>
    </w:p>
    <w:p>
      <w:r>
        <w:t>In industrial procurement, equipment cost may include the machine, standard accessories, control systems, tooling, software, licenses, documentation, initial spares, and other specified items. The exact inclusions depend on the RFQ, technical specification, supplier quotation, and purchase terms.</w:t>
      </w:r>
    </w:p>
    <w:p>
      <w:r>
        <w:t>For example, when purchasing an automated test bench, the quoted equipment cost might include the test station, PLC, HMI, sensors, test instrumentation, control panel, standard software, and factory acceptance testing. Installation at the plant, civil work, utility connections, and site commissioning may be quoted separately.</w:t>
      </w:r>
    </w:p>
    <w:p>
      <w:r>
        <w:t>Equipment cost is not necessarily the same as total project cost or total cost of ownership. These distinctions are essential when comparing supplier quotations.</w:t>
      </w:r>
    </w:p>
    <w:p>
      <w:pPr>
        <w:pStyle w:val="Heading2"/>
      </w:pPr>
      <w:r>
        <w:t>2. Equipment cost versus related costs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Equipment cost</w:t>
            </w:r>
          </w:p>
        </w:tc>
        <w:tc>
          <w:tcPr>
            <w:tcW w:type="dxa" w:w="3600"/>
          </w:tcPr>
          <w:p>
            <w:pPr>
              <w:spacing w:after="0" w:before="0" w:line="240" w:lineRule="auto"/>
              <w:jc w:val="left"/>
            </w:pPr>
            <w:r>
              <w:t>Cost of the specified equipment and included supply items</w:t>
            </w:r>
          </w:p>
        </w:tc>
        <w:tc>
          <w:tcPr>
            <w:tcW w:type="dxa" w:w="3600"/>
          </w:tcPr>
          <w:p>
            <w:pPr>
              <w:spacing w:after="0" w:before="0" w:line="240" w:lineRule="auto"/>
              <w:jc w:val="left"/>
            </w:pPr>
            <w:r>
              <w:t>CNC machine and standard accessories</w:t>
            </w:r>
          </w:p>
        </w:tc>
      </w:tr>
      <w:tr>
        <w:tc>
          <w:tcPr>
            <w:tcW w:type="dxa" w:w="3600"/>
          </w:tcPr>
          <w:p>
            <w:pPr>
              <w:spacing w:after="0" w:before="0" w:line="240" w:lineRule="auto"/>
              <w:jc w:val="left"/>
            </w:pPr>
            <w:r>
              <w:t>Installation cost</w:t>
            </w:r>
          </w:p>
        </w:tc>
        <w:tc>
          <w:tcPr>
            <w:tcW w:type="dxa" w:w="3600"/>
          </w:tcPr>
          <w:p>
            <w:pPr>
              <w:spacing w:after="0" w:before="0" w:line="240" w:lineRule="auto"/>
              <w:jc w:val="left"/>
            </w:pPr>
            <w:r>
              <w:t>Cost of physically installing and connecting the equipment</w:t>
            </w:r>
          </w:p>
        </w:tc>
        <w:tc>
          <w:tcPr>
            <w:tcW w:type="dxa" w:w="3600"/>
          </w:tcPr>
          <w:p>
            <w:pPr>
              <w:spacing w:after="0" w:before="0" w:line="240" w:lineRule="auto"/>
              <w:jc w:val="left"/>
            </w:pPr>
            <w:r>
              <w:t>Foundation work, cabling, alignment</w:t>
            </w:r>
          </w:p>
        </w:tc>
      </w:tr>
      <w:tr>
        <w:tc>
          <w:tcPr>
            <w:tcW w:type="dxa" w:w="3600"/>
          </w:tcPr>
          <w:p>
            <w:pPr>
              <w:spacing w:after="0" w:before="0" w:line="240" w:lineRule="auto"/>
              <w:jc w:val="left"/>
            </w:pPr>
            <w:r>
              <w:t>Commissioning cost</w:t>
            </w:r>
          </w:p>
        </w:tc>
        <w:tc>
          <w:tcPr>
            <w:tcW w:type="dxa" w:w="3600"/>
          </w:tcPr>
          <w:p>
            <w:pPr>
              <w:spacing w:after="0" w:before="0" w:line="240" w:lineRule="auto"/>
              <w:jc w:val="left"/>
            </w:pPr>
            <w:r>
              <w:t>Cost of making the equipment operational and verifying its performance</w:t>
            </w:r>
          </w:p>
        </w:tc>
        <w:tc>
          <w:tcPr>
            <w:tcW w:type="dxa" w:w="3600"/>
          </w:tcPr>
          <w:p>
            <w:pPr>
              <w:spacing w:after="0" w:before="0" w:line="240" w:lineRule="auto"/>
              <w:jc w:val="left"/>
            </w:pPr>
            <w:r>
              <w:t>Startup, tuning, functional checks</w:t>
            </w:r>
          </w:p>
        </w:tc>
      </w:tr>
      <w:tr>
        <w:tc>
          <w:tcPr>
            <w:tcW w:type="dxa" w:w="3600"/>
          </w:tcPr>
          <w:p>
            <w:pPr>
              <w:spacing w:after="0" w:before="0" w:line="240" w:lineRule="auto"/>
              <w:jc w:val="left"/>
            </w:pPr>
            <w:r>
              <w:t>Engineering cost</w:t>
            </w:r>
          </w:p>
        </w:tc>
        <w:tc>
          <w:tcPr>
            <w:tcW w:type="dxa" w:w="3600"/>
          </w:tcPr>
          <w:p>
            <w:pPr>
              <w:spacing w:after="0" w:before="0" w:line="240" w:lineRule="auto"/>
              <w:jc w:val="left"/>
            </w:pPr>
            <w:r>
              <w:t>Cost of design, programming, calculations, and integration engineering</w:t>
            </w:r>
          </w:p>
        </w:tc>
        <w:tc>
          <w:tcPr>
            <w:tcW w:type="dxa" w:w="3600"/>
          </w:tcPr>
          <w:p>
            <w:pPr>
              <w:spacing w:after="0" w:before="0" w:line="240" w:lineRule="auto"/>
              <w:jc w:val="left"/>
            </w:pPr>
            <w:r>
              <w:t>PLC development and electrical design</w:t>
            </w:r>
          </w:p>
        </w:tc>
      </w:tr>
      <w:tr>
        <w:tc>
          <w:tcPr>
            <w:tcW w:type="dxa" w:w="3600"/>
          </w:tcPr>
          <w:p>
            <w:pPr>
              <w:spacing w:after="0" w:before="0" w:line="240" w:lineRule="auto"/>
              <w:jc w:val="left"/>
            </w:pPr>
            <w:r>
              <w:t>Logistics cost</w:t>
            </w:r>
          </w:p>
        </w:tc>
        <w:tc>
          <w:tcPr>
            <w:tcW w:type="dxa" w:w="3600"/>
          </w:tcPr>
          <w:p>
            <w:pPr>
              <w:spacing w:after="0" w:before="0" w:line="240" w:lineRule="auto"/>
              <w:jc w:val="left"/>
            </w:pPr>
            <w:r>
              <w:t>Cost of packing, freight, insurance, handling, and delivery</w:t>
            </w:r>
          </w:p>
        </w:tc>
        <w:tc>
          <w:tcPr>
            <w:tcW w:type="dxa" w:w="3600"/>
          </w:tcPr>
          <w:p>
            <w:pPr>
              <w:spacing w:after="0" w:before="0" w:line="240" w:lineRule="auto"/>
              <w:jc w:val="left"/>
            </w:pPr>
            <w:r>
              <w:t>Transporting a robot cell to the plant</w:t>
            </w:r>
          </w:p>
        </w:tc>
      </w:tr>
      <w:tr>
        <w:tc>
          <w:tcPr>
            <w:tcW w:type="dxa" w:w="3600"/>
          </w:tcPr>
          <w:p>
            <w:pPr>
              <w:spacing w:after="0" w:before="0" w:line="240" w:lineRule="auto"/>
              <w:jc w:val="left"/>
            </w:pPr>
            <w:r>
              <w:t>Training cost</w:t>
            </w:r>
          </w:p>
        </w:tc>
        <w:tc>
          <w:tcPr>
            <w:tcW w:type="dxa" w:w="3600"/>
          </w:tcPr>
          <w:p>
            <w:pPr>
              <w:spacing w:after="0" w:before="0" w:line="240" w:lineRule="auto"/>
              <w:jc w:val="left"/>
            </w:pPr>
            <w:r>
              <w:t>Cost of operator and maintenance training</w:t>
            </w:r>
          </w:p>
        </w:tc>
        <w:tc>
          <w:tcPr>
            <w:tcW w:type="dxa" w:w="3600"/>
          </w:tcPr>
          <w:p>
            <w:pPr>
              <w:spacing w:after="0" w:before="0" w:line="240" w:lineRule="auto"/>
              <w:jc w:val="left"/>
            </w:pPr>
            <w:r>
              <w:t>PLC troubleshooting training</w:t>
            </w:r>
          </w:p>
        </w:tc>
      </w:tr>
      <w:tr>
        <w:tc>
          <w:tcPr>
            <w:tcW w:type="dxa" w:w="3600"/>
          </w:tcPr>
          <w:p>
            <w:pPr>
              <w:spacing w:after="0" w:before="0" w:line="240" w:lineRule="auto"/>
              <w:jc w:val="left"/>
            </w:pPr>
            <w:r>
              <w:t>Initial spare cost</w:t>
            </w:r>
          </w:p>
        </w:tc>
        <w:tc>
          <w:tcPr>
            <w:tcW w:type="dxa" w:w="3600"/>
          </w:tcPr>
          <w:p>
            <w:pPr>
              <w:spacing w:after="0" w:before="0" w:line="240" w:lineRule="auto"/>
              <w:jc w:val="left"/>
            </w:pPr>
            <w:r>
              <w:t>Cost of recommended startup or commissioning spares</w:t>
            </w:r>
          </w:p>
        </w:tc>
        <w:tc>
          <w:tcPr>
            <w:tcW w:type="dxa" w:w="3600"/>
          </w:tcPr>
          <w:p>
            <w:pPr>
              <w:spacing w:after="0" w:before="0" w:line="240" w:lineRule="auto"/>
              <w:jc w:val="left"/>
            </w:pPr>
            <w:r>
              <w:t>Spare sensors and PLC modules</w:t>
            </w:r>
          </w:p>
        </w:tc>
      </w:tr>
      <w:tr>
        <w:tc>
          <w:tcPr>
            <w:tcW w:type="dxa" w:w="3600"/>
          </w:tcPr>
          <w:p>
            <w:pPr>
              <w:spacing w:after="0" w:before="0" w:line="240" w:lineRule="auto"/>
              <w:jc w:val="left"/>
            </w:pPr>
            <w:r>
              <w:t>Operating cost</w:t>
            </w:r>
          </w:p>
        </w:tc>
        <w:tc>
          <w:tcPr>
            <w:tcW w:type="dxa" w:w="3600"/>
          </w:tcPr>
          <w:p>
            <w:pPr>
              <w:spacing w:after="0" w:before="0" w:line="240" w:lineRule="auto"/>
              <w:jc w:val="left"/>
            </w:pPr>
            <w:r>
              <w:t>Recurring cost during normal operation</w:t>
            </w:r>
          </w:p>
        </w:tc>
        <w:tc>
          <w:tcPr>
            <w:tcW w:type="dxa" w:w="3600"/>
          </w:tcPr>
          <w:p>
            <w:pPr>
              <w:spacing w:after="0" w:before="0" w:line="240" w:lineRule="auto"/>
              <w:jc w:val="left"/>
            </w:pPr>
            <w:r>
              <w:t>Electricity, consumables, routine maintenance</w:t>
            </w:r>
          </w:p>
        </w:tc>
      </w:tr>
      <w:tr>
        <w:tc>
          <w:tcPr>
            <w:tcW w:type="dxa" w:w="3600"/>
          </w:tcPr>
          <w:p>
            <w:pPr>
              <w:spacing w:after="0" w:before="0" w:line="240" w:lineRule="auto"/>
              <w:jc w:val="left"/>
            </w:pPr>
            <w:r>
              <w:t>Lifecycle cost</w:t>
            </w:r>
          </w:p>
        </w:tc>
        <w:tc>
          <w:tcPr>
            <w:tcW w:type="dxa" w:w="3600"/>
          </w:tcPr>
          <w:p>
            <w:pPr>
              <w:spacing w:after="0" w:before="0" w:line="240" w:lineRule="auto"/>
              <w:jc w:val="left"/>
            </w:pPr>
            <w:r>
              <w:t>Costs incurred over the asset's useful life, including acquisition and operation</w:t>
            </w:r>
          </w:p>
        </w:tc>
        <w:tc>
          <w:tcPr>
            <w:tcW w:type="dxa" w:w="3600"/>
          </w:tcPr>
          <w:p>
            <w:pPr>
              <w:spacing w:after="0" w:before="0" w:line="240" w:lineRule="auto"/>
              <w:jc w:val="left"/>
            </w:pPr>
            <w:r>
              <w:t>Purchase, service, repairs, upgrades, and disposal</w:t>
            </w:r>
          </w:p>
        </w:tc>
      </w:tr>
    </w:tbl>
    <w:p/>
    <w:p>
      <w:r>
        <w:t>A supplier may bundle several categories into one quotation. Procurement must identify the included scope before comparing prices.</w:t>
      </w:r>
    </w:p>
    <w:p>
      <w:pPr>
        <w:pStyle w:val="Heading2"/>
      </w:pPr>
      <w:r>
        <w:t>3. Major components of equipment cost</w:t>
      </w:r>
    </w:p>
    <w:p>
      <w:pPr>
        <w:pStyle w:val="Heading3"/>
      </w:pPr>
      <w:r>
        <w:t>3.1 Base equipment</w:t>
      </w:r>
    </w:p>
    <w:p>
      <w:r>
        <w:t>The base equipment is the principal machine or system being purchased.</w:t>
      </w:r>
    </w:p>
    <w:p>
      <w:r>
        <w:t>Examples include:</w:t>
      </w:r>
    </w:p>
    <w:p>
      <w:pPr>
        <w:pStyle w:val="ListBullet"/>
      </w:pPr>
      <w:r>
        <w:t>CNC machining center.</w:t>
      </w:r>
    </w:p>
    <w:p>
      <w:pPr>
        <w:pStyle w:val="ListBullet"/>
      </w:pPr>
      <w:r>
        <w:t>PLC-controlled assembly machine.</w:t>
      </w:r>
    </w:p>
    <w:p>
      <w:pPr>
        <w:pStyle w:val="ListBullet"/>
      </w:pPr>
      <w:r>
        <w:t>Industrial robot.</w:t>
      </w:r>
    </w:p>
    <w:p>
      <w:pPr>
        <w:pStyle w:val="ListBullet"/>
      </w:pPr>
      <w:r>
        <w:t>Automated test bench.</w:t>
      </w:r>
    </w:p>
    <w:p>
      <w:pPr>
        <w:pStyle w:val="ListBullet"/>
      </w:pPr>
      <w:r>
        <w:t>VFD panel.</w:t>
      </w:r>
    </w:p>
    <w:p>
      <w:pPr>
        <w:pStyle w:val="ListBullet"/>
      </w:pPr>
      <w:r>
        <w:t>Vision inspection system.</w:t>
      </w:r>
    </w:p>
    <w:p>
      <w:pPr>
        <w:pStyle w:val="ListBullet"/>
      </w:pPr>
      <w:r>
        <w:t>Industrial PC and SCADA workstation.</w:t>
      </w:r>
    </w:p>
    <w:p>
      <w:pPr>
        <w:pStyle w:val="ListBullet"/>
      </w:pPr>
      <w:r>
        <w:t>Conveyor or material-handling system.</w:t>
      </w:r>
    </w:p>
    <w:p>
      <w:r>
        <w:t>The base price often depends on machine capacity, accuracy, performance, design complexity, construction materials, and manufacturer.</w:t>
      </w:r>
    </w:p>
    <w:p>
      <w:pPr>
        <w:pStyle w:val="Heading3"/>
      </w:pPr>
      <w:r>
        <w:t>3.2 Standard accessories</w:t>
      </w:r>
    </w:p>
    <w:p>
      <w:r>
        <w:t>Accessories required for the offered equipment may be included in the base price or listed separately.</w:t>
      </w:r>
    </w:p>
    <w:p>
      <w:r>
        <w:t>Examples include:</w:t>
      </w:r>
    </w:p>
    <w:p>
      <w:pPr>
        <w:pStyle w:val="ListBullet"/>
      </w:pPr>
      <w:r>
        <w:t>Standard tool holders and fixtures.</w:t>
      </w:r>
    </w:p>
    <w:p>
      <w:pPr>
        <w:pStyle w:val="ListBullet"/>
      </w:pPr>
      <w:r>
        <w:t>Cable sets and connectors.</w:t>
      </w:r>
    </w:p>
    <w:p>
      <w:pPr>
        <w:pStyle w:val="ListBullet"/>
      </w:pPr>
      <w:r>
        <w:t>Mounting brackets.</w:t>
      </w:r>
    </w:p>
    <w:p>
      <w:pPr>
        <w:pStyle w:val="ListBullet"/>
      </w:pPr>
      <w:r>
        <w:t>Operator panels.</w:t>
      </w:r>
    </w:p>
    <w:p>
      <w:pPr>
        <w:pStyle w:val="ListBullet"/>
      </w:pPr>
      <w:r>
        <w:t>Cooling units.</w:t>
      </w:r>
    </w:p>
    <w:p>
      <w:pPr>
        <w:pStyle w:val="ListBullet"/>
      </w:pPr>
      <w:r>
        <w:t>Standard network interfaces.</w:t>
      </w:r>
    </w:p>
    <w:p>
      <w:pPr>
        <w:pStyle w:val="ListBullet"/>
      </w:pPr>
      <w:r>
        <w:t>Safety guards.</w:t>
      </w:r>
    </w:p>
    <w:p>
      <w:pPr>
        <w:pStyle w:val="ListBullet"/>
      </w:pPr>
      <w:r>
        <w:t>Manufacturer-specified installation accessories.</w:t>
      </w:r>
    </w:p>
    <w:p>
      <w:r>
        <w:t>The technical specification should identify which accessories are mandatory and whether the supplier's offer includes them.</w:t>
      </w:r>
    </w:p>
    <w:p>
      <w:pPr>
        <w:pStyle w:val="Heading3"/>
      </w:pPr>
      <w:r>
        <w:t>3.3 Optional accessories and enhancements</w:t>
      </w:r>
    </w:p>
    <w:p>
      <w:r>
        <w:t>Options increase the price beyond the standard configuration.</w:t>
      </w:r>
    </w:p>
    <w:p>
      <w:r>
        <w:t>Examples include:</w:t>
      </w:r>
    </w:p>
    <w:p>
      <w:pPr>
        <w:pStyle w:val="ListBullet"/>
      </w:pPr>
      <w:r>
        <w:t>Additional PLC I/O modules.</w:t>
      </w:r>
    </w:p>
    <w:p>
      <w:pPr>
        <w:pStyle w:val="ListBullet"/>
      </w:pPr>
      <w:r>
        <w:t>Higher-capacity VFDs.</w:t>
      </w:r>
    </w:p>
    <w:p>
      <w:pPr>
        <w:pStyle w:val="ListBullet"/>
      </w:pPr>
      <w:r>
        <w:t>Additional robot axes.</w:t>
      </w:r>
    </w:p>
    <w:p>
      <w:pPr>
        <w:pStyle w:val="ListBullet"/>
      </w:pPr>
      <w:r>
        <w:t>Advanced measurement systems.</w:t>
      </w:r>
    </w:p>
    <w:p>
      <w:pPr>
        <w:pStyle w:val="ListBullet"/>
      </w:pPr>
      <w:r>
        <w:t>Redundant controllers.</w:t>
      </w:r>
    </w:p>
    <w:p>
      <w:pPr>
        <w:pStyle w:val="ListBullet"/>
      </w:pPr>
      <w:r>
        <w:t>Extended data logging.</w:t>
      </w:r>
    </w:p>
    <w:p>
      <w:pPr>
        <w:pStyle w:val="ListBullet"/>
      </w:pPr>
      <w:r>
        <w:t>Additional safety functions.</w:t>
      </w:r>
    </w:p>
    <w:p>
      <w:pPr>
        <w:pStyle w:val="ListBullet"/>
      </w:pPr>
      <w:r>
        <w:t>Remote diagnostics.</w:t>
      </w:r>
    </w:p>
    <w:p>
      <w:pPr>
        <w:pStyle w:val="ListBullet"/>
      </w:pPr>
      <w:r>
        <w:t>Special tooling or fixtures.</w:t>
      </w:r>
    </w:p>
    <w:p>
      <w:pPr>
        <w:pStyle w:val="ListBullet"/>
      </w:pPr>
      <w:r>
        <w:t>Higher-performance spindle or servo packages.</w:t>
      </w:r>
    </w:p>
    <w:p>
      <w:r>
        <w:t>An optional feature should not be accepted merely because the supplier recommends it. Its technical necessity, lifecycle benefit, and commercial value must be assessed.</w:t>
      </w:r>
    </w:p>
    <w:p>
      <w:pPr>
        <w:pStyle w:val="Heading3"/>
      </w:pPr>
      <w:r>
        <w:t>3.4 Software and licenses</w:t>
      </w:r>
    </w:p>
    <w:p>
      <w:r>
        <w:t>Industrial equipment may require licensed engineering software, runtime software, device options, communication drivers, or proprietary configuration tools.</w:t>
      </w:r>
    </w:p>
    <w:p>
      <w:r>
        <w:t>The quotation should identify:</w:t>
      </w:r>
    </w:p>
    <w:p>
      <w:pPr>
        <w:pStyle w:val="ListBullet"/>
      </w:pPr>
      <w:r>
        <w:t>Software product and version.</w:t>
      </w:r>
    </w:p>
    <w:p>
      <w:pPr>
        <w:pStyle w:val="ListBullet"/>
      </w:pPr>
      <w:r>
        <w:t>License type and quantity.</w:t>
      </w:r>
    </w:p>
    <w:p>
      <w:pPr>
        <w:pStyle w:val="ListBullet"/>
      </w:pPr>
      <w:r>
        <w:t>Perpetual versus subscription licensing.</w:t>
      </w:r>
    </w:p>
    <w:p>
      <w:pPr>
        <w:pStyle w:val="ListBullet"/>
      </w:pPr>
      <w:r>
        <w:t>Runtime and engineering license requirements.</w:t>
      </w:r>
    </w:p>
    <w:p>
      <w:pPr>
        <w:pStyle w:val="ListBullet"/>
      </w:pPr>
      <w:r>
        <w:t>License transferability and ownership.</w:t>
      </w:r>
    </w:p>
    <w:p>
      <w:pPr>
        <w:pStyle w:val="ListBullet"/>
      </w:pPr>
      <w:r>
        <w:t>Upgrade and support charges.</w:t>
      </w:r>
    </w:p>
    <w:p>
      <w:pPr>
        <w:pStyle w:val="ListBullet"/>
      </w:pPr>
      <w:r>
        <w:t>License recovery and replacement arrangements.</w:t>
      </w:r>
    </w:p>
    <w:p>
      <w:pPr>
        <w:pStyle w:val="ListBullet"/>
      </w:pPr>
      <w:r>
        <w:t>Any recurring fees or cloud dependencies.</w:t>
      </w:r>
    </w:p>
    <w:p>
      <w:r>
        <w:t>For example, a machine may include a licensed HMI runtime but require a separate engineering license for future program modifications. This can create a significant hidden maintenance cost if not identified during procurement.</w:t>
      </w:r>
    </w:p>
    <w:p>
      <w:pPr>
        <w:pStyle w:val="Heading3"/>
      </w:pPr>
      <w:r>
        <w:t>3.5 Documentation and deliverables</w:t>
      </w:r>
    </w:p>
    <w:p>
      <w:r>
        <w:t>Documentation is part of the procurement deliverable even when its cost is bundled into the equipment price.</w:t>
      </w:r>
    </w:p>
    <w:p>
      <w:r>
        <w:t>Typical items include electrical drawings, mechanical drawings, PLC and HMI backups, bills of materials, parameter lists, manuals, maintenance procedures, certificates, and test reports.</w:t>
      </w:r>
    </w:p>
    <w:p>
      <w:r>
        <w:t>The RFQ should define the required formats, revisions, languages, quantities, and submission deadlines.</w:t>
      </w:r>
    </w:p>
    <w:p>
      <w:pPr>
        <w:pStyle w:val="Heading2"/>
      </w:pPr>
      <w:r>
        <w:t>4. Factors affecting equipment cost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Effect on cost</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Capacity</w:t>
            </w:r>
          </w:p>
        </w:tc>
        <w:tc>
          <w:tcPr>
            <w:tcW w:type="dxa" w:w="3600"/>
          </w:tcPr>
          <w:p>
            <w:pPr>
              <w:spacing w:after="0" w:before="0" w:line="240" w:lineRule="auto"/>
              <w:jc w:val="left"/>
            </w:pPr>
            <w:r>
              <w:t>Higher capacity generally increases price</w:t>
            </w:r>
          </w:p>
        </w:tc>
        <w:tc>
          <w:tcPr>
            <w:tcW w:type="dxa" w:w="3600"/>
          </w:tcPr>
          <w:p>
            <w:pPr>
              <w:spacing w:after="0" w:before="0" w:line="240" w:lineRule="auto"/>
              <w:jc w:val="left"/>
            </w:pPr>
            <w:r>
              <w:t>Higher-tonnage press</w:t>
            </w:r>
          </w:p>
        </w:tc>
      </w:tr>
      <w:tr>
        <w:tc>
          <w:tcPr>
            <w:tcW w:type="dxa" w:w="3600"/>
          </w:tcPr>
          <w:p>
            <w:pPr>
              <w:spacing w:after="0" w:before="0" w:line="240" w:lineRule="auto"/>
              <w:jc w:val="left"/>
            </w:pPr>
            <w:r>
              <w:t>Accuracy</w:t>
            </w:r>
          </w:p>
        </w:tc>
        <w:tc>
          <w:tcPr>
            <w:tcW w:type="dxa" w:w="3600"/>
          </w:tcPr>
          <w:p>
            <w:pPr>
              <w:spacing w:after="0" w:before="0" w:line="240" w:lineRule="auto"/>
              <w:jc w:val="left"/>
            </w:pPr>
            <w:r>
              <w:t>Tighter tolerances may require better components and calibration</w:t>
            </w:r>
          </w:p>
        </w:tc>
        <w:tc>
          <w:tcPr>
            <w:tcW w:type="dxa" w:w="3600"/>
          </w:tcPr>
          <w:p>
            <w:pPr>
              <w:spacing w:after="0" w:before="0" w:line="240" w:lineRule="auto"/>
              <w:jc w:val="left"/>
            </w:pPr>
            <w:r>
              <w:t>Precision measurement system</w:t>
            </w:r>
          </w:p>
        </w:tc>
      </w:tr>
      <w:tr>
        <w:tc>
          <w:tcPr>
            <w:tcW w:type="dxa" w:w="3600"/>
          </w:tcPr>
          <w:p>
            <w:pPr>
              <w:spacing w:after="0" w:before="0" w:line="240" w:lineRule="auto"/>
              <w:jc w:val="left"/>
            </w:pPr>
            <w:r>
              <w:t>Speed</w:t>
            </w:r>
          </w:p>
        </w:tc>
        <w:tc>
          <w:tcPr>
            <w:tcW w:type="dxa" w:w="3600"/>
          </w:tcPr>
          <w:p>
            <w:pPr>
              <w:spacing w:after="0" w:before="0" w:line="240" w:lineRule="auto"/>
              <w:jc w:val="left"/>
            </w:pPr>
            <w:r>
              <w:t>Higher throughput may require advanced motion systems</w:t>
            </w:r>
          </w:p>
        </w:tc>
        <w:tc>
          <w:tcPr>
            <w:tcW w:type="dxa" w:w="3600"/>
          </w:tcPr>
          <w:p>
            <w:pPr>
              <w:spacing w:after="0" w:before="0" w:line="240" w:lineRule="auto"/>
              <w:jc w:val="left"/>
            </w:pPr>
            <w:r>
              <w:t>High-speed assembly machine</w:t>
            </w:r>
          </w:p>
        </w:tc>
      </w:tr>
      <w:tr>
        <w:tc>
          <w:tcPr>
            <w:tcW w:type="dxa" w:w="3600"/>
          </w:tcPr>
          <w:p>
            <w:pPr>
              <w:spacing w:after="0" w:before="0" w:line="240" w:lineRule="auto"/>
              <w:jc w:val="left"/>
            </w:pPr>
            <w:r>
              <w:t>Automation level</w:t>
            </w:r>
          </w:p>
        </w:tc>
        <w:tc>
          <w:tcPr>
            <w:tcW w:type="dxa" w:w="3600"/>
          </w:tcPr>
          <w:p>
            <w:pPr>
              <w:spacing w:after="0" w:before="0" w:line="240" w:lineRule="auto"/>
              <w:jc w:val="left"/>
            </w:pPr>
            <w:r>
              <w:t>More sensing, control, and integration increase cost</w:t>
            </w:r>
          </w:p>
        </w:tc>
        <w:tc>
          <w:tcPr>
            <w:tcW w:type="dxa" w:w="3600"/>
          </w:tcPr>
          <w:p>
            <w:pPr>
              <w:spacing w:after="0" w:before="0" w:line="240" w:lineRule="auto"/>
              <w:jc w:val="left"/>
            </w:pPr>
            <w:r>
              <w:t>Automatic loading and unloading</w:t>
            </w:r>
          </w:p>
        </w:tc>
      </w:tr>
      <w:tr>
        <w:tc>
          <w:tcPr>
            <w:tcW w:type="dxa" w:w="3600"/>
          </w:tcPr>
          <w:p>
            <w:pPr>
              <w:spacing w:after="0" w:before="0" w:line="240" w:lineRule="auto"/>
              <w:jc w:val="left"/>
            </w:pPr>
            <w:r>
              <w:t>Safety requirements</w:t>
            </w:r>
          </w:p>
        </w:tc>
        <w:tc>
          <w:tcPr>
            <w:tcW w:type="dxa" w:w="3600"/>
          </w:tcPr>
          <w:p>
            <w:pPr>
              <w:spacing w:after="0" w:before="0" w:line="240" w:lineRule="auto"/>
              <w:jc w:val="left"/>
            </w:pPr>
            <w:r>
              <w:t>Required safety hardware and engineering add cost</w:t>
            </w:r>
          </w:p>
        </w:tc>
        <w:tc>
          <w:tcPr>
            <w:tcW w:type="dxa" w:w="3600"/>
          </w:tcPr>
          <w:p>
            <w:pPr>
              <w:spacing w:after="0" w:before="0" w:line="240" w:lineRule="auto"/>
              <w:jc w:val="left"/>
            </w:pPr>
            <w:r>
              <w:t>Safety PLC and guarded robot cell</w:t>
            </w:r>
          </w:p>
        </w:tc>
      </w:tr>
      <w:tr>
        <w:tc>
          <w:tcPr>
            <w:tcW w:type="dxa" w:w="3600"/>
          </w:tcPr>
          <w:p>
            <w:pPr>
              <w:spacing w:after="0" w:before="0" w:line="240" w:lineRule="auto"/>
              <w:jc w:val="left"/>
            </w:pPr>
            <w:r>
              <w:t>Environmental conditions</w:t>
            </w:r>
          </w:p>
        </w:tc>
        <w:tc>
          <w:tcPr>
            <w:tcW w:type="dxa" w:w="3600"/>
          </w:tcPr>
          <w:p>
            <w:pPr>
              <w:spacing w:after="0" w:before="0" w:line="240" w:lineRule="auto"/>
              <w:jc w:val="left"/>
            </w:pPr>
            <w:r>
              <w:t>Special protection increases cost</w:t>
            </w:r>
          </w:p>
        </w:tc>
        <w:tc>
          <w:tcPr>
            <w:tcW w:type="dxa" w:w="3600"/>
          </w:tcPr>
          <w:p>
            <w:pPr>
              <w:spacing w:after="0" w:before="0" w:line="240" w:lineRule="auto"/>
              <w:jc w:val="left"/>
            </w:pPr>
            <w:r>
              <w:t>Washdown-rated equipment</w:t>
            </w:r>
          </w:p>
        </w:tc>
      </w:tr>
      <w:tr>
        <w:tc>
          <w:tcPr>
            <w:tcW w:type="dxa" w:w="3600"/>
          </w:tcPr>
          <w:p>
            <w:pPr>
              <w:spacing w:after="0" w:before="0" w:line="240" w:lineRule="auto"/>
              <w:jc w:val="left"/>
            </w:pPr>
            <w:r>
              <w:t>Materials</w:t>
            </w:r>
          </w:p>
        </w:tc>
        <w:tc>
          <w:tcPr>
            <w:tcW w:type="dxa" w:w="3600"/>
          </w:tcPr>
          <w:p>
            <w:pPr>
              <w:spacing w:after="0" w:before="0" w:line="240" w:lineRule="auto"/>
              <w:jc w:val="left"/>
            </w:pPr>
            <w:r>
              <w:t>Specialized construction may be more expensive</w:t>
            </w:r>
          </w:p>
        </w:tc>
        <w:tc>
          <w:tcPr>
            <w:tcW w:type="dxa" w:w="3600"/>
          </w:tcPr>
          <w:p>
            <w:pPr>
              <w:spacing w:after="0" w:before="0" w:line="240" w:lineRule="auto"/>
              <w:jc w:val="left"/>
            </w:pPr>
            <w:r>
              <w:t>Corrosion-resistant enclosure</w:t>
            </w:r>
          </w:p>
        </w:tc>
      </w:tr>
      <w:tr>
        <w:tc>
          <w:tcPr>
            <w:tcW w:type="dxa" w:w="3600"/>
          </w:tcPr>
          <w:p>
            <w:pPr>
              <w:spacing w:after="0" w:before="0" w:line="240" w:lineRule="auto"/>
              <w:jc w:val="left"/>
            </w:pPr>
            <w:r>
              <w:t>Brand and product family</w:t>
            </w:r>
          </w:p>
        </w:tc>
        <w:tc>
          <w:tcPr>
            <w:tcW w:type="dxa" w:w="3600"/>
          </w:tcPr>
          <w:p>
            <w:pPr>
              <w:spacing w:after="0" w:before="0" w:line="240" w:lineRule="auto"/>
              <w:jc w:val="left"/>
            </w:pPr>
            <w:r>
              <w:t>Pricing, support, and ecosystem differ</w:t>
            </w:r>
          </w:p>
        </w:tc>
        <w:tc>
          <w:tcPr>
            <w:tcW w:type="dxa" w:w="3600"/>
          </w:tcPr>
          <w:p>
            <w:pPr>
              <w:spacing w:after="0" w:before="0" w:line="240" w:lineRule="auto"/>
              <w:jc w:val="left"/>
            </w:pPr>
            <w:r>
              <w:t>Different PLC or CNC platforms</w:t>
            </w:r>
          </w:p>
        </w:tc>
      </w:tr>
      <w:tr>
        <w:tc>
          <w:tcPr>
            <w:tcW w:type="dxa" w:w="3600"/>
          </w:tcPr>
          <w:p>
            <w:pPr>
              <w:spacing w:after="0" w:before="0" w:line="240" w:lineRule="auto"/>
              <w:jc w:val="left"/>
            </w:pPr>
            <w:r>
              <w:t>Software</w:t>
            </w:r>
          </w:p>
        </w:tc>
        <w:tc>
          <w:tcPr>
            <w:tcW w:type="dxa" w:w="3600"/>
          </w:tcPr>
          <w:p>
            <w:pPr>
              <w:spacing w:after="0" w:before="0" w:line="240" w:lineRule="auto"/>
              <w:jc w:val="left"/>
            </w:pPr>
            <w:r>
              <w:t>Licenses, options, and runtime capabilities affect price</w:t>
            </w:r>
          </w:p>
        </w:tc>
        <w:tc>
          <w:tcPr>
            <w:tcW w:type="dxa" w:w="3600"/>
          </w:tcPr>
          <w:p>
            <w:pPr>
              <w:spacing w:after="0" w:before="0" w:line="240" w:lineRule="auto"/>
              <w:jc w:val="left"/>
            </w:pPr>
            <w:r>
              <w:t>SCADA tags or motion-control licenses</w:t>
            </w:r>
          </w:p>
        </w:tc>
      </w:tr>
      <w:tr>
        <w:tc>
          <w:tcPr>
            <w:tcW w:type="dxa" w:w="3600"/>
          </w:tcPr>
          <w:p>
            <w:pPr>
              <w:spacing w:after="0" w:before="0" w:line="240" w:lineRule="auto"/>
              <w:jc w:val="left"/>
            </w:pPr>
            <w:r>
              <w:t>Customization</w:t>
            </w:r>
          </w:p>
        </w:tc>
        <w:tc>
          <w:tcPr>
            <w:tcW w:type="dxa" w:w="3600"/>
          </w:tcPr>
          <w:p>
            <w:pPr>
              <w:spacing w:after="0" w:before="0" w:line="240" w:lineRule="auto"/>
              <w:jc w:val="left"/>
            </w:pPr>
            <w:r>
              <w:t>Nonstandard design requires additional engineering</w:t>
            </w:r>
          </w:p>
        </w:tc>
        <w:tc>
          <w:tcPr>
            <w:tcW w:type="dxa" w:w="3600"/>
          </w:tcPr>
          <w:p>
            <w:pPr>
              <w:spacing w:after="0" w:before="0" w:line="240" w:lineRule="auto"/>
              <w:jc w:val="left"/>
            </w:pPr>
            <w:r>
              <w:t>Special machine fixture</w:t>
            </w:r>
          </w:p>
        </w:tc>
      </w:tr>
      <w:tr>
        <w:tc>
          <w:tcPr>
            <w:tcW w:type="dxa" w:w="3600"/>
          </w:tcPr>
          <w:p>
            <w:pPr>
              <w:spacing w:after="0" w:before="0" w:line="240" w:lineRule="auto"/>
              <w:jc w:val="left"/>
            </w:pPr>
            <w:r>
              <w:t>Quality requirements</w:t>
            </w:r>
          </w:p>
        </w:tc>
        <w:tc>
          <w:tcPr>
            <w:tcW w:type="dxa" w:w="3600"/>
          </w:tcPr>
          <w:p>
            <w:pPr>
              <w:spacing w:after="0" w:before="0" w:line="240" w:lineRule="auto"/>
              <w:jc w:val="left"/>
            </w:pPr>
            <w:r>
              <w:t>Validation and inspection may add cost</w:t>
            </w:r>
          </w:p>
        </w:tc>
        <w:tc>
          <w:tcPr>
            <w:tcW w:type="dxa" w:w="3600"/>
          </w:tcPr>
          <w:p>
            <w:pPr>
              <w:spacing w:after="0" w:before="0" w:line="240" w:lineRule="auto"/>
              <w:jc w:val="left"/>
            </w:pPr>
            <w:r>
              <w:t>Calibrated test instrumentation</w:t>
            </w:r>
          </w:p>
        </w:tc>
      </w:tr>
      <w:tr>
        <w:tc>
          <w:tcPr>
            <w:tcW w:type="dxa" w:w="3600"/>
          </w:tcPr>
          <w:p>
            <w:pPr>
              <w:spacing w:after="0" w:before="0" w:line="240" w:lineRule="auto"/>
              <w:jc w:val="left"/>
            </w:pPr>
            <w:r>
              <w:t>Lifecycle support</w:t>
            </w:r>
          </w:p>
        </w:tc>
        <w:tc>
          <w:tcPr>
            <w:tcW w:type="dxa" w:w="3600"/>
          </w:tcPr>
          <w:p>
            <w:pPr>
              <w:spacing w:after="0" w:before="0" w:line="240" w:lineRule="auto"/>
              <w:jc w:val="left"/>
            </w:pPr>
            <w:r>
              <w:t>Extended support or special spare commitments may add cost</w:t>
            </w:r>
          </w:p>
        </w:tc>
        <w:tc>
          <w:tcPr>
            <w:tcW w:type="dxa" w:w="3600"/>
          </w:tcPr>
          <w:p>
            <w:pPr>
              <w:spacing w:after="0" w:before="0" w:line="240" w:lineRule="auto"/>
              <w:jc w:val="left"/>
            </w:pPr>
            <w:r>
              <w:t>Long-term service agreement</w:t>
            </w:r>
          </w:p>
        </w:tc>
      </w:tr>
      <w:tr>
        <w:tc>
          <w:tcPr>
            <w:tcW w:type="dxa" w:w="3600"/>
          </w:tcPr>
          <w:p>
            <w:pPr>
              <w:spacing w:after="0" w:before="0" w:line="240" w:lineRule="auto"/>
              <w:jc w:val="left"/>
            </w:pPr>
            <w:r>
              <w:t>Delivery schedule</w:t>
            </w:r>
          </w:p>
        </w:tc>
        <w:tc>
          <w:tcPr>
            <w:tcW w:type="dxa" w:w="3600"/>
          </w:tcPr>
          <w:p>
            <w:pPr>
              <w:spacing w:after="0" w:before="0" w:line="240" w:lineRule="auto"/>
              <w:jc w:val="left"/>
            </w:pPr>
            <w:r>
              <w:t>Expedited manufacturing or shipping may cost more</w:t>
            </w:r>
          </w:p>
        </w:tc>
        <w:tc>
          <w:tcPr>
            <w:tcW w:type="dxa" w:w="3600"/>
          </w:tcPr>
          <w:p>
            <w:pPr>
              <w:spacing w:after="0" w:before="0" w:line="240" w:lineRule="auto"/>
              <w:jc w:val="left"/>
            </w:pPr>
            <w:r>
              <w:t>Urgent replacement machine</w:t>
            </w:r>
          </w:p>
        </w:tc>
      </w:tr>
      <w:tr>
        <w:tc>
          <w:tcPr>
            <w:tcW w:type="dxa" w:w="3600"/>
          </w:tcPr>
          <w:p>
            <w:pPr>
              <w:spacing w:after="0" w:before="0" w:line="240" w:lineRule="auto"/>
              <w:jc w:val="left"/>
            </w:pPr>
            <w:r>
              <w:t>Commercial terms</w:t>
            </w:r>
          </w:p>
        </w:tc>
        <w:tc>
          <w:tcPr>
            <w:tcW w:type="dxa" w:w="3600"/>
          </w:tcPr>
          <w:p>
            <w:pPr>
              <w:spacing w:after="0" w:before="0" w:line="240" w:lineRule="auto"/>
              <w:jc w:val="left"/>
            </w:pPr>
            <w:r>
              <w:t>Taxes, currency, payment, and warranty conditions affect the payable amount</w:t>
            </w:r>
          </w:p>
        </w:tc>
        <w:tc>
          <w:tcPr>
            <w:tcW w:type="dxa" w:w="3600"/>
          </w:tcPr>
          <w:p>
            <w:pPr>
              <w:spacing w:after="0" w:before="0" w:line="240" w:lineRule="auto"/>
              <w:jc w:val="left"/>
            </w:pPr>
            <w:r>
              <w:t>Imported equipment quotation</w:t>
            </w:r>
          </w:p>
        </w:tc>
      </w:tr>
    </w:tbl>
    <w:p/>
    <w:p>
      <w:r>
        <w:t>Equipment price must be compared against the same technical requirements. A cheaper product with lower capacity or missing safety functions is not a valid like-for-like alternative.</w:t>
      </w:r>
    </w:p>
    <w:p>
      <w:pPr>
        <w:pStyle w:val="Heading2"/>
      </w:pPr>
      <w:r>
        <w:t>5. Reading an equipment quotation</w:t>
      </w:r>
    </w:p>
    <w:p>
      <w:r>
        <w:t>A supplier quotation should be examined for scope, price basis, exclusions, technical assumptions, and commercial conditions.</w:t>
      </w:r>
    </w:p>
    <w:p>
      <w:r>
        <w:t>Important fields include:</w:t>
      </w:r>
    </w:p>
    <w:p>
      <w:pPr>
        <w:pStyle w:val="ListBullet"/>
      </w:pPr>
      <w:r>
        <w:t>Supplier name and quotation reference.</w:t>
      </w:r>
    </w:p>
    <w:p>
      <w:pPr>
        <w:pStyle w:val="ListBullet"/>
      </w:pPr>
      <w:r>
        <w:t>Equipment make, model, and exact configuration.</w:t>
      </w:r>
    </w:p>
    <w:p>
      <w:pPr>
        <w:pStyle w:val="ListBullet"/>
      </w:pPr>
      <w:r>
        <w:t>Quantity and unit price.</w:t>
      </w:r>
    </w:p>
    <w:p>
      <w:pPr>
        <w:pStyle w:val="ListBullet"/>
      </w:pPr>
      <w:r>
        <w:t>Accessories and optional items.</w:t>
      </w:r>
    </w:p>
    <w:p>
      <w:pPr>
        <w:pStyle w:val="ListBullet"/>
      </w:pPr>
      <w:r>
        <w:t>Software and license details.</w:t>
      </w:r>
    </w:p>
    <w:p>
      <w:pPr>
        <w:pStyle w:val="ListBullet"/>
      </w:pPr>
      <w:r>
        <w:t>Documentation and testing scope.</w:t>
      </w:r>
    </w:p>
    <w:p>
      <w:pPr>
        <w:pStyle w:val="ListBullet"/>
      </w:pPr>
      <w:r>
        <w:t>Currency and price validity.</w:t>
      </w:r>
    </w:p>
    <w:p>
      <w:pPr>
        <w:pStyle w:val="ListBullet"/>
      </w:pPr>
      <w:r>
        <w:t>Delivery terms and location.</w:t>
      </w:r>
    </w:p>
    <w:p>
      <w:pPr>
        <w:pStyle w:val="ListBullet"/>
      </w:pPr>
      <w:r>
        <w:t>Freight, packing, insurance, and duties.</w:t>
      </w:r>
    </w:p>
    <w:p>
      <w:pPr>
        <w:pStyle w:val="ListBullet"/>
      </w:pPr>
      <w:r>
        <w:t>Taxes and other applicable charges.</w:t>
      </w:r>
    </w:p>
    <w:p>
      <w:pPr>
        <w:pStyle w:val="ListBullet"/>
      </w:pPr>
      <w:r>
        <w:t>Warranty scope and duration.</w:t>
      </w:r>
    </w:p>
    <w:p>
      <w:pPr>
        <w:pStyle w:val="ListBullet"/>
      </w:pPr>
      <w:r>
        <w:t>Payment terms.</w:t>
      </w:r>
    </w:p>
    <w:p>
      <w:pPr>
        <w:pStyle w:val="ListBullet"/>
      </w:pPr>
      <w:r>
        <w:t>Delivery lead time.</w:t>
      </w:r>
    </w:p>
    <w:p>
      <w:pPr>
        <w:pStyle w:val="ListBullet"/>
      </w:pPr>
      <w:r>
        <w:t>Price escalation or variation clauses.</w:t>
      </w:r>
    </w:p>
    <w:p>
      <w:pPr>
        <w:pStyle w:val="ListBullet"/>
      </w:pPr>
      <w:r>
        <w:t>Exclusions and buyer responsibilities.</w:t>
      </w:r>
    </w:p>
    <w:p>
      <w:pPr>
        <w:pStyle w:val="Heading3"/>
      </w:pPr>
      <w:r>
        <w:t>Example quotation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Item</w:t>
            </w:r>
          </w:p>
        </w:tc>
        <w:tc>
          <w:tcPr>
            <w:tcW w:type="dxa" w:w="2160"/>
            <w:shd w:val="clear" w:color="auto" w:fill="EEF2F7"/>
          </w:tcPr>
          <w:p>
            <w:pPr>
              <w:spacing w:after="0" w:before="0" w:line="240" w:lineRule="auto"/>
              <w:jc w:val="left"/>
            </w:pPr>
            <w:r>
              <w:rPr>
                <w:b/>
                <w:color w:val="1A2E4A"/>
              </w:rPr>
              <w:t>Description</w:t>
            </w:r>
          </w:p>
        </w:tc>
        <w:tc>
          <w:tcPr>
            <w:tcW w:type="dxa" w:w="2160"/>
            <w:shd w:val="clear" w:color="auto" w:fill="EEF2F7"/>
          </w:tcPr>
          <w:p>
            <w:pPr>
              <w:spacing w:after="0" w:before="0" w:line="240" w:lineRule="auto"/>
              <w:jc w:val="left"/>
            </w:pPr>
            <w:r>
              <w:rPr>
                <w:b/>
                <w:color w:val="1A2E4A"/>
              </w:rPr>
              <w:t>Quantity</w:t>
            </w:r>
          </w:p>
        </w:tc>
        <w:tc>
          <w:tcPr>
            <w:tcW w:type="dxa" w:w="2160"/>
            <w:shd w:val="clear" w:color="auto" w:fill="EEF2F7"/>
          </w:tcPr>
          <w:p>
            <w:pPr>
              <w:spacing w:after="0" w:before="0" w:line="240" w:lineRule="auto"/>
              <w:jc w:val="left"/>
            </w:pPr>
            <w:r>
              <w:rPr>
                <w:b/>
                <w:color w:val="1A2E4A"/>
              </w:rPr>
              <w:t>Unit price</w:t>
            </w:r>
          </w:p>
        </w:tc>
        <w:tc>
          <w:tcPr>
            <w:tcW w:type="dxa" w:w="2160"/>
            <w:shd w:val="clear" w:color="auto" w:fill="EEF2F7"/>
          </w:tcPr>
          <w:p>
            <w:pPr>
              <w:spacing w:after="0" w:before="0" w:line="240" w:lineRule="auto"/>
              <w:jc w:val="left"/>
            </w:pPr>
            <w:r>
              <w:rPr>
                <w:b/>
                <w:color w:val="1A2E4A"/>
              </w:rPr>
              <w:t>Extended price</w:t>
            </w:r>
          </w:p>
        </w:tc>
      </w:tr>
      <w:tr>
        <w:tc>
          <w:tcPr>
            <w:tcW w:type="dxa" w:w="2160"/>
          </w:tcPr>
          <w:p>
            <w:pPr>
              <w:spacing w:after="0" w:before="0" w:line="240" w:lineRule="auto"/>
              <w:jc w:val="left"/>
            </w:pPr>
            <w:r>
              <w:t>1</w:t>
            </w:r>
          </w:p>
        </w:tc>
        <w:tc>
          <w:tcPr>
            <w:tcW w:type="dxa" w:w="2160"/>
          </w:tcPr>
          <w:p>
            <w:pPr>
              <w:spacing w:after="0" w:before="0" w:line="240" w:lineRule="auto"/>
              <w:jc w:val="left"/>
            </w:pPr>
            <w:r>
              <w:t>Automated test bench</w:t>
            </w:r>
          </w:p>
        </w:tc>
        <w:tc>
          <w:tcPr>
            <w:tcW w:type="dxa" w:w="2160"/>
          </w:tcPr>
          <w:p>
            <w:pPr>
              <w:spacing w:after="0" w:before="0" w:line="240" w:lineRule="auto"/>
              <w:jc w:val="left"/>
            </w:pPr>
            <w:r>
              <w:t>1</w:t>
            </w:r>
          </w:p>
        </w:tc>
        <w:tc>
          <w:tcPr>
            <w:tcW w:type="dxa" w:w="2160"/>
          </w:tcPr>
          <w:p>
            <w:pPr>
              <w:spacing w:after="0" w:before="0" w:line="240" w:lineRule="auto"/>
              <w:jc w:val="left"/>
            </w:pPr>
            <w:r>
              <w:t>₹12,00,000</w:t>
            </w:r>
          </w:p>
        </w:tc>
        <w:tc>
          <w:tcPr>
            <w:tcW w:type="dxa" w:w="2160"/>
          </w:tcPr>
          <w:p>
            <w:pPr>
              <w:spacing w:after="0" w:before="0" w:line="240" w:lineRule="auto"/>
              <w:jc w:val="left"/>
            </w:pPr>
            <w:r>
              <w:t>₹12,00,000</w:t>
            </w:r>
          </w:p>
        </w:tc>
      </w:tr>
      <w:tr>
        <w:tc>
          <w:tcPr>
            <w:tcW w:type="dxa" w:w="2160"/>
          </w:tcPr>
          <w:p>
            <w:pPr>
              <w:spacing w:after="0" w:before="0" w:line="240" w:lineRule="auto"/>
              <w:jc w:val="left"/>
            </w:pPr>
            <w:r>
              <w:t>2</w:t>
            </w:r>
          </w:p>
        </w:tc>
        <w:tc>
          <w:tcPr>
            <w:tcW w:type="dxa" w:w="2160"/>
          </w:tcPr>
          <w:p>
            <w:pPr>
              <w:spacing w:after="0" w:before="0" w:line="240" w:lineRule="auto"/>
              <w:jc w:val="left"/>
            </w:pPr>
            <w:r>
              <w:t>Additional measurement module</w:t>
            </w:r>
          </w:p>
        </w:tc>
        <w:tc>
          <w:tcPr>
            <w:tcW w:type="dxa" w:w="2160"/>
          </w:tcPr>
          <w:p>
            <w:pPr>
              <w:spacing w:after="0" w:before="0" w:line="240" w:lineRule="auto"/>
              <w:jc w:val="left"/>
            </w:pPr>
            <w:r>
              <w:t>2</w:t>
            </w:r>
          </w:p>
        </w:tc>
        <w:tc>
          <w:tcPr>
            <w:tcW w:type="dxa" w:w="2160"/>
          </w:tcPr>
          <w:p>
            <w:pPr>
              <w:spacing w:after="0" w:before="0" w:line="240" w:lineRule="auto"/>
              <w:jc w:val="left"/>
            </w:pPr>
            <w:r>
              <w:t>₹75,000</w:t>
            </w:r>
          </w:p>
        </w:tc>
        <w:tc>
          <w:tcPr>
            <w:tcW w:type="dxa" w:w="2160"/>
          </w:tcPr>
          <w:p>
            <w:pPr>
              <w:spacing w:after="0" w:before="0" w:line="240" w:lineRule="auto"/>
              <w:jc w:val="left"/>
            </w:pPr>
            <w:r>
              <w:t>₹1,50,000</w:t>
            </w:r>
          </w:p>
        </w:tc>
      </w:tr>
      <w:tr>
        <w:tc>
          <w:tcPr>
            <w:tcW w:type="dxa" w:w="2160"/>
          </w:tcPr>
          <w:p>
            <w:pPr>
              <w:spacing w:after="0" w:before="0" w:line="240" w:lineRule="auto"/>
              <w:jc w:val="left"/>
            </w:pPr>
            <w:r>
              <w:t>3</w:t>
            </w:r>
          </w:p>
        </w:tc>
        <w:tc>
          <w:tcPr>
            <w:tcW w:type="dxa" w:w="2160"/>
          </w:tcPr>
          <w:p>
            <w:pPr>
              <w:spacing w:after="0" w:before="0" w:line="240" w:lineRule="auto"/>
              <w:jc w:val="left"/>
            </w:pPr>
            <w:r>
              <w:t>Engineering software license</w:t>
            </w:r>
          </w:p>
        </w:tc>
        <w:tc>
          <w:tcPr>
            <w:tcW w:type="dxa" w:w="2160"/>
          </w:tcPr>
          <w:p>
            <w:pPr>
              <w:spacing w:after="0" w:before="0" w:line="240" w:lineRule="auto"/>
              <w:jc w:val="left"/>
            </w:pPr>
            <w:r>
              <w:t>1</w:t>
            </w:r>
          </w:p>
        </w:tc>
        <w:tc>
          <w:tcPr>
            <w:tcW w:type="dxa" w:w="2160"/>
          </w:tcPr>
          <w:p>
            <w:pPr>
              <w:spacing w:after="0" w:before="0" w:line="240" w:lineRule="auto"/>
              <w:jc w:val="left"/>
            </w:pPr>
            <w:r>
              <w:t>₹90,000</w:t>
            </w:r>
          </w:p>
        </w:tc>
        <w:tc>
          <w:tcPr>
            <w:tcW w:type="dxa" w:w="2160"/>
          </w:tcPr>
          <w:p>
            <w:pPr>
              <w:spacing w:after="0" w:before="0" w:line="240" w:lineRule="auto"/>
              <w:jc w:val="left"/>
            </w:pPr>
            <w:r>
              <w:t>₹90,000</w:t>
            </w:r>
          </w:p>
        </w:tc>
      </w:tr>
      <w:tr>
        <w:tc>
          <w:tcPr>
            <w:tcW w:type="dxa" w:w="2160"/>
          </w:tcPr>
          <w:p>
            <w:pPr>
              <w:spacing w:after="0" w:before="0" w:line="240" w:lineRule="auto"/>
              <w:jc w:val="left"/>
            </w:pPr>
            <w:r>
              <w:t>4</w:t>
            </w:r>
          </w:p>
        </w:tc>
        <w:tc>
          <w:tcPr>
            <w:tcW w:type="dxa" w:w="2160"/>
          </w:tcPr>
          <w:p>
            <w:pPr>
              <w:spacing w:after="0" w:before="0" w:line="240" w:lineRule="auto"/>
              <w:jc w:val="left"/>
            </w:pPr>
            <w:r>
              <w:t>Initial recommended spare kit</w:t>
            </w:r>
          </w:p>
        </w:tc>
        <w:tc>
          <w:tcPr>
            <w:tcW w:type="dxa" w:w="2160"/>
          </w:tcPr>
          <w:p>
            <w:pPr>
              <w:spacing w:after="0" w:before="0" w:line="240" w:lineRule="auto"/>
              <w:jc w:val="left"/>
            </w:pPr>
            <w:r>
              <w:t>1</w:t>
            </w:r>
          </w:p>
        </w:tc>
        <w:tc>
          <w:tcPr>
            <w:tcW w:type="dxa" w:w="2160"/>
          </w:tcPr>
          <w:p>
            <w:pPr>
              <w:spacing w:after="0" w:before="0" w:line="240" w:lineRule="auto"/>
              <w:jc w:val="left"/>
            </w:pPr>
            <w:r>
              <w:t>₹60,000</w:t>
            </w:r>
          </w:p>
        </w:tc>
        <w:tc>
          <w:tcPr>
            <w:tcW w:type="dxa" w:w="2160"/>
          </w:tcPr>
          <w:p>
            <w:pPr>
              <w:spacing w:after="0" w:before="0" w:line="240" w:lineRule="auto"/>
              <w:jc w:val="left"/>
            </w:pPr>
            <w:r>
              <w:t>₹60,000</w:t>
            </w:r>
          </w:p>
        </w:tc>
      </w:tr>
      <w:tr>
        <w:tc>
          <w:tcPr>
            <w:tcW w:type="dxa" w:w="2160"/>
          </w:tcPr>
          <w:p>
            <w:pPr>
              <w:spacing w:after="0" w:before="0" w:line="240" w:lineRule="auto"/>
              <w:jc w:val="left"/>
            </w:pPr>
          </w:p>
        </w:tc>
        <w:tc>
          <w:tcPr>
            <w:tcW w:type="dxa" w:w="2160"/>
          </w:tcPr>
          <w:p>
            <w:pPr>
              <w:spacing w:after="0" w:before="0" w:line="240" w:lineRule="auto"/>
              <w:jc w:val="left"/>
            </w:pPr>
            <w:r>
              <w:t>Total equipment supply value</w:t>
            </w:r>
          </w:p>
        </w:tc>
        <w:tc>
          <w:tcPr>
            <w:tcW w:type="dxa" w:w="2160"/>
          </w:tcPr>
          <w:p>
            <w:pPr>
              <w:spacing w:after="0" w:before="0" w:line="240" w:lineRule="auto"/>
              <w:jc w:val="left"/>
            </w:pPr>
          </w:p>
        </w:tc>
        <w:tc>
          <w:tcPr>
            <w:tcW w:type="dxa" w:w="2160"/>
          </w:tcPr>
          <w:p>
            <w:pPr>
              <w:spacing w:after="0" w:before="0" w:line="240" w:lineRule="auto"/>
              <w:jc w:val="left"/>
            </w:pPr>
          </w:p>
        </w:tc>
        <w:tc>
          <w:tcPr>
            <w:tcW w:type="dxa" w:w="2160"/>
          </w:tcPr>
          <w:p>
            <w:pPr>
              <w:spacing w:after="0" w:before="0" w:line="240" w:lineRule="auto"/>
              <w:jc w:val="left"/>
            </w:pPr>
            <w:r>
              <w:t>₹15,00,000</w:t>
            </w:r>
          </w:p>
        </w:tc>
      </w:tr>
    </w:tbl>
    <w:p/>
    <w:p>
      <w:r>
        <w:t>This is an illustrative quotation structure. Actual quotations may use different line items and may bundle some of these costs into the base price.</w:t>
      </w:r>
    </w:p>
    <w:p>
      <w:pPr>
        <w:pStyle w:val="Heading2"/>
      </w:pPr>
      <w:r>
        <w:t>6. Calculating equipment cost</w:t>
      </w:r>
    </w:p>
    <w:p>
      <w:pPr>
        <w:pStyle w:val="Heading3"/>
      </w:pPr>
      <w:r>
        <w:t>6.1 Extended line-item price</w:t>
      </w:r>
    </w:p>
    <w:p>
      <w:r>
        <w:t>For each quotation line:</w:t>
      </w:r>
    </w:p>
    <w:p>
      <w:pPr>
        <w:spacing w:before="120" w:after="160"/>
        <w:jc w:val="center"/>
      </w:pPr>
      <m:oMathPara>
        <m:oMath>
          <m:r>
            <m:rPr>
              <m:nor/>
            </m:rPr>
            <m:t>Extended Price</m:t>
          </m:r>
          <m:r>
            <m:t>=</m:t>
          </m:r>
          <m:r>
            <m:rPr>
              <m:nor/>
            </m:rPr>
            <m:t>Quantity</m:t>
          </m:r>
          <m:r>
            <m:t>×</m:t>
          </m:r>
          <m:r>
            <m:rPr>
              <m:nor/>
            </m:rPr>
            <m:t>Unit Price</m:t>
          </m:r>
        </m:oMath>
      </m:oMathPara>
    </w:p>
    <w:p>
      <w:r>
        <w:t>For three identical devices priced at ₹45,000 each:</w:t>
      </w:r>
    </w:p>
    <w:p>
      <w:pPr>
        <w:spacing w:before="120" w:after="160"/>
        <w:jc w:val="center"/>
      </w:pPr>
      <m:oMathPara>
        <m:oMath>
          <m:r>
            <m:rPr>
              <m:nor/>
            </m:rPr>
            <m:t>Extended Price</m:t>
          </m:r>
          <m:r>
            <m:t>=3×₹45</m:t>
          </m:r>
          <m:r>
            <m:t>,</m:t>
          </m:r>
          <m:r>
            <m:t>000=₹1</m:t>
          </m:r>
          <m:r>
            <m:t>,</m:t>
          </m:r>
          <m:r>
            <m:t>35</m:t>
          </m:r>
          <m:r>
            <m:t>,</m:t>
          </m:r>
          <m:r>
            <m:t>000</m:t>
          </m:r>
        </m:oMath>
      </m:oMathPara>
    </w:p>
    <w:p>
      <w:pPr>
        <w:pStyle w:val="Heading3"/>
      </w:pPr>
      <w:r>
        <w:t>6.2 Total equipment supply value</w:t>
      </w:r>
    </w:p>
    <w:p>
      <w:pPr>
        <w:spacing w:before="120" w:after="160"/>
        <w:jc w:val="center"/>
      </w:pPr>
      <m:oMathPara>
        <m:oMath>
          <m:r>
            <m:rPr>
              <m:nor/>
            </m:rPr>
            <m:t>Equipment Supply Value</m:t>
          </m:r>
          <m:r>
            <m:t>=∑</m:t>
          </m:r>
          <m:r>
            <m:rPr>
              <m:nor/>
            </m:rPr>
            <m:t>Extended Prices of Included Items</m:t>
          </m:r>
        </m:oMath>
      </m:oMathPara>
    </w:p>
    <w:p>
      <w:r>
        <w:t>The total should include only the items defined within the equipment supply scope. Installation or commissioning should not be added again if already included in a bundled price.</w:t>
      </w:r>
    </w:p>
    <w:p>
      <w:pPr>
        <w:pStyle w:val="Heading3"/>
      </w:pPr>
      <w:r>
        <w:t>6.3 Landed equipment cost</w:t>
      </w:r>
    </w:p>
    <w:p>
      <w:r>
        <w:t>For imported or transported equipment, the landed cost may include equipment purchase price and applicable delivery-related costs.</w:t>
      </w:r>
    </w:p>
    <w:p>
      <w:pPr>
        <w:spacing w:before="120" w:after="160"/>
        <w:jc w:val="center"/>
      </w:pPr>
      <m:oMathPara>
        <m:oMath>
          <m:r>
            <m:rPr>
              <m:nor/>
            </m:rPr>
            <m:t>Landed Cost</m:t>
          </m:r>
          <m:r>
            <m:t>=</m:t>
          </m:r>
          <m:r>
            <m:rPr>
              <m:nor/>
            </m:rPr>
            <m:t>Purchase Price</m:t>
          </m:r>
          <m:r>
            <m:t>+</m:t>
          </m:r>
          <m:r>
            <m:rPr>
              <m:nor/>
            </m:rPr>
            <m:t>Freight</m:t>
          </m:r>
          <m:r>
            <m:t>+</m:t>
          </m:r>
          <m:r>
            <m:rPr>
              <m:nor/>
            </m:rPr>
            <m:t>Insurance</m:t>
          </m:r>
          <m:r>
            <m:t>+</m:t>
          </m:r>
          <m:r>
            <m:rPr>
              <m:nor/>
            </m:rPr>
            <m:t>Applicable Duties and Charges</m:t>
          </m:r>
        </m:oMath>
      </m:oMathPara>
    </w:p>
    <w:p>
      <w:r>
        <w:t>The precise calculation depends on the agreed delivery terms, tax treatment, customs requirements, and whether particular costs are already included.</w:t>
      </w:r>
    </w:p>
    <w:p>
      <w:r>
        <w:t>Avoid double-counting. For example, if the quoted price already includes freight to the plant, freight should not be added a second time.</w:t>
      </w:r>
    </w:p>
    <w:p>
      <w:pPr>
        <w:pStyle w:val="Heading2"/>
      </w:pPr>
      <w:r>
        <w:t>7. Taxes, duties, and currency</w:t>
      </w:r>
    </w:p>
    <w:p>
      <w:r>
        <w:t>Taxes and import charges can materially affect the final procurement cost.</w:t>
      </w:r>
    </w:p>
    <w:p>
      <w:r>
        <w:t>The commercial evaluation should establish:</w:t>
      </w:r>
    </w:p>
    <w:p>
      <w:pPr>
        <w:pStyle w:val="ListBullet"/>
      </w:pPr>
      <w:r>
        <w:t>Whether the price includes or excludes GST.</w:t>
      </w:r>
    </w:p>
    <w:p>
      <w:pPr>
        <w:pStyle w:val="ListBullet"/>
      </w:pPr>
      <w:r>
        <w:t>Applicable tax rates and the basis for applying them.</w:t>
      </w:r>
    </w:p>
    <w:p>
      <w:pPr>
        <w:pStyle w:val="ListBullet"/>
      </w:pPr>
      <w:r>
        <w:t>Whether input tax credit is available to the buyer.</w:t>
      </w:r>
    </w:p>
    <w:p>
      <w:pPr>
        <w:pStyle w:val="ListBullet"/>
      </w:pPr>
      <w:r>
        <w:t>Whether customs duties or import charges apply.</w:t>
      </w:r>
    </w:p>
    <w:p>
      <w:pPr>
        <w:pStyle w:val="ListBullet"/>
      </w:pPr>
      <w:r>
        <w:t>Whether freight and insurance are included.</w:t>
      </w:r>
    </w:p>
    <w:p>
      <w:pPr>
        <w:pStyle w:val="ListBullet"/>
      </w:pPr>
      <w:r>
        <w:t>The quotation currency and payment currency.</w:t>
      </w:r>
    </w:p>
    <w:p>
      <w:pPr>
        <w:pStyle w:val="ListBullet"/>
      </w:pPr>
      <w:r>
        <w:t>Exchange-rate assumptions for imported equipment.</w:t>
      </w:r>
    </w:p>
    <w:p>
      <w:pPr>
        <w:pStyle w:val="ListBullet"/>
      </w:pPr>
      <w:r>
        <w:t>Who bears exchange-rate variation.</w:t>
      </w:r>
    </w:p>
    <w:p>
      <w:pPr>
        <w:pStyle w:val="ListBullet"/>
      </w:pPr>
      <w:r>
        <w:t>Whether taxes or duties may change before delivery.</w:t>
      </w:r>
    </w:p>
    <w:p>
      <w:pPr>
        <w:pStyle w:val="Heading3"/>
      </w:pPr>
      <w:r>
        <w:t>Example: GST treatment</w:t>
      </w:r>
    </w:p>
    <w:p>
      <w:r>
        <w:t>Assume an equipment price of ₹10,00,000 before GST and an illustrative GST rate of 18%.</w:t>
      </w:r>
    </w:p>
    <w:p>
      <w:pPr>
        <w:spacing w:before="120" w:after="160"/>
        <w:jc w:val="center"/>
      </w:pPr>
      <m:oMathPara>
        <m:oMath>
          <m:r>
            <m:rPr>
              <m:nor/>
            </m:rPr>
            <m:t>GST</m:t>
          </m:r>
          <m:r>
            <m:t>=₹10</m:t>
          </m:r>
          <m:r>
            <m:t>,</m:t>
          </m:r>
          <m:r>
            <m:t>00</m:t>
          </m:r>
          <m:r>
            <m:t>,</m:t>
          </m:r>
          <m:r>
            <m:t>000×0.18=₹1</m:t>
          </m:r>
          <m:r>
            <m:t>,</m:t>
          </m:r>
          <m:r>
            <m:t>80</m:t>
          </m:r>
          <m:r>
            <m:t>,</m:t>
          </m:r>
          <m:r>
            <m:t>000</m:t>
          </m:r>
        </m:oMath>
      </m:oMathPara>
    </w:p>
    <w:p>
      <w:pPr>
        <w:spacing w:before="120" w:after="160"/>
        <w:jc w:val="center"/>
      </w:pPr>
      <m:oMathPara>
        <m:oMath>
          <m:r>
            <m:rPr>
              <m:nor/>
            </m:rPr>
            <m:t>Invoice Total</m:t>
          </m:r>
          <m:r>
            <m:t>=₹10</m:t>
          </m:r>
          <m:r>
            <m:t>,</m:t>
          </m:r>
          <m:r>
            <m:t>00</m:t>
          </m:r>
          <m:r>
            <m:t>,</m:t>
          </m:r>
          <m:r>
            <m:t>000+₹1</m:t>
          </m:r>
          <m:r>
            <m:t>,</m:t>
          </m:r>
          <m:r>
            <m:t>80</m:t>
          </m:r>
          <m:r>
            <m:t>,</m:t>
          </m:r>
          <m:r>
            <m:t>000=₹11</m:t>
          </m:r>
          <m:r>
            <m:t>,</m:t>
          </m:r>
          <m:r>
            <m:t>80</m:t>
          </m:r>
          <m:r>
            <m:t>,</m:t>
          </m:r>
          <m:r>
            <m:t>000</m:t>
          </m:r>
        </m:oMath>
      </m:oMathPara>
    </w:p>
    <w:p>
      <w:r>
        <w:t>The applicable tax rate and eligibility for input tax credit must be confirmed for the actual transaction. The invoice total is not necessarily the final economic cost if recoverable tax credits apply.</w:t>
      </w:r>
    </w:p>
    <w:p>
      <w:pPr>
        <w:pStyle w:val="Heading2"/>
      </w:pPr>
      <w:r>
        <w:t>8. Equipment cost comparison between suppliers</w:t>
      </w:r>
    </w:p>
    <w:p>
      <w:r>
        <w:t>Supplier comparison must use a common technical and commercial basis.</w:t>
      </w:r>
    </w:p>
    <w:p>
      <w:r>
        <w:t>Suppose two suppliers offer equipment for the same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element</w:t>
            </w:r>
          </w:p>
        </w:tc>
        <w:tc>
          <w:tcPr>
            <w:tcW w:type="dxa" w:w="3600"/>
            <w:shd w:val="clear" w:color="auto" w:fill="EEF2F7"/>
          </w:tcPr>
          <w:p>
            <w:pPr>
              <w:spacing w:after="0" w:before="0" w:line="240" w:lineRule="auto"/>
              <w:jc w:val="left"/>
            </w:pPr>
            <w:r>
              <w:rPr>
                <w:b/>
                <w:color w:val="1A2E4A"/>
              </w:rPr>
              <w:t>Supplier A</w:t>
            </w:r>
          </w:p>
        </w:tc>
        <w:tc>
          <w:tcPr>
            <w:tcW w:type="dxa" w:w="3600"/>
            <w:shd w:val="clear" w:color="auto" w:fill="EEF2F7"/>
          </w:tcPr>
          <w:p>
            <w:pPr>
              <w:spacing w:after="0" w:before="0" w:line="240" w:lineRule="auto"/>
              <w:jc w:val="left"/>
            </w:pPr>
            <w:r>
              <w:rPr>
                <w:b/>
                <w:color w:val="1A2E4A"/>
              </w:rPr>
              <w:t>Supplier B</w:t>
            </w:r>
          </w:p>
        </w:tc>
      </w:tr>
      <w:tr>
        <w:tc>
          <w:tcPr>
            <w:tcW w:type="dxa" w:w="3600"/>
          </w:tcPr>
          <w:p>
            <w:pPr>
              <w:spacing w:after="0" w:before="0" w:line="240" w:lineRule="auto"/>
              <w:jc w:val="left"/>
            </w:pPr>
            <w:r>
              <w:t>Base equipment</w:t>
            </w:r>
          </w:p>
        </w:tc>
        <w:tc>
          <w:tcPr>
            <w:tcW w:type="dxa" w:w="3600"/>
          </w:tcPr>
          <w:p>
            <w:pPr>
              <w:spacing w:after="0" w:before="0" w:line="240" w:lineRule="auto"/>
              <w:jc w:val="left"/>
            </w:pPr>
            <w:r>
              <w:t>₹12,00,000</w:t>
            </w:r>
          </w:p>
        </w:tc>
        <w:tc>
          <w:tcPr>
            <w:tcW w:type="dxa" w:w="3600"/>
          </w:tcPr>
          <w:p>
            <w:pPr>
              <w:spacing w:after="0" w:before="0" w:line="240" w:lineRule="auto"/>
              <w:jc w:val="left"/>
            </w:pPr>
            <w:r>
              <w:t>₹11,20,000</w:t>
            </w:r>
          </w:p>
        </w:tc>
      </w:tr>
      <w:tr>
        <w:tc>
          <w:tcPr>
            <w:tcW w:type="dxa" w:w="3600"/>
          </w:tcPr>
          <w:p>
            <w:pPr>
              <w:spacing w:after="0" w:before="0" w:line="240" w:lineRule="auto"/>
              <w:jc w:val="left"/>
            </w:pPr>
            <w:r>
              <w:t>Required accessories</w:t>
            </w:r>
          </w:p>
        </w:tc>
        <w:tc>
          <w:tcPr>
            <w:tcW w:type="dxa" w:w="3600"/>
          </w:tcPr>
          <w:p>
            <w:pPr>
              <w:spacing w:after="0" w:before="0" w:line="240" w:lineRule="auto"/>
              <w:jc w:val="left"/>
            </w:pPr>
            <w:r>
              <w:t>₹80,000</w:t>
            </w:r>
          </w:p>
        </w:tc>
        <w:tc>
          <w:tcPr>
            <w:tcW w:type="dxa" w:w="3600"/>
          </w:tcPr>
          <w:p>
            <w:pPr>
              <w:spacing w:after="0" w:before="0" w:line="240" w:lineRule="auto"/>
              <w:jc w:val="left"/>
            </w:pPr>
            <w:r>
              <w:t>₹1,40,000</w:t>
            </w:r>
          </w:p>
        </w:tc>
      </w:tr>
      <w:tr>
        <w:tc>
          <w:tcPr>
            <w:tcW w:type="dxa" w:w="3600"/>
          </w:tcPr>
          <w:p>
            <w:pPr>
              <w:spacing w:after="0" w:before="0" w:line="240" w:lineRule="auto"/>
              <w:jc w:val="left"/>
            </w:pPr>
            <w:r>
              <w:t>Software and licenses</w:t>
            </w:r>
          </w:p>
        </w:tc>
        <w:tc>
          <w:tcPr>
            <w:tcW w:type="dxa" w:w="3600"/>
          </w:tcPr>
          <w:p>
            <w:pPr>
              <w:spacing w:after="0" w:before="0" w:line="240" w:lineRule="auto"/>
              <w:jc w:val="left"/>
            </w:pPr>
            <w:r>
              <w:t>₹50,000</w:t>
            </w:r>
          </w:p>
        </w:tc>
        <w:tc>
          <w:tcPr>
            <w:tcW w:type="dxa" w:w="3600"/>
          </w:tcPr>
          <w:p>
            <w:pPr>
              <w:spacing w:after="0" w:before="0" w:line="240" w:lineRule="auto"/>
              <w:jc w:val="left"/>
            </w:pPr>
            <w:r>
              <w:t>₹90,000</w:t>
            </w:r>
          </w:p>
        </w:tc>
      </w:tr>
      <w:tr>
        <w:tc>
          <w:tcPr>
            <w:tcW w:type="dxa" w:w="3600"/>
          </w:tcPr>
          <w:p>
            <w:pPr>
              <w:spacing w:after="0" w:before="0" w:line="240" w:lineRule="auto"/>
              <w:jc w:val="left"/>
            </w:pPr>
            <w:r>
              <w:t>Initial spare kit</w:t>
            </w:r>
          </w:p>
        </w:tc>
        <w:tc>
          <w:tcPr>
            <w:tcW w:type="dxa" w:w="3600"/>
          </w:tcPr>
          <w:p>
            <w:pPr>
              <w:spacing w:after="0" w:before="0" w:line="240" w:lineRule="auto"/>
              <w:jc w:val="left"/>
            </w:pPr>
            <w:r>
              <w:t>₹40,000</w:t>
            </w:r>
          </w:p>
        </w:tc>
        <w:tc>
          <w:tcPr>
            <w:tcW w:type="dxa" w:w="3600"/>
          </w:tcPr>
          <w:p>
            <w:pPr>
              <w:spacing w:after="0" w:before="0" w:line="240" w:lineRule="auto"/>
              <w:jc w:val="left"/>
            </w:pPr>
            <w:r>
              <w:t>₹60,000</w:t>
            </w:r>
          </w:p>
        </w:tc>
      </w:tr>
      <w:tr>
        <w:tc>
          <w:tcPr>
            <w:tcW w:type="dxa" w:w="3600"/>
          </w:tcPr>
          <w:p>
            <w:pPr>
              <w:spacing w:after="0" w:before="0" w:line="240" w:lineRule="auto"/>
              <w:jc w:val="left"/>
            </w:pPr>
            <w:r>
              <w:t>Equipment supply subtotal</w:t>
            </w:r>
          </w:p>
        </w:tc>
        <w:tc>
          <w:tcPr>
            <w:tcW w:type="dxa" w:w="3600"/>
          </w:tcPr>
          <w:p>
            <w:pPr>
              <w:spacing w:after="0" w:before="0" w:line="240" w:lineRule="auto"/>
              <w:jc w:val="left"/>
            </w:pPr>
            <w:r>
              <w:t>₹13,70,000</w:t>
            </w:r>
          </w:p>
        </w:tc>
        <w:tc>
          <w:tcPr>
            <w:tcW w:type="dxa" w:w="3600"/>
          </w:tcPr>
          <w:p>
            <w:pPr>
              <w:spacing w:after="0" w:before="0" w:line="240" w:lineRule="auto"/>
              <w:jc w:val="left"/>
            </w:pPr>
            <w:r>
              <w:t>₹14,10,000</w:t>
            </w:r>
          </w:p>
        </w:tc>
      </w:tr>
    </w:tbl>
    <w:p/>
    <w:p>
      <w:r>
        <w:t>Supplier B has a lower base equipment price, but its total equipment supply value is higher because its accessories, licenses, and spares cost more.</w:t>
      </w:r>
    </w:p>
    <w:p>
      <w:r>
        <w:t>This comparison is still incomplete if the quotations differ in delivery, warranty, performance, testing, or technical compliance.</w:t>
      </w:r>
    </w:p>
    <w:p>
      <w:r>
        <w:t>A proper comparison should confirm that both offers include the same required functionality and deliverables.</w:t>
      </w:r>
    </w:p>
    <w:p>
      <w:pPr>
        <w:pStyle w:val="Heading2"/>
      </w:pPr>
      <w:r>
        <w:t>9. Technical normalization before price comparison</w:t>
      </w:r>
    </w:p>
    <w:p>
      <w:r>
        <w:t>Technical normalization means adjusting the comparison basis so that differences in scope and compliance are visible before selecting a supplier.</w:t>
      </w:r>
    </w:p>
    <w:p>
      <w:r>
        <w:t>A practical sequence is:</w:t>
      </w:r>
    </w:p>
    <w:p>
      <w:pPr>
        <w:tabs>
          <w:tab w:pos="403" w:val="left"/>
        </w:tabs>
        <w:spacing w:after="40" w:line="276" w:lineRule="auto"/>
        <w:ind w:left="403" w:hanging="403"/>
        <w:jc w:val="left"/>
      </w:pPr>
      <w:r>
        <w:rPr>
          <w:color w:val="1A2E4A"/>
        </w:rPr>
        <w:t>1.</w:t>
        <w:tab/>
      </w:r>
      <w:r>
        <w:t>Establish the mandatory technical requirements.</w:t>
      </w:r>
    </w:p>
    <w:p>
      <w:pPr>
        <w:tabs>
          <w:tab w:pos="403" w:val="left"/>
        </w:tabs>
        <w:spacing w:after="40" w:line="276" w:lineRule="auto"/>
        <w:ind w:left="403" w:hanging="403"/>
        <w:jc w:val="left"/>
      </w:pPr>
      <w:r>
        <w:rPr>
          <w:color w:val="1A2E4A"/>
        </w:rPr>
        <w:t>2.</w:t>
        <w:tab/>
      </w:r>
      <w:r>
        <w:t>Identify compliant and noncompliant offers.</w:t>
      </w:r>
    </w:p>
    <w:p>
      <w:pPr>
        <w:tabs>
          <w:tab w:pos="403" w:val="left"/>
        </w:tabs>
        <w:spacing w:after="40" w:line="276" w:lineRule="auto"/>
        <w:ind w:left="403" w:hanging="403"/>
        <w:jc w:val="left"/>
      </w:pPr>
      <w:r>
        <w:rPr>
          <w:color w:val="1A2E4A"/>
        </w:rPr>
        <w:t>3.</w:t>
        <w:tab/>
      </w:r>
      <w:r>
        <w:t>Record deviations and exclusions.</w:t>
      </w:r>
    </w:p>
    <w:p>
      <w:pPr>
        <w:tabs>
          <w:tab w:pos="403" w:val="left"/>
        </w:tabs>
        <w:spacing w:after="40" w:line="276" w:lineRule="auto"/>
        <w:ind w:left="403" w:hanging="403"/>
        <w:jc w:val="left"/>
      </w:pPr>
      <w:r>
        <w:rPr>
          <w:color w:val="1A2E4A"/>
        </w:rPr>
        <w:t>4.</w:t>
        <w:tab/>
      </w:r>
      <w:r>
        <w:t>Identify missing mandatory items.</w:t>
      </w:r>
    </w:p>
    <w:p>
      <w:pPr>
        <w:tabs>
          <w:tab w:pos="403" w:val="left"/>
        </w:tabs>
        <w:spacing w:after="40" w:line="276" w:lineRule="auto"/>
        <w:ind w:left="403" w:hanging="403"/>
        <w:jc w:val="left"/>
      </w:pPr>
      <w:r>
        <w:rPr>
          <w:color w:val="1A2E4A"/>
        </w:rPr>
        <w:t>5.</w:t>
        <w:tab/>
      </w:r>
      <w:r>
        <w:t>Determine the cost of bringing each offer to the required scope.</w:t>
      </w:r>
    </w:p>
    <w:p>
      <w:pPr>
        <w:tabs>
          <w:tab w:pos="403" w:val="left"/>
        </w:tabs>
        <w:spacing w:after="40" w:line="276" w:lineRule="auto"/>
        <w:ind w:left="403" w:hanging="403"/>
        <w:jc w:val="left"/>
      </w:pPr>
      <w:r>
        <w:rPr>
          <w:color w:val="1A2E4A"/>
        </w:rPr>
        <w:t>6.</w:t>
        <w:tab/>
      </w:r>
      <w:r>
        <w:t>Separate mandatory corrections from optional enhancements.</w:t>
      </w:r>
    </w:p>
    <w:p>
      <w:pPr>
        <w:tabs>
          <w:tab w:pos="403" w:val="left"/>
        </w:tabs>
        <w:spacing w:after="40" w:line="276" w:lineRule="auto"/>
        <w:ind w:left="403" w:hanging="403"/>
        <w:jc w:val="left"/>
      </w:pPr>
      <w:r>
        <w:rPr>
          <w:color w:val="1A2E4A"/>
        </w:rPr>
        <w:t>7.</w:t>
        <w:tab/>
      </w:r>
      <w:r>
        <w:t>Compare normalized commercial totals.</w:t>
      </w:r>
    </w:p>
    <w:p>
      <w:pPr>
        <w:tabs>
          <w:tab w:pos="403" w:val="left"/>
        </w:tabs>
        <w:spacing w:after="40" w:line="276" w:lineRule="auto"/>
        <w:ind w:left="403" w:hanging="403"/>
        <w:jc w:val="left"/>
      </w:pPr>
      <w:r>
        <w:rPr>
          <w:color w:val="1A2E4A"/>
        </w:rPr>
        <w:t>8.</w:t>
        <w:tab/>
      </w:r>
      <w:r>
        <w:t>Evaluate lifecycle support, delivery, warranty, and other commercial conditions.</w:t>
      </w:r>
    </w:p>
    <w:p>
      <w:pPr>
        <w:tabs>
          <w:tab w:pos="403" w:val="left"/>
        </w:tabs>
        <w:spacing w:after="40" w:line="276" w:lineRule="auto"/>
        <w:ind w:left="403" w:hanging="403"/>
        <w:jc w:val="left"/>
      </w:pPr>
      <w:r>
        <w:rPr>
          <w:color w:val="1A2E4A"/>
        </w:rPr>
        <w:t>9.</w:t>
        <w:tab/>
      </w:r>
      <w:r>
        <w:t>Document the final recommendation.</w:t>
      </w:r>
    </w:p>
    <w:p>
      <w:r>
        <w:t>For example, Supplier A includes a required safety scanner, while Supplier B excludes it. Comparing their quoted totals without adjusting for the missing scanner would produce a misleading result.</w:t>
      </w:r>
    </w:p>
    <w:p>
      <w:r>
        <w:t>A normalization adjustment may be estimated as:</w:t>
      </w:r>
    </w:p>
    <w:p>
      <w:pPr>
        <w:spacing w:before="120" w:after="160"/>
        <w:jc w:val="center"/>
      </w:pPr>
      <m:oMathPara>
        <m:oMath>
          <m:r>
            <m:rPr>
              <m:nor/>
            </m:rPr>
            <m:t>Normalized Cost</m:t>
          </m:r>
          <m:r>
            <m:t>=</m:t>
          </m:r>
          <m:r>
            <m:rPr>
              <m:nor/>
            </m:rPr>
            <m:t>Quoted Cost</m:t>
          </m:r>
          <m:r>
            <m:t>+</m:t>
          </m:r>
          <m:r>
            <m:rPr>
              <m:nor/>
            </m:rPr>
            <m:t>Cost of Missing Required Scope</m:t>
          </m:r>
        </m:oMath>
      </m:oMathPara>
    </w:p>
    <w:p>
      <w:r>
        <w:t>This formula is useful only when the adjustment is not already included in the quotation and the missing scope can be priced on a consistent basis.</w:t>
      </w:r>
    </w:p>
    <w:p>
      <w:pPr>
        <w:pStyle w:val="Heading2"/>
      </w:pPr>
      <w:r>
        <w:t>10. Equipment cost and total cost of ownership</w:t>
      </w:r>
    </w:p>
    <w:p>
      <w:r>
        <w:t>Equipment cost is an acquisition measure. Total cost of ownership (TCO) estimates the cost of acquiring, operating, maintaining, and disposing of an asset over its useful life.</w:t>
      </w:r>
    </w:p>
    <w:p>
      <w:r>
        <w:t>A simplified lifecycle model is:</w:t>
      </w:r>
    </w:p>
    <w:p>
      <w:pPr>
        <w:spacing w:before="120" w:after="160"/>
        <w:jc w:val="center"/>
      </w:pPr>
      <m:oMathPara>
        <m:oMath>
          <m:r>
            <m:rPr>
              <m:nor/>
            </m:rPr>
            <m:t>TCO</m:t>
          </m:r>
          <m:r>
            <m:t>=</m:t>
          </m:r>
          <m:r>
            <m:rPr>
              <m:nor/>
            </m:rPr>
            <m:t>Acquisition Cost</m:t>
          </m:r>
          <m:r>
            <m:t>+</m:t>
          </m:r>
          <m:r>
            <m:rPr>
              <m:nor/>
            </m:rPr>
            <m:t>Installation Cost</m:t>
          </m:r>
          <m:r>
            <m:t>+</m:t>
          </m:r>
          <m:r>
            <m:rPr>
              <m:nor/>
            </m:rPr>
            <m:t>Operating Cost</m:t>
          </m:r>
          <m:r>
            <m:t>+</m:t>
          </m:r>
          <m:r>
            <m:rPr>
              <m:nor/>
            </m:rPr>
            <m:t>Maintenance Cost</m:t>
          </m:r>
          <m:r>
            <m:t>+</m:t>
          </m:r>
          <m:r>
            <m:rPr>
              <m:nor/>
            </m:rPr>
            <m:t>Upgrade Cost</m:t>
          </m:r>
          <m:r>
            <m:t>+</m:t>
          </m:r>
          <m:r>
            <m:rPr>
              <m:nor/>
            </m:rPr>
            <m:t>End-of-Life Cost</m:t>
          </m:r>
        </m:oMath>
      </m:oMathPara>
    </w:p>
    <w:p>
      <w:r>
        <w:t>For a more complete analysis, include expected downtime costs, replacement costs, financing effects where relevant, and residual value. Ensure that the selected model does not count the same expense twice.</w:t>
      </w:r>
    </w:p>
    <w:p>
      <w:pPr>
        <w:pStyle w:val="Heading3"/>
      </w:pPr>
      <w:r>
        <w:t>Example</w:t>
      </w:r>
    </w:p>
    <w:p>
      <w:r>
        <w:t>Supplier A offers a machine for ₹20 lakh, while Supplier B offers a comparable machine for ₹18 lakh.</w:t>
      </w:r>
    </w:p>
    <w:p>
      <w:r>
        <w:t>Suppose Supplier A has estimated annual maintenance costs of ₹1 lakh and Supplier B has estimated annual maintenance costs of ₹2 lakh. Over five years, using simple undiscounted figures:</w:t>
      </w:r>
    </w:p>
    <w:p>
      <w:pPr>
        <w:pStyle w:val="ListBullet"/>
      </w:pPr>
      <w:r>
        <w:t xml:space="preserve">Supplier A: ₹20 lakh + </w:t>
      </w:r>
      <m:oMath>
        <m:r>
          <m:t>5×₹1</m:t>
        </m:r>
      </m:oMath>
      <w:r>
        <w:t xml:space="preserve"> lakh = ₹25 lakh.</w:t>
      </w:r>
    </w:p>
    <w:p>
      <w:pPr>
        <w:pStyle w:val="ListBullet"/>
      </w:pPr>
      <w:r>
        <w:t xml:space="preserve">Supplier B: ₹18 lakh + </w:t>
      </w:r>
      <m:oMath>
        <m:r>
          <m:t>5×₹2</m:t>
        </m:r>
      </m:oMath>
      <w:r>
        <w:t xml:space="preserve"> lakh = ₹28 lakh.</w:t>
      </w:r>
    </w:p>
    <w:p>
      <w:r>
        <w:t>Supplier B has the lower purchase price, but Supplier A has the lower estimated purchase-plus-maintenance cost.</w:t>
      </w:r>
    </w:p>
    <w:p>
      <w:r>
        <w:t>This example excludes energy, downtime, installation, upgrades, financing, taxes, and residual value. Those items may change the result.</w:t>
      </w:r>
    </w:p>
    <w:p>
      <w:pPr>
        <w:pStyle w:val="Heading2"/>
      </w:pPr>
      <w:r>
        <w:t>11. Equipment cost in PLC, CNC, HMI, and VFD procurement</w:t>
      </w:r>
    </w:p>
    <w:p>
      <w:r>
        <w:t>For industrial automation, the equipment cost may involve more than the main controller or drive.</w:t>
      </w:r>
    </w:p>
    <w:p>
      <w:pPr>
        <w:pStyle w:val="Heading3"/>
      </w:pPr>
      <w:r>
        <w:t>11.1 PLC systems</w:t>
      </w:r>
    </w:p>
    <w:p>
      <w:r>
        <w:t>Include or verify:</w:t>
      </w:r>
    </w:p>
    <w:p>
      <w:pPr>
        <w:pStyle w:val="ListBullet"/>
      </w:pPr>
      <w:r>
        <w:t>CPU and memory capability.</w:t>
      </w:r>
    </w:p>
    <w:p>
      <w:pPr>
        <w:pStyle w:val="ListBullet"/>
      </w:pPr>
      <w:r>
        <w:t>Power supplies and communication modules.</w:t>
      </w:r>
    </w:p>
    <w:p>
      <w:pPr>
        <w:pStyle w:val="ListBullet"/>
      </w:pPr>
      <w:r>
        <w:t>Local and remote I/O modules.</w:t>
      </w:r>
    </w:p>
    <w:p>
      <w:pPr>
        <w:pStyle w:val="ListBullet"/>
      </w:pPr>
      <w:r>
        <w:t>Required I/O terminal assemblies.</w:t>
      </w:r>
    </w:p>
    <w:p>
      <w:pPr>
        <w:pStyle w:val="ListBullet"/>
      </w:pPr>
      <w:r>
        <w:t>Network adapters and interface modules.</w:t>
      </w:r>
    </w:p>
    <w:p>
      <w:pPr>
        <w:pStyle w:val="ListBullet"/>
      </w:pPr>
      <w:r>
        <w:t>Engineering software and licenses.</w:t>
      </w:r>
    </w:p>
    <w:p>
      <w:pPr>
        <w:pStyle w:val="ListBullet"/>
      </w:pPr>
      <w:r>
        <w:t>Required communication options.</w:t>
      </w:r>
    </w:p>
    <w:p>
      <w:pPr>
        <w:pStyle w:val="ListBullet"/>
      </w:pPr>
      <w:r>
        <w:t>Memory cards and backup media, where applicable.</w:t>
      </w:r>
    </w:p>
    <w:p>
      <w:pPr>
        <w:pStyle w:val="ListBullet"/>
      </w:pPr>
      <w:r>
        <w:t>Programming, configuration, and documentation deliverables.</w:t>
      </w:r>
    </w:p>
    <w:p>
      <w:r>
        <w:t>A PLC CPU price alone is not a reliable estimate of a complete working control system.</w:t>
      </w:r>
    </w:p>
    <w:p>
      <w:pPr>
        <w:pStyle w:val="Heading3"/>
      </w:pPr>
      <w:r>
        <w:t>11.2 CNC systems</w:t>
      </w:r>
    </w:p>
    <w:p>
      <w:r>
        <w:t>Evaluate:</w:t>
      </w:r>
    </w:p>
    <w:p>
      <w:pPr>
        <w:pStyle w:val="ListBullet"/>
      </w:pPr>
      <w:r>
        <w:t>CNC control unit.</w:t>
      </w:r>
    </w:p>
    <w:p>
      <w:pPr>
        <w:pStyle w:val="ListBullet"/>
      </w:pPr>
      <w:r>
        <w:t>Servo drives and spindle drives.</w:t>
      </w:r>
    </w:p>
    <w:p>
      <w:pPr>
        <w:pStyle w:val="ListBullet"/>
      </w:pPr>
      <w:r>
        <w:t>Motors and feedback devices.</w:t>
      </w:r>
    </w:p>
    <w:p>
      <w:pPr>
        <w:pStyle w:val="ListBullet"/>
      </w:pPr>
      <w:r>
        <w:t>Operator panel and display.</w:t>
      </w:r>
    </w:p>
    <w:p>
      <w:pPr>
        <w:pStyle w:val="ListBullet"/>
      </w:pPr>
      <w:r>
        <w:t>Required software options.</w:t>
      </w:r>
    </w:p>
    <w:p>
      <w:pPr>
        <w:pStyle w:val="ListBullet"/>
      </w:pPr>
      <w:r>
        <w:t>Machine-builder integration scope.</w:t>
      </w:r>
    </w:p>
    <w:p>
      <w:pPr>
        <w:pStyle w:val="ListBullet"/>
      </w:pPr>
      <w:r>
        <w:t>Tooling and measurement options.</w:t>
      </w:r>
    </w:p>
    <w:p>
      <w:pPr>
        <w:pStyle w:val="ListBullet"/>
      </w:pPr>
      <w:r>
        <w:t>Parameter backup and restoration arrangements.</w:t>
      </w:r>
    </w:p>
    <w:p>
      <w:pPr>
        <w:pStyle w:val="ListBullet"/>
      </w:pPr>
      <w:r>
        <w:t>Machine accuracy and acceptance requirements.</w:t>
      </w:r>
    </w:p>
    <w:p>
      <w:pPr>
        <w:pStyle w:val="ListBullet"/>
      </w:pPr>
      <w:r>
        <w:t>Support and spare availability.</w:t>
      </w:r>
    </w:p>
    <w:p>
      <w:r>
        <w:t>A control-unit upgrade may also require compatible drives, motors, feedback interfaces, cabling, and machine-builder engineering.</w:t>
      </w:r>
    </w:p>
    <w:p>
      <w:pPr>
        <w:pStyle w:val="Heading3"/>
      </w:pPr>
      <w:r>
        <w:t>11.3 HMI and SCADA</w:t>
      </w:r>
    </w:p>
    <w:p>
      <w:r>
        <w:t>Evaluate:</w:t>
      </w:r>
    </w:p>
    <w:p>
      <w:pPr>
        <w:pStyle w:val="ListBullet"/>
      </w:pPr>
      <w:r>
        <w:t>Hardware or runtime platform.</w:t>
      </w:r>
    </w:p>
    <w:p>
      <w:pPr>
        <w:pStyle w:val="ListBullet"/>
      </w:pPr>
      <w:r>
        <w:t>Display size and environmental suitability.</w:t>
      </w:r>
    </w:p>
    <w:p>
      <w:pPr>
        <w:pStyle w:val="ListBullet"/>
      </w:pPr>
      <w:r>
        <w:t>Software licenses and tag capacity.</w:t>
      </w:r>
    </w:p>
    <w:p>
      <w:pPr>
        <w:pStyle w:val="ListBullet"/>
      </w:pPr>
      <w:r>
        <w:t>Communication drivers.</w:t>
      </w:r>
    </w:p>
    <w:p>
      <w:pPr>
        <w:pStyle w:val="ListBullet"/>
      </w:pPr>
      <w:r>
        <w:t>Historical data and alarm functionality.</w:t>
      </w:r>
    </w:p>
    <w:p>
      <w:pPr>
        <w:pStyle w:val="ListBullet"/>
      </w:pPr>
      <w:r>
        <w:t>Redundancy requirements.</w:t>
      </w:r>
    </w:p>
    <w:p>
      <w:pPr>
        <w:pStyle w:val="ListBullet"/>
      </w:pPr>
      <w:r>
        <w:t>Engineering license requirements.</w:t>
      </w:r>
    </w:p>
    <w:p>
      <w:pPr>
        <w:pStyle w:val="ListBullet"/>
      </w:pPr>
      <w:r>
        <w:t>Database, server, and operating-system dependencies.</w:t>
      </w:r>
    </w:p>
    <w:p>
      <w:pPr>
        <w:pStyle w:val="ListBullet"/>
      </w:pPr>
      <w:r>
        <w:t>Backup, restoration, and migration provisions.</w:t>
      </w:r>
    </w:p>
    <w:p>
      <w:r>
        <w:t>A low-cost HMI panel can become expensive if its software, communications, or required runtime options are quoted separately.</w:t>
      </w:r>
    </w:p>
    <w:p>
      <w:pPr>
        <w:pStyle w:val="Heading3"/>
      </w:pPr>
      <w:r>
        <w:t>11.4 VFD and servo systems</w:t>
      </w:r>
    </w:p>
    <w:p>
      <w:r>
        <w:t>Evaluate:</w:t>
      </w:r>
    </w:p>
    <w:p>
      <w:pPr>
        <w:pStyle w:val="ListBullet"/>
      </w:pPr>
      <w:r>
        <w:t>Drive rating and overload capacity.</w:t>
      </w:r>
    </w:p>
    <w:p>
      <w:pPr>
        <w:pStyle w:val="ListBullet"/>
      </w:pPr>
      <w:r>
        <w:t>Voltage and current requirements.</w:t>
      </w:r>
    </w:p>
    <w:p>
      <w:pPr>
        <w:pStyle w:val="ListBullet"/>
      </w:pPr>
      <w:r>
        <w:t>Motor and feedback compatibility.</w:t>
      </w:r>
    </w:p>
    <w:p>
      <w:pPr>
        <w:pStyle w:val="ListBullet"/>
      </w:pPr>
      <w:r>
        <w:t>Communication cards and control interfaces.</w:t>
      </w:r>
    </w:p>
    <w:p>
      <w:pPr>
        <w:pStyle w:val="ListBullet"/>
      </w:pPr>
      <w:r>
        <w:t>Braking resistors or other required accessories.</w:t>
      </w:r>
    </w:p>
    <w:p>
      <w:pPr>
        <w:pStyle w:val="ListBullet"/>
      </w:pPr>
      <w:r>
        <w:t>EMC filters and line reactors where required.</w:t>
      </w:r>
    </w:p>
    <w:p>
      <w:pPr>
        <w:pStyle w:val="ListBullet"/>
      </w:pPr>
      <w:r>
        <w:t>Safety functions.</w:t>
      </w:r>
    </w:p>
    <w:p>
      <w:pPr>
        <w:pStyle w:val="ListBullet"/>
      </w:pPr>
      <w:r>
        <w:t>Parameter backup tools.</w:t>
      </w:r>
    </w:p>
    <w:p>
      <w:pPr>
        <w:pStyle w:val="ListBullet"/>
      </w:pPr>
      <w:r>
        <w:t>Commissioning support and documentation.</w:t>
      </w:r>
    </w:p>
    <w:p>
      <w:r>
        <w:t>Never select a drive based only on motor power in kilowatts. Load characteristics, overload requirements, supply conditions, duty cycle, and application constraints also matter.</w:t>
      </w:r>
    </w:p>
    <w:p>
      <w:pPr>
        <w:pStyle w:val="Heading2"/>
      </w:pPr>
      <w:r>
        <w:t>12. Equipment cost estimation when no quotation is available</w:t>
      </w:r>
    </w:p>
    <w:p>
      <w:r>
        <w:t>During the early planning stage, a formal quotation may not yet exist. An engineer can prepare a preliminary estimate using available technical and commercial information.</w:t>
      </w:r>
    </w:p>
    <w:p>
      <w:r>
        <w:t>Useful methods include:</w:t>
      </w:r>
    </w:p>
    <w:p>
      <w:pPr>
        <w:pStyle w:val="ListBullet"/>
      </w:pPr>
      <w:r>
        <w:t>Historical purchase prices adjusted for scope and date.</w:t>
      </w:r>
    </w:p>
    <w:p>
      <w:pPr>
        <w:pStyle w:val="ListBullet"/>
      </w:pPr>
      <w:r>
        <w:t>Budgetary quotations from suppliers.</w:t>
      </w:r>
    </w:p>
    <w:p>
      <w:pPr>
        <w:pStyle w:val="ListBullet"/>
      </w:pPr>
      <w:r>
        <w:t>Published catalog prices, where meaningful.</w:t>
      </w:r>
    </w:p>
    <w:p>
      <w:pPr>
        <w:pStyle w:val="ListBullet"/>
      </w:pPr>
      <w:r>
        <w:t>Estimates based on similar equipment.</w:t>
      </w:r>
    </w:p>
    <w:p>
      <w:pPr>
        <w:pStyle w:val="ListBullet"/>
      </w:pPr>
      <w:r>
        <w:t>Bottom-up estimation from major components.</w:t>
      </w:r>
    </w:p>
    <w:p>
      <w:pPr>
        <w:pStyle w:val="ListBullet"/>
      </w:pPr>
      <w:r>
        <w:t>Benchmarking across technically comparable offers.</w:t>
      </w:r>
    </w:p>
    <w:p>
      <w:pPr>
        <w:pStyle w:val="ListBullet"/>
      </w:pPr>
      <w:r>
        <w:t>Supplier estimates for customization and engineering.</w:t>
      </w:r>
    </w:p>
    <w:p>
      <w:r>
        <w:t>An estimate should state its basis, date, currency, scope, assumptions, exclusions, and uncertainty.</w:t>
      </w:r>
    </w:p>
    <w:p>
      <w:pPr>
        <w:pStyle w:val="Heading3"/>
      </w:pPr>
      <w:r>
        <w:t>Bottom-up equipment estimate</w:t>
      </w:r>
    </w:p>
    <w:p>
      <w:r>
        <w:t>For an automation system:</w:t>
      </w:r>
    </w:p>
    <w:p>
      <w:pPr>
        <w:spacing w:before="120" w:after="160"/>
        <w:jc w:val="center"/>
      </w:pPr>
      <m:oMathPara>
        <m:oMath>
          <m:r>
            <m:rPr>
              <m:nor/>
            </m:rPr>
            <m:t>Estimated Equipment Cost</m:t>
          </m:r>
          <m:r>
            <m:t>=</m:t>
          </m:r>
          <m:r>
            <m:rPr>
              <m:nor/>
            </m:rPr>
            <m:t>PLC and I/O</m:t>
          </m:r>
          <m:r>
            <m:t>+</m:t>
          </m:r>
          <m:r>
            <m:rPr>
              <m:nor/>
            </m:rPr>
            <m:t>HMI</m:t>
          </m:r>
          <m:r>
            <m:t>+</m:t>
          </m:r>
          <m:r>
            <m:rPr>
              <m:nor/>
            </m:rPr>
            <m:t>Drives</m:t>
          </m:r>
          <m:r>
            <m:t>+</m:t>
          </m:r>
          <m:r>
            <m:rPr>
              <m:nor/>
            </m:rPr>
            <m:t>Sensors</m:t>
          </m:r>
          <m:r>
            <m:t>+</m:t>
          </m:r>
          <m:r>
            <m:rPr>
              <m:nor/>
            </m:rPr>
            <m:t>Control Panel</m:t>
          </m:r>
          <m:r>
            <m:t>+</m:t>
          </m:r>
          <m:r>
            <m:rPr>
              <m:nor/>
            </m:rPr>
            <m:t>Software</m:t>
          </m:r>
          <m:r>
            <m:t>+</m:t>
          </m:r>
          <m:r>
            <m:rPr>
              <m:nor/>
            </m:rPr>
            <m:t>Other Included Items</m:t>
          </m:r>
        </m:oMath>
      </m:oMathPara>
    </w:p>
    <w:p>
      <w:r>
        <w:t>This estimate must distinguish equipment supply from engineering, installation, and commissioning when those activities are outside the equipment scope.</w:t>
      </w:r>
    </w:p>
    <w:p>
      <w:r>
        <w:t>A preliminary estimate is not a binding supplier offer. Its accuracy depends on how well the scope, market conditions, and technical assumptions are understood.</w:t>
      </w:r>
    </w:p>
    <w:p>
      <w:pPr>
        <w:pStyle w:val="Heading2"/>
      </w:pPr>
      <w:r>
        <w:t>13. Contingency and uncertainty</w:t>
      </w:r>
    </w:p>
    <w:p>
      <w:r>
        <w:t>A project estimate may include contingency to cover identified uncertainty, such as incomplete scope, price movement, or uncertain quantities.</w:t>
      </w:r>
    </w:p>
    <w:p>
      <w:pPr>
        <w:spacing w:before="120" w:after="160"/>
        <w:jc w:val="center"/>
      </w:pPr>
      <m:oMathPara>
        <m:oMath>
          <m:r>
            <m:rPr>
              <m:nor/>
            </m:rPr>
            <m:t>Budget Estimate</m:t>
          </m:r>
          <m:r>
            <m:t>=</m:t>
          </m:r>
          <m:r>
            <m:rPr>
              <m:nor/>
            </m:rPr>
            <m:t>Base Estimate</m:t>
          </m:r>
          <m:r>
            <m:t>+</m:t>
          </m:r>
          <m:r>
            <m:rPr>
              <m:nor/>
            </m:rPr>
            <m:t>Approved Contingency</m:t>
          </m:r>
        </m:oMath>
      </m:oMathPara>
    </w:p>
    <w:p>
      <w:r>
        <w:t>Contingency should reflect project risk and organizational rules. It should not be used to conceal an incomplete specification or unexamined exclusions.</w:t>
      </w:r>
    </w:p>
    <w:p>
      <w:r>
        <w:t>For example, a control-system retrofit may require additional interface modules after the existing PLC hardware is inspected. That uncertainty should be identified and estimated rather than hidden inside an arbitrary percentage.</w:t>
      </w:r>
    </w:p>
    <w:p>
      <w:pPr>
        <w:pStyle w:val="Heading2"/>
      </w:pPr>
      <w:r>
        <w:t>14. Equipment cost reduction strategies</w:t>
      </w:r>
    </w:p>
    <w:p>
      <w:r>
        <w:t>Equipment cost can be reduced without compromising safety or performance by improving scope definition and procurement decisions.</w:t>
      </w:r>
    </w:p>
    <w:p>
      <w:r>
        <w:t>Useful strategies include:</w:t>
      </w:r>
    </w:p>
    <w:p>
      <w:pPr>
        <w:pStyle w:val="ListBullet"/>
      </w:pPr>
      <w:r>
        <w:t>Standardizing suitable components across machines.</w:t>
      </w:r>
    </w:p>
    <w:p>
      <w:pPr>
        <w:pStyle w:val="ListBullet"/>
      </w:pPr>
      <w:r>
        <w:t>Reusing proven designs and validated software templates.</w:t>
      </w:r>
    </w:p>
    <w:p>
      <w:pPr>
        <w:pStyle w:val="ListBullet"/>
      </w:pPr>
      <w:r>
        <w:t>Removing unnecessary options.</w:t>
      </w:r>
    </w:p>
    <w:p>
      <w:pPr>
        <w:pStyle w:val="ListBullet"/>
      </w:pPr>
      <w:r>
        <w:t>Optimizing capacity to match actual process requirements.</w:t>
      </w:r>
    </w:p>
    <w:p>
      <w:pPr>
        <w:pStyle w:val="ListBullet"/>
      </w:pPr>
      <w:r>
        <w:t>Comparing technically equivalent suppliers.</w:t>
      </w:r>
    </w:p>
    <w:p>
      <w:pPr>
        <w:pStyle w:val="ListBullet"/>
      </w:pPr>
      <w:r>
        <w:t>Negotiating bundle pricing for equipment and accessories.</w:t>
      </w:r>
    </w:p>
    <w:p>
      <w:pPr>
        <w:pStyle w:val="ListBullet"/>
      </w:pPr>
      <w:r>
        <w:t>Evaluating approved alternatives for long-lead components.</w:t>
      </w:r>
    </w:p>
    <w:p>
      <w:pPr>
        <w:pStyle w:val="ListBullet"/>
      </w:pPr>
      <w:r>
        <w:t>Reducing custom engineering through modular designs.</w:t>
      </w:r>
    </w:p>
    <w:p>
      <w:pPr>
        <w:pStyle w:val="ListBullet"/>
      </w:pPr>
      <w:r>
        <w:t>Confirming spare quantities using criticality and failure data.</w:t>
      </w:r>
    </w:p>
    <w:p>
      <w:pPr>
        <w:pStyle w:val="ListBullet"/>
      </w:pPr>
      <w:r>
        <w:t>Clarifying warranty and support scope before purchase.</w:t>
      </w:r>
    </w:p>
    <w:p>
      <w:pPr>
        <w:pStyle w:val="ListBullet"/>
      </w:pPr>
      <w:r>
        <w:t>Evaluating lifecycle costs instead of purchase price alone.</w:t>
      </w:r>
    </w:p>
    <w:p>
      <w:r>
        <w:t>Avoid cost reduction that removes necessary safety functions, essential documentation, required testing, or maintainability provisions.</w:t>
      </w:r>
    </w:p>
    <w:p>
      <w:pPr>
        <w:pStyle w:val="Heading2"/>
      </w:pPr>
      <w:r>
        <w:t>15. Common equipment cost mistakes</w:t>
      </w:r>
    </w:p>
    <w:p>
      <w:pPr>
        <w:pStyle w:val="ListBullet"/>
      </w:pPr>
      <w:r>
        <w:t>Comparing base prices when suppliers have different scope.</w:t>
      </w:r>
    </w:p>
    <w:p>
      <w:pPr>
        <w:pStyle w:val="ListBullet"/>
      </w:pPr>
      <w:r>
        <w:t>Ignoring required accessories and communication modules.</w:t>
      </w:r>
    </w:p>
    <w:p>
      <w:pPr>
        <w:pStyle w:val="ListBullet"/>
      </w:pPr>
      <w:r>
        <w:t>Overlooking engineering software and runtime licenses.</w:t>
      </w:r>
    </w:p>
    <w:p>
      <w:pPr>
        <w:pStyle w:val="ListBullet"/>
      </w:pPr>
      <w:r>
        <w:t>Double-counting freight, taxes, or bundled services.</w:t>
      </w:r>
    </w:p>
    <w:p>
      <w:pPr>
        <w:pStyle w:val="ListBullet"/>
      </w:pPr>
      <w:r>
        <w:t>Treating an estimate as a confirmed quotation.</w:t>
      </w:r>
    </w:p>
    <w:p>
      <w:pPr>
        <w:pStyle w:val="ListBullet"/>
      </w:pPr>
      <w:r>
        <w:t>Ignoring currency exposure for imported equipment.</w:t>
      </w:r>
    </w:p>
    <w:p>
      <w:pPr>
        <w:pStyle w:val="ListBullet"/>
      </w:pPr>
      <w:r>
        <w:t>Failing to identify price validity and escalation clauses.</w:t>
      </w:r>
    </w:p>
    <w:p>
      <w:pPr>
        <w:pStyle w:val="ListBullet"/>
      </w:pPr>
      <w:r>
        <w:t>Assuming that a lower price means lower total cost.</w:t>
      </w:r>
    </w:p>
    <w:p>
      <w:pPr>
        <w:pStyle w:val="ListBullet"/>
      </w:pPr>
      <w:r>
        <w:t>Omitting lifecycle support and obsolete-product risks.</w:t>
      </w:r>
    </w:p>
    <w:p>
      <w:pPr>
        <w:pStyle w:val="ListBullet"/>
      </w:pPr>
      <w:r>
        <w:t>Accepting a noncompliant offer because its initial price is attractive.</w:t>
      </w:r>
    </w:p>
    <w:p>
      <w:pPr>
        <w:pStyle w:val="ListBullet"/>
      </w:pPr>
      <w:r>
        <w:t>Including installation and commissioning in equipment cost without defining the scope.</w:t>
      </w:r>
    </w:p>
    <w:p>
      <w:pPr>
        <w:pStyle w:val="ListBullet"/>
      </w:pPr>
      <w:r>
        <w:t>Failing to specify deliverables and documentation in the RFQ.</w:t>
      </w:r>
    </w:p>
    <w:p>
      <w:pPr>
        <w:pStyle w:val="Heading2"/>
      </w:pPr>
      <w:r>
        <w:t>16. Practical equipment cost evaluation checklist</w:t>
      </w:r>
    </w:p>
    <w:p>
      <w:pPr>
        <w:pStyle w:val="ListBullet"/>
      </w:pPr>
      <w:r>
        <w:t>Equipment make, model, and configuration are clearly identified.</w:t>
      </w:r>
    </w:p>
    <w:p>
      <w:pPr>
        <w:pStyle w:val="ListBullet"/>
      </w:pPr>
      <w:r>
        <w:t>Technical compliance is verified.</w:t>
      </w:r>
    </w:p>
    <w:p>
      <w:pPr>
        <w:pStyle w:val="ListBullet"/>
      </w:pPr>
      <w:r>
        <w:t>Base equipment and all required accessories are listed.</w:t>
      </w:r>
    </w:p>
    <w:p>
      <w:pPr>
        <w:pStyle w:val="ListBullet"/>
      </w:pPr>
      <w:r>
        <w:t>Software, licenses, communication options, and firmware requirements are understood.</w:t>
      </w:r>
    </w:p>
    <w:p>
      <w:pPr>
        <w:pStyle w:val="ListBullet"/>
      </w:pPr>
      <w:r>
        <w:t>Documentation, testing, and initial spares are included or explicitly excluded.</w:t>
      </w:r>
    </w:p>
    <w:p>
      <w:pPr>
        <w:pStyle w:val="ListBullet"/>
      </w:pPr>
      <w:r>
        <w:t>Freight, packing, insurance, taxes, and duties are assessed.</w:t>
      </w:r>
    </w:p>
    <w:p>
      <w:pPr>
        <w:pStyle w:val="ListBullet"/>
      </w:pPr>
      <w:r>
        <w:t>Currency, validity, delivery, and escalation terms are recorded.</w:t>
      </w:r>
    </w:p>
    <w:p>
      <w:pPr>
        <w:pStyle w:val="ListBullet"/>
      </w:pPr>
      <w:r>
        <w:t>Warranty and lifecycle support are evaluated.</w:t>
      </w:r>
    </w:p>
    <w:p>
      <w:pPr>
        <w:pStyle w:val="ListBullet"/>
      </w:pPr>
      <w:r>
        <w:t>Missing scope is normalized before price comparison.</w:t>
      </w:r>
    </w:p>
    <w:p>
      <w:pPr>
        <w:pStyle w:val="ListBullet"/>
      </w:pPr>
      <w:r>
        <w:t>Equipment supply cost is separated from installation and commissioning where appropriate.</w:t>
      </w:r>
    </w:p>
    <w:p>
      <w:pPr>
        <w:pStyle w:val="ListBullet"/>
      </w:pPr>
      <w:r>
        <w:t>Lifecycle operating and maintenance costs are considered.</w:t>
      </w:r>
    </w:p>
    <w:p>
      <w:pPr>
        <w:pStyle w:val="ListBullet"/>
      </w:pPr>
      <w:r>
        <w:t>Assumptions, exclusions, and contingency are documented.</w:t>
      </w:r>
    </w:p>
    <w:p>
      <w:pPr>
        <w:pStyle w:val="ListBullet"/>
      </w:pPr>
      <w:r>
        <w:t>The commercial comparison is consistent with the technical evaluation.</w:t>
      </w:r>
    </w:p>
    <w:p>
      <w:pPr>
        <w:pStyle w:val="Heading2"/>
      </w:pPr>
      <w:r>
        <w:t>17. Interview questions and answers</w:t>
      </w:r>
    </w:p>
    <w:p>
      <w:r>
        <w:t>Q1. What is equipment cost?</w:t>
      </w:r>
    </w:p>
    <w:p>
      <w:r>
        <w:t>It is the cost of the specified equipment and the items included in its supply scope, as defined by the RFQ and quotation.</w:t>
      </w:r>
    </w:p>
    <w:p>
      <w:r>
        <w:t>Q2. What is the difference between equipment cost and project cost?</w:t>
      </w:r>
    </w:p>
    <w:p>
      <w:r>
        <w:t>Equipment cost covers the defined equipment supply. Project cost may also include engineering, installation, commissioning, civil work, utilities, training, and other implementation expenses.</w:t>
      </w:r>
    </w:p>
    <w:p>
      <w:r>
        <w:t>Q3. Why is the lowest equipment quotation not always the best option?</w:t>
      </w:r>
    </w:p>
    <w:p>
      <w:r>
        <w:t>It may exclude mandatory accessories, licenses, testing, documentation, or support. A lower initial price may also be offset by higher maintenance costs or downtime risk.</w:t>
      </w:r>
    </w:p>
    <w:p>
      <w:r>
        <w:t>Q4. What is technical normalization?</w:t>
      </w:r>
    </w:p>
    <w:p>
      <w:r>
        <w:t>It is the process of identifying and adjusting differences in supplier scope and compliance so that commercial offers can be compared on a consistent basis.</w:t>
      </w:r>
    </w:p>
    <w:p>
      <w:r>
        <w:t>Q5. What is the difference between equipment cost and TCO?</w:t>
      </w:r>
    </w:p>
    <w:p>
      <w:r>
        <w:t>Equipment cost concerns acquisition scope. TCO includes acquisition and the relevant costs of operating, maintaining, upgrading, and eventually disposing of the asset over its useful life.</w:t>
      </w:r>
    </w:p>
    <w:p>
      <w:r>
        <w:t>Q6. Why should software licenses be included in equipment evaluation?</w:t>
      </w:r>
    </w:p>
    <w:p>
      <w:r>
        <w:t>Engineering and runtime licenses can affect initial cost, future modifications, restoration, support, and dependence on a particular vendor.</w:t>
      </w:r>
    </w:p>
    <w:p>
      <w:r>
        <w:t>Q7. How do you estimate equipment cost before receiving an RFQ response?</w:t>
      </w:r>
    </w:p>
    <w:p>
      <w:r>
        <w:t>Use historical purchases, comparable equipment, budgetary supplier quotations, catalog information, or a bottom-up component estimate. Record the estimate date, scope, assumptions, exclusions, and uncertainty.</w:t>
      </w:r>
    </w:p>
    <w:p>
      <w:r>
        <w:t>Q8. What should be checked in an imported-equipment quotation?</w:t>
      </w:r>
    </w:p>
    <w:p>
      <w:r>
        <w:t>Currency, delivery terms, freight, insurance, customs duties, taxes, price validity, exchange-rate exposure, lead time, and responsibility for each cost item.</w:t>
      </w:r>
    </w:p>
    <w:p>
      <w:r>
        <w:t>Q9. What is cost normalization?</w:t>
      </w:r>
    </w:p>
    <w:p>
      <w:r>
        <w:t>It is the adjustment of quoted values to account for differences such as missing mandatory items or different included services, ensuring a fair comparison.</w:t>
      </w:r>
    </w:p>
    <w:p>
      <w:r>
        <w:t>Q10. How can equipment cost be reduced without sacrificing reliability?</w:t>
      </w:r>
    </w:p>
    <w:p>
      <w:r>
        <w:t>Improve the specification, standardize suitable components, remove unnecessary options, reuse validated designs, compare equivalent offers, and evaluate lifecycle costs while retaining all required safety and performance provisions.</w:t>
      </w:r>
    </w:p>
    <w:p>
      <w:pPr>
        <w:pStyle w:val="Heading2"/>
      </w:pPr>
      <w:r>
        <w:t>18. Final engineering principle</w:t>
      </w:r>
    </w:p>
    <w:p>
      <w:r>
        <w:t>Equipment cost evaluation begins with a clearly defined technical scope and ends with a transparent, comparable commercial assessment. The engineer must ensure that the offered equipment is fit for purpose; procurement must establish the complete price and contractual scope; maintenance must consider supportability and spare availability; and finance must evaluate the investment in the context of the project budget and lifecycle economics.</w:t>
      </w:r>
    </w:p>
    <w:p>
      <w:pPr>
        <w:pStyle w:val="Heading2"/>
      </w:pPr>
      <w:r>
        <w:t>NEXT TOPIC</w:t>
      </w:r>
    </w:p>
    <w:p>
      <w:r>
        <w:rPr>
          <w:rFonts w:ascii="Consolas" w:hAnsi="Consolas"/>
          <w:color w:val="333333"/>
          <w:sz w:val="19"/>
          <w:shd w:val="clear" w:color="auto" w:fill="EFEFEF"/>
        </w:rPr>
        <w:t>02_PLAN_WISE_2026\02_INDUSTRY3_0\09_Procurement\03_Commercial_Awareness\03_Install_Cost - Installation cost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02_PLAN_WISE_2026\02_INDUSTRY3_0\09_Procurement\03_Commercial_Awareness\02_Equipment_Cost - Equipment cost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