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02_PLAN_WISE_2026\02_INDUSTRY3_0\09_Procurement\03_Commercial_Awareness\04_Commissioning_Cost - Commissioning cost</w:t>
      </w:r>
    </w:p>
    <w:p>
      <w:pPr>
        <w:pStyle w:val="Heading2"/>
      </w:pPr>
      <w:r>
        <w:t>1. Definition of commissioning cost</w:t>
      </w:r>
    </w:p>
    <w:p>
      <w:r>
        <w:t>Commissioning cost is the expenditure required to verify, configure, test, adjust, and demonstrate that installed equipment or a system operates according to its specified functional, safety, quality, and performance requirements.</w:t>
      </w:r>
    </w:p>
    <w:p>
      <w:r>
        <w:t>In industrial automation, commissioning may include PLC and HMI configuration, drive parameterization, sensor verification, robot programming adjustments, CNC interface checks, interlock testing, communication validation, process tuning, trial production, performance measurement, and acceptance testing.</w:t>
      </w:r>
    </w:p>
    <w:p>
      <w:r>
        <w:t>Commissioning converts a physically installed system into a verified operational system. Installation establishes the physical connections; commissioning establishes and demonstrates functional readiness.</w:t>
      </w:r>
    </w:p>
    <w:p>
      <w:r>
        <w:t>For example, after installing a PLC-controlled test bench, commissioning may involve checking every I/O point, verifying sensor scaling, testing sequence logic, confirming safety interlocks, validating test results, and demonstrating repeatable operation against the acceptance criteria.</w:t>
      </w:r>
    </w:p>
    <w:p>
      <w:r>
        <w:t>The exact scope depends on the contract. Programming, software development, safety validation, production trials, training, and formal acceptance testing may be included in commissioning or quoted as separate activities.</w:t>
      </w:r>
    </w:p>
    <w:p>
      <w:pPr>
        <w:pStyle w:val="Heading2"/>
      </w:pPr>
      <w:r>
        <w:t>2. Commissioning cost versus related costs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category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Equipment cost</w:t>
            </w:r>
          </w:p>
        </w:tc>
        <w:tc>
          <w:tcPr>
            <w:tcW w:type="dxa" w:w="3600"/>
          </w:tcPr>
          <w:p>
            <w:pPr>
              <w:spacing w:after="0" w:before="0" w:line="240" w:lineRule="auto"/>
              <w:jc w:val="left"/>
            </w:pPr>
            <w:r>
              <w:t>Supply of equipment and included accessories</w:t>
            </w:r>
          </w:p>
        </w:tc>
        <w:tc>
          <w:tcPr>
            <w:tcW w:type="dxa" w:w="3600"/>
          </w:tcPr>
          <w:p>
            <w:pPr>
              <w:spacing w:after="0" w:before="0" w:line="240" w:lineRule="auto"/>
              <w:jc w:val="left"/>
            </w:pPr>
            <w:r>
              <w:t>PLC-controlled test bench</w:t>
            </w:r>
          </w:p>
        </w:tc>
      </w:tr>
      <w:tr>
        <w:tc>
          <w:tcPr>
            <w:tcW w:type="dxa" w:w="3600"/>
          </w:tcPr>
          <w:p>
            <w:pPr>
              <w:spacing w:after="0" w:before="0" w:line="240" w:lineRule="auto"/>
              <w:jc w:val="left"/>
            </w:pPr>
            <w:r>
              <w:t>Installation cost</w:t>
            </w:r>
          </w:p>
        </w:tc>
        <w:tc>
          <w:tcPr>
            <w:tcW w:type="dxa" w:w="3600"/>
          </w:tcPr>
          <w:p>
            <w:pPr>
              <w:spacing w:after="0" w:before="0" w:line="240" w:lineRule="auto"/>
              <w:jc w:val="left"/>
            </w:pPr>
            <w:r>
              <w:t>Physical placement and connection</w:t>
            </w:r>
          </w:p>
        </w:tc>
        <w:tc>
          <w:tcPr>
            <w:tcW w:type="dxa" w:w="3600"/>
          </w:tcPr>
          <w:p>
            <w:pPr>
              <w:spacing w:after="0" w:before="0" w:line="240" w:lineRule="auto"/>
              <w:jc w:val="left"/>
            </w:pPr>
            <w:r>
              <w:t>Panel mounting and field cabling</w:t>
            </w:r>
          </w:p>
        </w:tc>
      </w:tr>
      <w:tr>
        <w:tc>
          <w:tcPr>
            <w:tcW w:type="dxa" w:w="3600"/>
          </w:tcPr>
          <w:p>
            <w:pPr>
              <w:spacing w:after="0" w:before="0" w:line="240" w:lineRule="auto"/>
              <w:jc w:val="left"/>
            </w:pPr>
            <w:r>
              <w:t>Engineering cost</w:t>
            </w:r>
          </w:p>
        </w:tc>
        <w:tc>
          <w:tcPr>
            <w:tcW w:type="dxa" w:w="3600"/>
          </w:tcPr>
          <w:p>
            <w:pPr>
              <w:spacing w:after="0" w:before="0" w:line="240" w:lineRule="auto"/>
              <w:jc w:val="left"/>
            </w:pPr>
            <w:r>
              <w:t>Design and preparation</w:t>
            </w:r>
          </w:p>
        </w:tc>
        <w:tc>
          <w:tcPr>
            <w:tcW w:type="dxa" w:w="3600"/>
          </w:tcPr>
          <w:p>
            <w:pPr>
              <w:spacing w:after="0" w:before="0" w:line="240" w:lineRule="auto"/>
              <w:jc w:val="left"/>
            </w:pPr>
            <w:r>
              <w:t>PLC software development</w:t>
            </w:r>
          </w:p>
        </w:tc>
      </w:tr>
      <w:tr>
        <w:tc>
          <w:tcPr>
            <w:tcW w:type="dxa" w:w="3600"/>
          </w:tcPr>
          <w:p>
            <w:pPr>
              <w:spacing w:after="0" w:before="0" w:line="240" w:lineRule="auto"/>
              <w:jc w:val="left"/>
            </w:pPr>
            <w:r>
              <w:t>Integration cost</w:t>
            </w:r>
          </w:p>
        </w:tc>
        <w:tc>
          <w:tcPr>
            <w:tcW w:type="dxa" w:w="3600"/>
          </w:tcPr>
          <w:p>
            <w:pPr>
              <w:spacing w:after="0" w:before="0" w:line="240" w:lineRule="auto"/>
              <w:jc w:val="left"/>
            </w:pPr>
            <w:r>
              <w:t>Connecting equipment and systems</w:t>
            </w:r>
          </w:p>
        </w:tc>
        <w:tc>
          <w:tcPr>
            <w:tcW w:type="dxa" w:w="3600"/>
          </w:tcPr>
          <w:p>
            <w:pPr>
              <w:spacing w:after="0" w:before="0" w:line="240" w:lineRule="auto"/>
              <w:jc w:val="left"/>
            </w:pPr>
            <w:r>
              <w:t>PLC-to-robot handshake</w:t>
            </w:r>
          </w:p>
        </w:tc>
      </w:tr>
      <w:tr>
        <w:tc>
          <w:tcPr>
            <w:tcW w:type="dxa" w:w="3600"/>
          </w:tcPr>
          <w:p>
            <w:pPr>
              <w:spacing w:after="0" w:before="0" w:line="240" w:lineRule="auto"/>
              <w:jc w:val="left"/>
            </w:pPr>
            <w:r>
              <w:t>Commissioning cost</w:t>
            </w:r>
          </w:p>
        </w:tc>
        <w:tc>
          <w:tcPr>
            <w:tcW w:type="dxa" w:w="3600"/>
          </w:tcPr>
          <w:p>
            <w:pPr>
              <w:spacing w:after="0" w:before="0" w:line="240" w:lineRule="auto"/>
              <w:jc w:val="left"/>
            </w:pPr>
            <w:r>
              <w:t>Verifying and adjusting functional operation</w:t>
            </w:r>
          </w:p>
        </w:tc>
        <w:tc>
          <w:tcPr>
            <w:tcW w:type="dxa" w:w="3600"/>
          </w:tcPr>
          <w:p>
            <w:pPr>
              <w:spacing w:after="0" w:before="0" w:line="240" w:lineRule="auto"/>
              <w:jc w:val="left"/>
            </w:pPr>
            <w:r>
              <w:t>Sequence testing and drive tuning</w:t>
            </w:r>
          </w:p>
        </w:tc>
      </w:tr>
      <w:tr>
        <w:tc>
          <w:tcPr>
            <w:tcW w:type="dxa" w:w="3600"/>
          </w:tcPr>
          <w:p>
            <w:pPr>
              <w:spacing w:after="0" w:before="0" w:line="240" w:lineRule="auto"/>
              <w:jc w:val="left"/>
            </w:pPr>
            <w:r>
              <w:t>Validation cost</w:t>
            </w:r>
          </w:p>
        </w:tc>
        <w:tc>
          <w:tcPr>
            <w:tcW w:type="dxa" w:w="3600"/>
          </w:tcPr>
          <w:p>
            <w:pPr>
              <w:spacing w:after="0" w:before="0" w:line="240" w:lineRule="auto"/>
              <w:jc w:val="left"/>
            </w:pPr>
            <w:r>
              <w:t>Demonstrating compliance with defined requirements</w:t>
            </w:r>
          </w:p>
        </w:tc>
        <w:tc>
          <w:tcPr>
            <w:tcW w:type="dxa" w:w="3600"/>
          </w:tcPr>
          <w:p>
            <w:pPr>
              <w:spacing w:after="0" w:before="0" w:line="240" w:lineRule="auto"/>
              <w:jc w:val="left"/>
            </w:pPr>
            <w:r>
              <w:t>Measurement-system validation</w:t>
            </w:r>
          </w:p>
        </w:tc>
      </w:tr>
      <w:tr>
        <w:tc>
          <w:tcPr>
            <w:tcW w:type="dxa" w:w="3600"/>
          </w:tcPr>
          <w:p>
            <w:pPr>
              <w:spacing w:after="0" w:before="0" w:line="240" w:lineRule="auto"/>
              <w:jc w:val="left"/>
            </w:pPr>
            <w:r>
              <w:t>Training cost</w:t>
            </w:r>
          </w:p>
        </w:tc>
        <w:tc>
          <w:tcPr>
            <w:tcW w:type="dxa" w:w="3600"/>
          </w:tcPr>
          <w:p>
            <w:pPr>
              <w:spacing w:after="0" w:before="0" w:line="240" w:lineRule="auto"/>
              <w:jc w:val="left"/>
            </w:pPr>
            <w:r>
              <w:t>Preparing operators and maintainers</w:t>
            </w:r>
          </w:p>
        </w:tc>
        <w:tc>
          <w:tcPr>
            <w:tcW w:type="dxa" w:w="3600"/>
          </w:tcPr>
          <w:p>
            <w:pPr>
              <w:spacing w:after="0" w:before="0" w:line="240" w:lineRule="auto"/>
              <w:jc w:val="left"/>
            </w:pPr>
            <w:r>
              <w:t>PLC fault-diagnosis training</w:t>
            </w:r>
          </w:p>
        </w:tc>
      </w:tr>
      <w:tr>
        <w:tc>
          <w:tcPr>
            <w:tcW w:type="dxa" w:w="3600"/>
          </w:tcPr>
          <w:p>
            <w:pPr>
              <w:spacing w:after="0" w:before="0" w:line="240" w:lineRule="auto"/>
              <w:jc w:val="left"/>
            </w:pPr>
            <w:r>
              <w:t>Production trial cost</w:t>
            </w:r>
          </w:p>
        </w:tc>
        <w:tc>
          <w:tcPr>
            <w:tcW w:type="dxa" w:w="3600"/>
          </w:tcPr>
          <w:p>
            <w:pPr>
              <w:spacing w:after="0" w:before="0" w:line="240" w:lineRule="auto"/>
              <w:jc w:val="left"/>
            </w:pPr>
            <w:r>
              <w:t>Establishing acceptable process output</w:t>
            </w:r>
          </w:p>
        </w:tc>
        <w:tc>
          <w:tcPr>
            <w:tcW w:type="dxa" w:w="3600"/>
          </w:tcPr>
          <w:p>
            <w:pPr>
              <w:spacing w:after="0" w:before="0" w:line="240" w:lineRule="auto"/>
              <w:jc w:val="left"/>
            </w:pPr>
            <w:r>
              <w:t>Trial parts and process adjustments</w:t>
            </w:r>
          </w:p>
        </w:tc>
      </w:tr>
      <w:tr>
        <w:tc>
          <w:tcPr>
            <w:tcW w:type="dxa" w:w="3600"/>
          </w:tcPr>
          <w:p>
            <w:pPr>
              <w:spacing w:after="0" w:before="0" w:line="240" w:lineRule="auto"/>
              <w:jc w:val="left"/>
            </w:pPr>
            <w:r>
              <w:t>Acceptance cost</w:t>
            </w:r>
          </w:p>
        </w:tc>
        <w:tc>
          <w:tcPr>
            <w:tcW w:type="dxa" w:w="3600"/>
          </w:tcPr>
          <w:p>
            <w:pPr>
              <w:spacing w:after="0" w:before="0" w:line="240" w:lineRule="auto"/>
              <w:jc w:val="left"/>
            </w:pPr>
            <w:r>
              <w:t>Demonstrating contractual completion</w:t>
            </w:r>
          </w:p>
        </w:tc>
        <w:tc>
          <w:tcPr>
            <w:tcW w:type="dxa" w:w="3600"/>
          </w:tcPr>
          <w:p>
            <w:pPr>
              <w:spacing w:after="0" w:before="0" w:line="240" w:lineRule="auto"/>
              <w:jc w:val="left"/>
            </w:pPr>
            <w:r>
              <w:t>Factory or site acceptance tests</w:t>
            </w:r>
          </w:p>
        </w:tc>
      </w:tr>
      <w:tr>
        <w:tc>
          <w:tcPr>
            <w:tcW w:type="dxa" w:w="3600"/>
          </w:tcPr>
          <w:p>
            <w:pPr>
              <w:spacing w:after="0" w:before="0" w:line="240" w:lineRule="auto"/>
              <w:jc w:val="left"/>
            </w:pPr>
            <w:r>
              <w:t>Operating cost</w:t>
            </w:r>
          </w:p>
        </w:tc>
        <w:tc>
          <w:tcPr>
            <w:tcW w:type="dxa" w:w="3600"/>
          </w:tcPr>
          <w:p>
            <w:pPr>
              <w:spacing w:after="0" w:before="0" w:line="240" w:lineRule="auto"/>
              <w:jc w:val="left"/>
            </w:pPr>
            <w:r>
              <w:t>Running the equipment after handover</w:t>
            </w:r>
          </w:p>
        </w:tc>
        <w:tc>
          <w:tcPr>
            <w:tcW w:type="dxa" w:w="3600"/>
          </w:tcPr>
          <w:p>
            <w:pPr>
              <w:spacing w:after="0" w:before="0" w:line="240" w:lineRule="auto"/>
              <w:jc w:val="left"/>
            </w:pPr>
            <w:r>
              <w:t>Energy and routine maintenance</w:t>
            </w:r>
          </w:p>
        </w:tc>
      </w:tr>
    </w:tbl>
    <w:p/>
    <w:p>
      <w:r>
        <w:t>These categories can overlap. The RFQ, purchase order, and commissioning plan should explicitly define what the supplier must deliver and what the plant must provide.</w:t>
      </w:r>
    </w:p>
    <w:p>
      <w:pPr>
        <w:pStyle w:val="Heading2"/>
      </w:pPr>
      <w:r>
        <w:t>3. Major components of commissioning cost</w:t>
      </w:r>
    </w:p>
    <w:p>
      <w:pPr>
        <w:pStyle w:val="Heading3"/>
      </w:pPr>
      <w:r>
        <w:t>3.1 Engineering and technical preparation</w:t>
      </w:r>
    </w:p>
    <w:p>
      <w:r>
        <w:t>Commissioning requires preparation before equipment startup.</w:t>
      </w:r>
    </w:p>
    <w:p>
      <w:r>
        <w:t>Typical activities include:</w:t>
      </w:r>
    </w:p>
    <w:p>
      <w:pPr>
        <w:pStyle w:val="ListBullet"/>
      </w:pPr>
      <w:r>
        <w:t>Reviewing approved electrical and mechanical drawings.</w:t>
      </w:r>
    </w:p>
    <w:p>
      <w:pPr>
        <w:pStyle w:val="ListBullet"/>
      </w:pPr>
      <w:r>
        <w:t>Reviewing PLC, HMI, robot, CNC, and drive configurations.</w:t>
      </w:r>
    </w:p>
    <w:p>
      <w:pPr>
        <w:pStyle w:val="ListBullet"/>
      </w:pPr>
      <w:r>
        <w:t>Checking I/O lists and communication architecture.</w:t>
      </w:r>
    </w:p>
    <w:p>
      <w:pPr>
        <w:pStyle w:val="ListBullet"/>
      </w:pPr>
      <w:r>
        <w:t>Preparing commissioning procedures and checklists.</w:t>
      </w:r>
    </w:p>
    <w:p>
      <w:pPr>
        <w:pStyle w:val="ListBullet"/>
      </w:pPr>
      <w:r>
        <w:t>Reviewing functional specifications and operating sequences.</w:t>
      </w:r>
    </w:p>
    <w:p>
      <w:pPr>
        <w:pStyle w:val="ListBullet"/>
      </w:pPr>
      <w:r>
        <w:t>Preparing test cases and acceptance criteria.</w:t>
      </w:r>
    </w:p>
    <w:p>
      <w:pPr>
        <w:pStyle w:val="ListBullet"/>
      </w:pPr>
      <w:r>
        <w:t>Confirming software versions and required licenses.</w:t>
      </w:r>
    </w:p>
    <w:p>
      <w:pPr>
        <w:pStyle w:val="ListBullet"/>
      </w:pPr>
      <w:r>
        <w:t>Preparing backups and restoration procedures.</w:t>
      </w:r>
    </w:p>
    <w:p>
      <w:pPr>
        <w:pStyle w:val="ListBullet"/>
      </w:pPr>
      <w:r>
        <w:t>Reviewing risk assessments and safe-startup requirements.</w:t>
      </w:r>
    </w:p>
    <w:p>
      <w:pPr>
        <w:pStyle w:val="ListBullet"/>
      </w:pPr>
      <w:r>
        <w:t>Coordinating the commissioning schedule with production and maintenance.</w:t>
      </w:r>
    </w:p>
    <w:p>
      <w:r>
        <w:t>Engineering preparation reduces the risk of discovering missing interfaces, incorrect signals, and incomplete logic during the limited startup window.</w:t>
      </w:r>
    </w:p>
    <w:p>
      <w:pPr>
        <w:pStyle w:val="Heading3"/>
      </w:pPr>
      <w:r>
        <w:t>3.2 PLC and control-system commissioning</w:t>
      </w:r>
    </w:p>
    <w:p>
      <w:r>
        <w:t>PLC commissioning may involve:</w:t>
      </w:r>
    </w:p>
    <w:p>
      <w:pPr>
        <w:pStyle w:val="ListBullet"/>
      </w:pPr>
      <w:r>
        <w:t>Verifying the controller hardware and firmware.</w:t>
      </w:r>
    </w:p>
    <w:p>
      <w:pPr>
        <w:pStyle w:val="ListBullet"/>
      </w:pPr>
      <w:r>
        <w:t>Confirming the project and hardware configuration.</w:t>
      </w:r>
    </w:p>
    <w:p>
      <w:pPr>
        <w:pStyle w:val="ListBullet"/>
      </w:pPr>
      <w:r>
        <w:t>Checking I/O addressing and module diagnostics.</w:t>
      </w:r>
    </w:p>
    <w:p>
      <w:pPr>
        <w:pStyle w:val="ListBullet"/>
      </w:pPr>
      <w:r>
        <w:t>Verifying digital and analog input signals.</w:t>
      </w:r>
    </w:p>
    <w:p>
      <w:pPr>
        <w:pStyle w:val="ListBullet"/>
      </w:pPr>
      <w:r>
        <w:t>Testing output operation under controlled conditions.</w:t>
      </w:r>
    </w:p>
    <w:p>
      <w:pPr>
        <w:pStyle w:val="ListBullet"/>
      </w:pPr>
      <w:r>
        <w:t>Checking scaling, units, ranges, and engineering values.</w:t>
      </w:r>
    </w:p>
    <w:p>
      <w:pPr>
        <w:pStyle w:val="ListBullet"/>
      </w:pPr>
      <w:r>
        <w:t>Verifying timers, counters, sequence steps, and permissives.</w:t>
      </w:r>
    </w:p>
    <w:p>
      <w:pPr>
        <w:pStyle w:val="ListBullet"/>
      </w:pPr>
      <w:r>
        <w:t>Testing fault handling and recovery logic.</w:t>
      </w:r>
    </w:p>
    <w:p>
      <w:pPr>
        <w:pStyle w:val="ListBullet"/>
      </w:pPr>
      <w:r>
        <w:t>Confirming communication with HMIs, drives, robots, and remote I/O.</w:t>
      </w:r>
    </w:p>
    <w:p>
      <w:pPr>
        <w:pStyle w:val="ListBullet"/>
      </w:pPr>
      <w:r>
        <w:t>Validating alarms, status signals, and diagnostic messages.</w:t>
      </w:r>
    </w:p>
    <w:p>
      <w:pPr>
        <w:pStyle w:val="ListBullet"/>
      </w:pPr>
      <w:r>
        <w:t>Saving and verifying the final approved program backup.</w:t>
      </w:r>
    </w:p>
    <w:p>
      <w:r>
        <w:t>The cost depends on system complexity, I/O count, number of interfaces, software quality, and the amount of rework required.</w:t>
      </w:r>
    </w:p>
    <w:p>
      <w:r>
        <w:t>A system with incomplete or poorly structured code may need substantial engineering effort before it can be accepted.</w:t>
      </w:r>
    </w:p>
    <w:p>
      <w:pPr>
        <w:pStyle w:val="Heading3"/>
      </w:pPr>
      <w:r>
        <w:t>3.3 HMI and SCADA commissioning</w:t>
      </w:r>
    </w:p>
    <w:p>
      <w:r>
        <w:t>Typical tasks include:</w:t>
      </w:r>
    </w:p>
    <w:p>
      <w:pPr>
        <w:pStyle w:val="ListBullet"/>
      </w:pPr>
      <w:r>
        <w:t>Verifying screen navigation and device status.</w:t>
      </w:r>
    </w:p>
    <w:p>
      <w:pPr>
        <w:pStyle w:val="ListBullet"/>
      </w:pPr>
      <w:r>
        <w:t>Checking tag mapping and displayed values.</w:t>
      </w:r>
    </w:p>
    <w:p>
      <w:pPr>
        <w:pStyle w:val="ListBullet"/>
      </w:pPr>
      <w:r>
        <w:t>Testing operator commands and permissions.</w:t>
      </w:r>
    </w:p>
    <w:p>
      <w:pPr>
        <w:pStyle w:val="ListBullet"/>
      </w:pPr>
      <w:r>
        <w:t>Verifying alarm conditions and acknowledgements.</w:t>
      </w:r>
    </w:p>
    <w:p>
      <w:pPr>
        <w:pStyle w:val="ListBullet"/>
      </w:pPr>
      <w:r>
        <w:t>Checking alarm priorities and timestamps.</w:t>
      </w:r>
    </w:p>
    <w:p>
      <w:pPr>
        <w:pStyle w:val="ListBullet"/>
      </w:pPr>
      <w:r>
        <w:t>Confirming trends and historical data.</w:t>
      </w:r>
    </w:p>
    <w:p>
      <w:pPr>
        <w:pStyle w:val="ListBullet"/>
      </w:pPr>
      <w:r>
        <w:t>Testing recipe handling where applicable.</w:t>
      </w:r>
    </w:p>
    <w:p>
      <w:pPr>
        <w:pStyle w:val="ListBullet"/>
      </w:pPr>
      <w:r>
        <w:t>Verifying user roles and access controls.</w:t>
      </w:r>
    </w:p>
    <w:p>
      <w:pPr>
        <w:pStyle w:val="ListBullet"/>
      </w:pPr>
      <w:r>
        <w:t>Confirming communications-loss indications.</w:t>
      </w:r>
    </w:p>
    <w:p>
      <w:pPr>
        <w:pStyle w:val="ListBullet"/>
      </w:pPr>
      <w:r>
        <w:t>Testing backup, restoration, and application startup.</w:t>
      </w:r>
    </w:p>
    <w:p>
      <w:r>
        <w:t>Commissioning cost increases when the HMI or SCADA application has many screens, tags, alarms, recipes, reports, or interfaces.</w:t>
      </w:r>
    </w:p>
    <w:p>
      <w:pPr>
        <w:pStyle w:val="Heading3"/>
      </w:pPr>
      <w:r>
        <w:t>3.4 VFD and servo commissioning</w:t>
      </w:r>
    </w:p>
    <w:p>
      <w:r>
        <w:t>Drive commissioning may include:</w:t>
      </w:r>
    </w:p>
    <w:p>
      <w:pPr>
        <w:pStyle w:val="ListBullet"/>
      </w:pPr>
      <w:r>
        <w:t>Entering motor nameplate data.</w:t>
      </w:r>
    </w:p>
    <w:p>
      <w:pPr>
        <w:pStyle w:val="ListBullet"/>
      </w:pPr>
      <w:r>
        <w:t>Verifying control mode and command source.</w:t>
      </w:r>
    </w:p>
    <w:p>
      <w:pPr>
        <w:pStyle w:val="ListBullet"/>
      </w:pPr>
      <w:r>
        <w:t>Setting acceleration and deceleration parameters.</w:t>
      </w:r>
    </w:p>
    <w:p>
      <w:pPr>
        <w:pStyle w:val="ListBullet"/>
      </w:pPr>
      <w:r>
        <w:t>Checking current, torque, and speed limits.</w:t>
      </w:r>
    </w:p>
    <w:p>
      <w:pPr>
        <w:pStyle w:val="ListBullet"/>
      </w:pPr>
      <w:r>
        <w:t>Confirming motor rotation.</w:t>
      </w:r>
    </w:p>
    <w:p>
      <w:pPr>
        <w:pStyle w:val="ListBullet"/>
      </w:pPr>
      <w:r>
        <w:t>Verifying feedback devices and encoder direction.</w:t>
      </w:r>
    </w:p>
    <w:p>
      <w:pPr>
        <w:pStyle w:val="ListBullet"/>
      </w:pPr>
      <w:r>
        <w:t>Testing speed or position references.</w:t>
      </w:r>
    </w:p>
    <w:p>
      <w:pPr>
        <w:pStyle w:val="ListBullet"/>
      </w:pPr>
      <w:r>
        <w:t>Checking drive fault handling.</w:t>
      </w:r>
    </w:p>
    <w:p>
      <w:pPr>
        <w:pStyle w:val="ListBullet"/>
      </w:pPr>
      <w:r>
        <w:t>Validating braking and stopping behavior.</w:t>
      </w:r>
    </w:p>
    <w:p>
      <w:pPr>
        <w:pStyle w:val="ListBullet"/>
      </w:pPr>
      <w:r>
        <w:t>Testing communication and command/status words.</w:t>
      </w:r>
    </w:p>
    <w:p>
      <w:pPr>
        <w:pStyle w:val="ListBullet"/>
      </w:pPr>
      <w:r>
        <w:t>Confirming application-specific motion performance.</w:t>
      </w:r>
    </w:p>
    <w:p>
      <w:r>
        <w:t>For servo systems, tuning and mechanical interaction can significantly affect commissioning duration. Incorrect tuning may produce oscillation, overshoot, vibration, or following errors.</w:t>
      </w:r>
    </w:p>
    <w:p>
      <w:r>
        <w:t>All testing must follow the approved safety procedure and equipment manufacturer's requirements.</w:t>
      </w:r>
    </w:p>
    <w:p>
      <w:pPr>
        <w:pStyle w:val="Heading3"/>
      </w:pPr>
      <w:r>
        <w:t>3.5 CNC commissioning</w:t>
      </w:r>
    </w:p>
    <w:p>
      <w:r>
        <w:t>CNC commissioning may involve:</w:t>
      </w:r>
    </w:p>
    <w:p>
      <w:pPr>
        <w:pStyle w:val="ListBullet"/>
      </w:pPr>
      <w:r>
        <w:t>Verifying control configuration and machine parameters.</w:t>
      </w:r>
    </w:p>
    <w:p>
      <w:pPr>
        <w:pStyle w:val="ListBullet"/>
      </w:pPr>
      <w:r>
        <w:t>Checking axis direction and travel limits.</w:t>
      </w:r>
    </w:p>
    <w:p>
      <w:pPr>
        <w:pStyle w:val="ListBullet"/>
      </w:pPr>
      <w:r>
        <w:t>Verifying encoder and feedback operation.</w:t>
      </w:r>
    </w:p>
    <w:p>
      <w:pPr>
        <w:pStyle w:val="ListBullet"/>
      </w:pPr>
      <w:r>
        <w:t>Checking spindle and servo drive interfaces.</w:t>
      </w:r>
    </w:p>
    <w:p>
      <w:pPr>
        <w:pStyle w:val="ListBullet"/>
      </w:pPr>
      <w:r>
        <w:t>Testing tool changer and auxiliary functions.</w:t>
      </w:r>
    </w:p>
    <w:p>
      <w:pPr>
        <w:pStyle w:val="ListBullet"/>
      </w:pPr>
      <w:r>
        <w:t>Confirming interlocks and machine sequences.</w:t>
      </w:r>
    </w:p>
    <w:p>
      <w:pPr>
        <w:pStyle w:val="ListBullet"/>
      </w:pPr>
      <w:r>
        <w:t>Checking reference-return procedures.</w:t>
      </w:r>
    </w:p>
    <w:p>
      <w:pPr>
        <w:pStyle w:val="ListBullet"/>
      </w:pPr>
      <w:r>
        <w:t>Validating machine coordinate systems and offsets.</w:t>
      </w:r>
    </w:p>
    <w:p>
      <w:pPr>
        <w:pStyle w:val="ListBullet"/>
      </w:pPr>
      <w:r>
        <w:t>Performing accuracy and repeatability checks.</w:t>
      </w:r>
    </w:p>
    <w:p>
      <w:pPr>
        <w:pStyle w:val="ListBullet"/>
      </w:pPr>
      <w:r>
        <w:t>Running approved test programs.</w:t>
      </w:r>
    </w:p>
    <w:p>
      <w:pPr>
        <w:pStyle w:val="ListBullet"/>
      </w:pPr>
      <w:r>
        <w:t>Verifying required process quality and cycle time.</w:t>
      </w:r>
    </w:p>
    <w:p>
      <w:r>
        <w:t>Machine-builder responsibility, CNC supplier responsibility, and plant responsibility should be defined for each task. A control vendor may not be responsible for mechanical accuracy or the complete machining process unless explicitly contracted.</w:t>
      </w:r>
    </w:p>
    <w:p>
      <w:pPr>
        <w:pStyle w:val="Heading3"/>
      </w:pPr>
      <w:r>
        <w:t>3.6 Robot commissioning</w:t>
      </w:r>
    </w:p>
    <w:p>
      <w:r>
        <w:t>Robot commissioning may include:</w:t>
      </w:r>
    </w:p>
    <w:p>
      <w:pPr>
        <w:pStyle w:val="ListBullet"/>
      </w:pPr>
      <w:r>
        <w:t>Verifying controller configuration.</w:t>
      </w:r>
    </w:p>
    <w:p>
      <w:pPr>
        <w:pStyle w:val="ListBullet"/>
      </w:pPr>
      <w:r>
        <w:t>Checking robot mastering and calibration status.</w:t>
      </w:r>
    </w:p>
    <w:p>
      <w:pPr>
        <w:pStyle w:val="ListBullet"/>
      </w:pPr>
      <w:r>
        <w:t>Confirming tool and work frames.</w:t>
      </w:r>
    </w:p>
    <w:p>
      <w:pPr>
        <w:pStyle w:val="ListBullet"/>
      </w:pPr>
      <w:r>
        <w:t>Verifying payload and load data.</w:t>
      </w:r>
    </w:p>
    <w:p>
      <w:pPr>
        <w:pStyle w:val="ListBullet"/>
      </w:pPr>
      <w:r>
        <w:t>Testing safe motion limits and operating modes.</w:t>
      </w:r>
    </w:p>
    <w:p>
      <w:pPr>
        <w:pStyle w:val="ListBullet"/>
      </w:pPr>
      <w:r>
        <w:t>Checking end-effector signals.</w:t>
      </w:r>
    </w:p>
    <w:p>
      <w:pPr>
        <w:pStyle w:val="ListBullet"/>
      </w:pPr>
      <w:r>
        <w:t>Testing PLC-to-robot handshakes.</w:t>
      </w:r>
    </w:p>
    <w:p>
      <w:pPr>
        <w:pStyle w:val="ListBullet"/>
      </w:pPr>
      <w:r>
        <w:t>Validating robot paths and clearances.</w:t>
      </w:r>
    </w:p>
    <w:p>
      <w:pPr>
        <w:pStyle w:val="ListBullet"/>
      </w:pPr>
      <w:r>
        <w:t>Confirming recovery procedures.</w:t>
      </w:r>
    </w:p>
    <w:p>
      <w:pPr>
        <w:pStyle w:val="ListBullet"/>
      </w:pPr>
      <w:r>
        <w:t>Running cycle-time trials.</w:t>
      </w:r>
    </w:p>
    <w:p>
      <w:pPr>
        <w:pStyle w:val="ListBullet"/>
      </w:pPr>
      <w:r>
        <w:t>Checking cell-level safety functions.</w:t>
      </w:r>
    </w:p>
    <w:p>
      <w:r>
        <w:t>Robot motion testing must use authorized procedures, controlled access, appropriate operating modes, and the required safeguarding. Production-speed testing should occur only after the necessary safety checks and approvals.</w:t>
      </w:r>
    </w:p>
    <w:p>
      <w:pPr>
        <w:pStyle w:val="Heading3"/>
      </w:pPr>
      <w:r>
        <w:t>3.7 Instrumentation and measurement commissioning</w:t>
      </w:r>
    </w:p>
    <w:p>
      <w:r>
        <w:t>Typical activities include:</w:t>
      </w:r>
    </w:p>
    <w:p>
      <w:pPr>
        <w:pStyle w:val="ListBullet"/>
      </w:pPr>
      <w:r>
        <w:t>Verifying sensor wiring and polarity.</w:t>
      </w:r>
    </w:p>
    <w:p>
      <w:pPr>
        <w:pStyle w:val="ListBullet"/>
      </w:pPr>
      <w:r>
        <w:t>Checking transmitter ranges and engineering units.</w:t>
      </w:r>
    </w:p>
    <w:p>
      <w:pPr>
        <w:pStyle w:val="ListBullet"/>
      </w:pPr>
      <w:r>
        <w:t>Confirming analog scaling.</w:t>
      </w:r>
    </w:p>
    <w:p>
      <w:pPr>
        <w:pStyle w:val="ListBullet"/>
      </w:pPr>
      <w:r>
        <w:t>Testing alarm thresholds.</w:t>
      </w:r>
    </w:p>
    <w:p>
      <w:pPr>
        <w:pStyle w:val="ListBullet"/>
      </w:pPr>
      <w:r>
        <w:t>Checking measurement repeatability.</w:t>
      </w:r>
    </w:p>
    <w:p>
      <w:pPr>
        <w:pStyle w:val="ListBullet"/>
      </w:pPr>
      <w:r>
        <w:t>Verifying calibration status.</w:t>
      </w:r>
    </w:p>
    <w:p>
      <w:pPr>
        <w:pStyle w:val="ListBullet"/>
      </w:pPr>
      <w:r>
        <w:t>Confirming traceability of test results.</w:t>
      </w:r>
    </w:p>
    <w:p>
      <w:pPr>
        <w:pStyle w:val="ListBullet"/>
      </w:pPr>
      <w:r>
        <w:t>Comparing readings against reference instruments.</w:t>
      </w:r>
    </w:p>
    <w:p>
      <w:pPr>
        <w:pStyle w:val="ListBullet"/>
      </w:pPr>
      <w:r>
        <w:t>Testing measurement-system failure handling.</w:t>
      </w:r>
    </w:p>
    <w:p>
      <w:r>
        <w:t>A sensor displaying a plausible value does not automatically prove that the measurement system is accurate. Accuracy, uncertainty, repeatability, and acceptance tolerances must be evaluated according to the application.</w:t>
      </w:r>
    </w:p>
    <w:p>
      <w:pPr>
        <w:pStyle w:val="Heading2"/>
      </w:pPr>
      <w:r>
        <w:t>4. Commissioning cost breakdown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Typical cost basis</w:t>
            </w:r>
          </w:p>
        </w:tc>
        <w:tc>
          <w:tcPr>
            <w:tcW w:type="dxa" w:w="3600"/>
            <w:shd w:val="clear" w:color="auto" w:fill="EEF2F7"/>
          </w:tcPr>
          <w:p>
            <w:pPr>
              <w:spacing w:after="0" w:before="0" w:line="240" w:lineRule="auto"/>
              <w:jc w:val="left"/>
            </w:pPr>
            <w:r>
              <w:rPr>
                <w:b/>
                <w:color w:val="1A2E4A"/>
              </w:rPr>
              <w:t>Main cost driver</w:t>
            </w:r>
          </w:p>
        </w:tc>
      </w:tr>
      <w:tr>
        <w:tc>
          <w:tcPr>
            <w:tcW w:type="dxa" w:w="3600"/>
          </w:tcPr>
          <w:p>
            <w:pPr>
              <w:spacing w:after="0" w:before="0" w:line="240" w:lineRule="auto"/>
              <w:jc w:val="left"/>
            </w:pPr>
            <w:r>
              <w:t>Commissioning engineering</w:t>
            </w:r>
          </w:p>
        </w:tc>
        <w:tc>
          <w:tcPr>
            <w:tcW w:type="dxa" w:w="3600"/>
          </w:tcPr>
          <w:p>
            <w:pPr>
              <w:spacing w:after="0" w:before="0" w:line="240" w:lineRule="auto"/>
              <w:jc w:val="left"/>
            </w:pPr>
            <w:r>
              <w:t>Person-days or lump sum</w:t>
            </w:r>
          </w:p>
        </w:tc>
        <w:tc>
          <w:tcPr>
            <w:tcW w:type="dxa" w:w="3600"/>
          </w:tcPr>
          <w:p>
            <w:pPr>
              <w:spacing w:after="0" w:before="0" w:line="240" w:lineRule="auto"/>
              <w:jc w:val="left"/>
            </w:pPr>
            <w:r>
              <w:t>System complexity</w:t>
            </w:r>
          </w:p>
        </w:tc>
      </w:tr>
      <w:tr>
        <w:tc>
          <w:tcPr>
            <w:tcW w:type="dxa" w:w="3600"/>
          </w:tcPr>
          <w:p>
            <w:pPr>
              <w:spacing w:after="0" w:before="0" w:line="240" w:lineRule="auto"/>
              <w:jc w:val="left"/>
            </w:pPr>
            <w:r>
              <w:t>PLC configuration and testing</w:t>
            </w:r>
          </w:p>
        </w:tc>
        <w:tc>
          <w:tcPr>
            <w:tcW w:type="dxa" w:w="3600"/>
          </w:tcPr>
          <w:p>
            <w:pPr>
              <w:spacing w:after="0" w:before="0" w:line="240" w:lineRule="auto"/>
              <w:jc w:val="left"/>
            </w:pPr>
            <w:r>
              <w:t>Labor hours or package price</w:t>
            </w:r>
          </w:p>
        </w:tc>
        <w:tc>
          <w:tcPr>
            <w:tcW w:type="dxa" w:w="3600"/>
          </w:tcPr>
          <w:p>
            <w:pPr>
              <w:spacing w:after="0" w:before="0" w:line="240" w:lineRule="auto"/>
              <w:jc w:val="left"/>
            </w:pPr>
            <w:r>
              <w:t>I/O count and logic complexity</w:t>
            </w:r>
          </w:p>
        </w:tc>
      </w:tr>
      <w:tr>
        <w:tc>
          <w:tcPr>
            <w:tcW w:type="dxa" w:w="3600"/>
          </w:tcPr>
          <w:p>
            <w:pPr>
              <w:spacing w:after="0" w:before="0" w:line="240" w:lineRule="auto"/>
              <w:jc w:val="left"/>
            </w:pPr>
            <w:r>
              <w:t>HMI and SCADA verification</w:t>
            </w:r>
          </w:p>
        </w:tc>
        <w:tc>
          <w:tcPr>
            <w:tcW w:type="dxa" w:w="3600"/>
          </w:tcPr>
          <w:p>
            <w:pPr>
              <w:spacing w:after="0" w:before="0" w:line="240" w:lineRule="auto"/>
              <w:jc w:val="left"/>
            </w:pPr>
            <w:r>
              <w:t>Labor hours or package price</w:t>
            </w:r>
          </w:p>
        </w:tc>
        <w:tc>
          <w:tcPr>
            <w:tcW w:type="dxa" w:w="3600"/>
          </w:tcPr>
          <w:p>
            <w:pPr>
              <w:spacing w:after="0" w:before="0" w:line="240" w:lineRule="auto"/>
              <w:jc w:val="left"/>
            </w:pPr>
            <w:r>
              <w:t>Screens, tags, alarms, and reports</w:t>
            </w:r>
          </w:p>
        </w:tc>
      </w:tr>
      <w:tr>
        <w:tc>
          <w:tcPr>
            <w:tcW w:type="dxa" w:w="3600"/>
          </w:tcPr>
          <w:p>
            <w:pPr>
              <w:spacing w:after="0" w:before="0" w:line="240" w:lineRule="auto"/>
              <w:jc w:val="left"/>
            </w:pPr>
            <w:r>
              <w:t>Drive and servo tuning</w:t>
            </w:r>
          </w:p>
        </w:tc>
        <w:tc>
          <w:tcPr>
            <w:tcW w:type="dxa" w:w="3600"/>
          </w:tcPr>
          <w:p>
            <w:pPr>
              <w:spacing w:after="0" w:before="0" w:line="240" w:lineRule="auto"/>
              <w:jc w:val="left"/>
            </w:pPr>
            <w:r>
              <w:t>Specialist labor hours</w:t>
            </w:r>
          </w:p>
        </w:tc>
        <w:tc>
          <w:tcPr>
            <w:tcW w:type="dxa" w:w="3600"/>
          </w:tcPr>
          <w:p>
            <w:pPr>
              <w:spacing w:after="0" w:before="0" w:line="240" w:lineRule="auto"/>
              <w:jc w:val="left"/>
            </w:pPr>
            <w:r>
              <w:t>Number of axes and tuning difficulty</w:t>
            </w:r>
          </w:p>
        </w:tc>
      </w:tr>
      <w:tr>
        <w:tc>
          <w:tcPr>
            <w:tcW w:type="dxa" w:w="3600"/>
          </w:tcPr>
          <w:p>
            <w:pPr>
              <w:spacing w:after="0" w:before="0" w:line="240" w:lineRule="auto"/>
              <w:jc w:val="left"/>
            </w:pPr>
            <w:r>
              <w:t>Robot programming and trials</w:t>
            </w:r>
          </w:p>
        </w:tc>
        <w:tc>
          <w:tcPr>
            <w:tcW w:type="dxa" w:w="3600"/>
          </w:tcPr>
          <w:p>
            <w:pPr>
              <w:spacing w:after="0" w:before="0" w:line="240" w:lineRule="auto"/>
              <w:jc w:val="left"/>
            </w:pPr>
            <w:r>
              <w:t>Specialist days or package price</w:t>
            </w:r>
          </w:p>
        </w:tc>
        <w:tc>
          <w:tcPr>
            <w:tcW w:type="dxa" w:w="3600"/>
          </w:tcPr>
          <w:p>
            <w:pPr>
              <w:spacing w:after="0" w:before="0" w:line="240" w:lineRule="auto"/>
              <w:jc w:val="left"/>
            </w:pPr>
            <w:r>
              <w:t>Robot count and process complexity</w:t>
            </w:r>
          </w:p>
        </w:tc>
      </w:tr>
      <w:tr>
        <w:tc>
          <w:tcPr>
            <w:tcW w:type="dxa" w:w="3600"/>
          </w:tcPr>
          <w:p>
            <w:pPr>
              <w:spacing w:after="0" w:before="0" w:line="240" w:lineRule="auto"/>
              <w:jc w:val="left"/>
            </w:pPr>
            <w:r>
              <w:t>CNC setup and verification</w:t>
            </w:r>
          </w:p>
        </w:tc>
        <w:tc>
          <w:tcPr>
            <w:tcW w:type="dxa" w:w="3600"/>
          </w:tcPr>
          <w:p>
            <w:pPr>
              <w:spacing w:after="0" w:before="0" w:line="240" w:lineRule="auto"/>
              <w:jc w:val="left"/>
            </w:pPr>
            <w:r>
              <w:t>Specialist days or package price</w:t>
            </w:r>
          </w:p>
        </w:tc>
        <w:tc>
          <w:tcPr>
            <w:tcW w:type="dxa" w:w="3600"/>
          </w:tcPr>
          <w:p>
            <w:pPr>
              <w:spacing w:after="0" w:before="0" w:line="240" w:lineRule="auto"/>
              <w:jc w:val="left"/>
            </w:pPr>
            <w:r>
              <w:t>Machine complexity and accuracy</w:t>
            </w:r>
          </w:p>
        </w:tc>
      </w:tr>
      <w:tr>
        <w:tc>
          <w:tcPr>
            <w:tcW w:type="dxa" w:w="3600"/>
          </w:tcPr>
          <w:p>
            <w:pPr>
              <w:spacing w:after="0" w:before="0" w:line="240" w:lineRule="auto"/>
              <w:jc w:val="left"/>
            </w:pPr>
            <w:r>
              <w:t>Instrument verification</w:t>
            </w:r>
          </w:p>
        </w:tc>
        <w:tc>
          <w:tcPr>
            <w:tcW w:type="dxa" w:w="3600"/>
          </w:tcPr>
          <w:p>
            <w:pPr>
              <w:spacing w:after="0" w:before="0" w:line="240" w:lineRule="auto"/>
              <w:jc w:val="left"/>
            </w:pPr>
            <w:r>
              <w:t>Per device or labor hours</w:t>
            </w:r>
          </w:p>
        </w:tc>
        <w:tc>
          <w:tcPr>
            <w:tcW w:type="dxa" w:w="3600"/>
          </w:tcPr>
          <w:p>
            <w:pPr>
              <w:spacing w:after="0" w:before="0" w:line="240" w:lineRule="auto"/>
              <w:jc w:val="left"/>
            </w:pPr>
            <w:r>
              <w:t>Instrument count and calibration requirements</w:t>
            </w:r>
          </w:p>
        </w:tc>
      </w:tr>
      <w:tr>
        <w:tc>
          <w:tcPr>
            <w:tcW w:type="dxa" w:w="3600"/>
          </w:tcPr>
          <w:p>
            <w:pPr>
              <w:spacing w:after="0" w:before="0" w:line="240" w:lineRule="auto"/>
              <w:jc w:val="left"/>
            </w:pPr>
            <w:r>
              <w:t>Network and interface testing</w:t>
            </w:r>
          </w:p>
        </w:tc>
        <w:tc>
          <w:tcPr>
            <w:tcW w:type="dxa" w:w="3600"/>
          </w:tcPr>
          <w:p>
            <w:pPr>
              <w:spacing w:after="0" w:before="0" w:line="240" w:lineRule="auto"/>
              <w:jc w:val="left"/>
            </w:pPr>
            <w:r>
              <w:t>Labor hours or lump sum</w:t>
            </w:r>
          </w:p>
        </w:tc>
        <w:tc>
          <w:tcPr>
            <w:tcW w:type="dxa" w:w="3600"/>
          </w:tcPr>
          <w:p>
            <w:pPr>
              <w:spacing w:after="0" w:before="0" w:line="240" w:lineRule="auto"/>
              <w:jc w:val="left"/>
            </w:pPr>
            <w:r>
              <w:t>Number of connected systems</w:t>
            </w:r>
          </w:p>
        </w:tc>
      </w:tr>
      <w:tr>
        <w:tc>
          <w:tcPr>
            <w:tcW w:type="dxa" w:w="3600"/>
          </w:tcPr>
          <w:p>
            <w:pPr>
              <w:spacing w:after="0" w:before="0" w:line="240" w:lineRule="auto"/>
              <w:jc w:val="left"/>
            </w:pPr>
            <w:r>
              <w:t>Safety-function validation</w:t>
            </w:r>
          </w:p>
        </w:tc>
        <w:tc>
          <w:tcPr>
            <w:tcW w:type="dxa" w:w="3600"/>
          </w:tcPr>
          <w:p>
            <w:pPr>
              <w:spacing w:after="0" w:before="0" w:line="240" w:lineRule="auto"/>
              <w:jc w:val="left"/>
            </w:pPr>
            <w:r>
              <w:t>Defined test package or specialist labor</w:t>
            </w:r>
          </w:p>
        </w:tc>
        <w:tc>
          <w:tcPr>
            <w:tcW w:type="dxa" w:w="3600"/>
          </w:tcPr>
          <w:p>
            <w:pPr>
              <w:spacing w:after="0" w:before="0" w:line="240" w:lineRule="auto"/>
              <w:jc w:val="left"/>
            </w:pPr>
            <w:r>
              <w:t>Safety architecture and required tests</w:t>
            </w:r>
          </w:p>
        </w:tc>
      </w:tr>
      <w:tr>
        <w:tc>
          <w:tcPr>
            <w:tcW w:type="dxa" w:w="3600"/>
          </w:tcPr>
          <w:p>
            <w:pPr>
              <w:spacing w:after="0" w:before="0" w:line="240" w:lineRule="auto"/>
              <w:jc w:val="left"/>
            </w:pPr>
            <w:r>
              <w:t>FAT and SAT support</w:t>
            </w:r>
          </w:p>
        </w:tc>
        <w:tc>
          <w:tcPr>
            <w:tcW w:type="dxa" w:w="3600"/>
          </w:tcPr>
          <w:p>
            <w:pPr>
              <w:spacing w:after="0" w:before="0" w:line="240" w:lineRule="auto"/>
              <w:jc w:val="left"/>
            </w:pPr>
            <w:r>
              <w:t>Test days or lump sum</w:t>
            </w:r>
          </w:p>
        </w:tc>
        <w:tc>
          <w:tcPr>
            <w:tcW w:type="dxa" w:w="3600"/>
          </w:tcPr>
          <w:p>
            <w:pPr>
              <w:spacing w:after="0" w:before="0" w:line="240" w:lineRule="auto"/>
              <w:jc w:val="left"/>
            </w:pPr>
            <w:r>
              <w:t>Test scope and duration</w:t>
            </w:r>
          </w:p>
        </w:tc>
      </w:tr>
      <w:tr>
        <w:tc>
          <w:tcPr>
            <w:tcW w:type="dxa" w:w="3600"/>
          </w:tcPr>
          <w:p>
            <w:pPr>
              <w:spacing w:after="0" w:before="0" w:line="240" w:lineRule="auto"/>
              <w:jc w:val="left"/>
            </w:pPr>
            <w:r>
              <w:t>Trial production</w:t>
            </w:r>
          </w:p>
        </w:tc>
        <w:tc>
          <w:tcPr>
            <w:tcW w:type="dxa" w:w="3600"/>
          </w:tcPr>
          <w:p>
            <w:pPr>
              <w:spacing w:after="0" w:before="0" w:line="240" w:lineRule="auto"/>
              <w:jc w:val="left"/>
            </w:pPr>
            <w:r>
              <w:t>Time, materials, and agreed service costs</w:t>
            </w:r>
          </w:p>
        </w:tc>
        <w:tc>
          <w:tcPr>
            <w:tcW w:type="dxa" w:w="3600"/>
          </w:tcPr>
          <w:p>
            <w:pPr>
              <w:spacing w:after="0" w:before="0" w:line="240" w:lineRule="auto"/>
              <w:jc w:val="left"/>
            </w:pPr>
            <w:r>
              <w:t>Number of trials and process stability</w:t>
            </w:r>
          </w:p>
        </w:tc>
      </w:tr>
      <w:tr>
        <w:tc>
          <w:tcPr>
            <w:tcW w:type="dxa" w:w="3600"/>
          </w:tcPr>
          <w:p>
            <w:pPr>
              <w:spacing w:after="0" w:before="0" w:line="240" w:lineRule="auto"/>
              <w:jc w:val="left"/>
            </w:pPr>
            <w:r>
              <w:t>Travel and accommodation</w:t>
            </w:r>
          </w:p>
        </w:tc>
        <w:tc>
          <w:tcPr>
            <w:tcW w:type="dxa" w:w="3600"/>
          </w:tcPr>
          <w:p>
            <w:pPr>
              <w:spacing w:after="0" w:before="0" w:line="240" w:lineRule="auto"/>
              <w:jc w:val="left"/>
            </w:pPr>
            <w:r>
              <w:t>Actual cost or agreed allowance</w:t>
            </w:r>
          </w:p>
        </w:tc>
        <w:tc>
          <w:tcPr>
            <w:tcW w:type="dxa" w:w="3600"/>
          </w:tcPr>
          <w:p>
            <w:pPr>
              <w:spacing w:after="0" w:before="0" w:line="240" w:lineRule="auto"/>
              <w:jc w:val="left"/>
            </w:pPr>
            <w:r>
              <w:t>Site location and duration</w:t>
            </w:r>
          </w:p>
        </w:tc>
      </w:tr>
      <w:tr>
        <w:tc>
          <w:tcPr>
            <w:tcW w:type="dxa" w:w="3600"/>
          </w:tcPr>
          <w:p>
            <w:pPr>
              <w:spacing w:after="0" w:before="0" w:line="240" w:lineRule="auto"/>
              <w:jc w:val="left"/>
            </w:pPr>
            <w:r>
              <w:t>Software licenses</w:t>
            </w:r>
          </w:p>
        </w:tc>
        <w:tc>
          <w:tcPr>
            <w:tcW w:type="dxa" w:w="3600"/>
          </w:tcPr>
          <w:p>
            <w:pPr>
              <w:spacing w:after="0" w:before="0" w:line="240" w:lineRule="auto"/>
              <w:jc w:val="left"/>
            </w:pPr>
            <w:r>
              <w:t>License price or subscription</w:t>
            </w:r>
          </w:p>
        </w:tc>
        <w:tc>
          <w:tcPr>
            <w:tcW w:type="dxa" w:w="3600"/>
          </w:tcPr>
          <w:p>
            <w:pPr>
              <w:spacing w:after="0" w:before="0" w:line="240" w:lineRule="auto"/>
              <w:jc w:val="left"/>
            </w:pPr>
            <w:r>
              <w:t>Required products and options</w:t>
            </w:r>
          </w:p>
        </w:tc>
      </w:tr>
      <w:tr>
        <w:tc>
          <w:tcPr>
            <w:tcW w:type="dxa" w:w="3600"/>
          </w:tcPr>
          <w:p>
            <w:pPr>
              <w:spacing w:after="0" w:before="0" w:line="240" w:lineRule="auto"/>
              <w:jc w:val="left"/>
            </w:pPr>
            <w:r>
              <w:t>Documentation and backups</w:t>
            </w:r>
          </w:p>
        </w:tc>
        <w:tc>
          <w:tcPr>
            <w:tcW w:type="dxa" w:w="3600"/>
          </w:tcPr>
          <w:p>
            <w:pPr>
              <w:spacing w:after="0" w:before="0" w:line="240" w:lineRule="auto"/>
              <w:jc w:val="left"/>
            </w:pPr>
            <w:r>
              <w:t>Lump sum or labor hours</w:t>
            </w:r>
          </w:p>
        </w:tc>
        <w:tc>
          <w:tcPr>
            <w:tcW w:type="dxa" w:w="3600"/>
          </w:tcPr>
          <w:p>
            <w:pPr>
              <w:spacing w:after="0" w:before="0" w:line="240" w:lineRule="auto"/>
              <w:jc w:val="left"/>
            </w:pPr>
            <w:r>
              <w:t>Deliverables and documentation quality</w:t>
            </w:r>
          </w:p>
        </w:tc>
      </w:tr>
      <w:tr>
        <w:tc>
          <w:tcPr>
            <w:tcW w:type="dxa" w:w="3600"/>
          </w:tcPr>
          <w:p>
            <w:pPr>
              <w:spacing w:after="0" w:before="0" w:line="240" w:lineRule="auto"/>
              <w:jc w:val="left"/>
            </w:pPr>
            <w:r>
              <w:t>Training and handover</w:t>
            </w:r>
          </w:p>
        </w:tc>
        <w:tc>
          <w:tcPr>
            <w:tcW w:type="dxa" w:w="3600"/>
          </w:tcPr>
          <w:p>
            <w:pPr>
              <w:spacing w:after="0" w:before="0" w:line="240" w:lineRule="auto"/>
              <w:jc w:val="left"/>
            </w:pPr>
            <w:r>
              <w:t>Training days or package price</w:t>
            </w:r>
          </w:p>
        </w:tc>
        <w:tc>
          <w:tcPr>
            <w:tcW w:type="dxa" w:w="3600"/>
          </w:tcPr>
          <w:p>
            <w:pPr>
              <w:spacing w:after="0" w:before="0" w:line="240" w:lineRule="auto"/>
              <w:jc w:val="left"/>
            </w:pPr>
            <w:r>
              <w:t>Audience and scope</w:t>
            </w:r>
          </w:p>
        </w:tc>
      </w:tr>
      <w:tr>
        <w:tc>
          <w:tcPr>
            <w:tcW w:type="dxa" w:w="3600"/>
          </w:tcPr>
          <w:p>
            <w:pPr>
              <w:spacing w:after="0" w:before="0" w:line="240" w:lineRule="auto"/>
              <w:jc w:val="left"/>
            </w:pPr>
            <w:r>
              <w:t>Retesting and rework</w:t>
            </w:r>
          </w:p>
        </w:tc>
        <w:tc>
          <w:tcPr>
            <w:tcW w:type="dxa" w:w="3600"/>
          </w:tcPr>
          <w:p>
            <w:pPr>
              <w:spacing w:after="0" w:before="0" w:line="240" w:lineRule="auto"/>
              <w:jc w:val="left"/>
            </w:pPr>
            <w:r>
              <w:t>Contract-defined or variation basis</w:t>
            </w:r>
          </w:p>
        </w:tc>
        <w:tc>
          <w:tcPr>
            <w:tcW w:type="dxa" w:w="3600"/>
          </w:tcPr>
          <w:p>
            <w:pPr>
              <w:spacing w:after="0" w:before="0" w:line="240" w:lineRule="auto"/>
              <w:jc w:val="left"/>
            </w:pPr>
            <w:r>
              <w:t>Defects and incomplete preparation</w:t>
            </w:r>
          </w:p>
        </w:tc>
      </w:tr>
    </w:tbl>
    <w:p/>
    <w:p>
      <w:r>
        <w:t>A cost breakdown should distinguish the supplier's fixed scope from variable charges, optional services, and buyer-provided resources.</w:t>
      </w:r>
    </w:p>
    <w:p>
      <w:pPr>
        <w:pStyle w:val="Heading2"/>
      </w:pPr>
      <w:r>
        <w:t>5. Commissioning labor estimation</w:t>
      </w:r>
    </w:p>
    <w:p>
      <w:r>
        <w:t>Commissioning labor is usually estimated by activity, specialist skill, and expected duration.</w:t>
      </w:r>
    </w:p>
    <w:p>
      <w:pPr>
        <w:pStyle w:val="Heading3"/>
      </w:pPr>
      <w:r>
        <w:t>5.1 Labor cost</w:t>
      </w:r>
    </w:p>
    <w:p>
      <w:pPr>
        <w:spacing w:before="120" w:after="160"/>
        <w:jc w:val="center"/>
      </w:pPr>
      <m:oMathPara>
        <m:oMath>
          <m:r>
            <m:rPr>
              <m:nor/>
            </m:rPr>
            <m:t>Labor Cost</m:t>
          </m:r>
          <m:r>
            <m:t>=</m:t>
          </m:r>
          <m:r>
            <m:rPr>
              <m:nor/>
            </m:rPr>
            <m:t>Labor Hours</m:t>
          </m:r>
          <m:r>
            <m:t>×</m:t>
          </m:r>
          <m:r>
            <m:rPr>
              <m:nor/>
            </m:rPr>
            <m:t>Hourly Rate</m:t>
          </m:r>
        </m:oMath>
      </m:oMathPara>
    </w:p>
    <w:p>
      <w:r>
        <w:t>Suppose a PLC specialist spends 5 days commissioning a system, working 8 hours per day, at an illustrative rate of ₹1,500 per hour.</w:t>
      </w:r>
    </w:p>
    <w:p>
      <w:pPr>
        <w:spacing w:before="120" w:after="160"/>
        <w:jc w:val="center"/>
      </w:pPr>
      <m:oMathPara>
        <m:oMath>
          <m:r>
            <m:rPr>
              <m:nor/>
            </m:rPr>
            <m:t>Labor Hours</m:t>
          </m:r>
          <m:r>
            <m:t>=5×8=40</m:t>
          </m:r>
        </m:oMath>
      </m:oMathPara>
    </w:p>
    <w:p>
      <w:pPr>
        <w:spacing w:before="120" w:after="160"/>
        <w:jc w:val="center"/>
      </w:pPr>
      <m:oMathPara>
        <m:oMath>
          <m:r>
            <m:rPr>
              <m:nor/>
            </m:rPr>
            <m:t>Labor Cost</m:t>
          </m:r>
          <m:r>
            <m:t>=40×₹1</m:t>
          </m:r>
          <m:r>
            <m:t>,</m:t>
          </m:r>
          <m:r>
            <m:t>500=₹60</m:t>
          </m:r>
          <m:r>
            <m:t>,</m:t>
          </m:r>
          <m:r>
            <m:t>000</m:t>
          </m:r>
        </m:oMath>
      </m:oMathPara>
    </w:p>
    <w:p>
      <w:r>
        <w:t>This calculation excludes any additional travel, accommodation, overtime, tools, taxes, or other separately chargeable items.</w:t>
      </w:r>
    </w:p>
    <w:p>
      <w:pPr>
        <w:pStyle w:val="Heading3"/>
      </w:pPr>
      <w:r>
        <w:t>5.2 Multidisciplinary commissioning</w:t>
      </w:r>
    </w:p>
    <w:p>
      <w:r>
        <w:t>A machine may require PLC, mechanical, electrical, process, robot, and quality specialists. Their work may occur in parallel or depend on completion of other activities.</w:t>
      </w:r>
    </w:p>
    <w:p>
      <w:r>
        <w:t>The total labor cost is:</w:t>
      </w:r>
    </w:p>
    <w:p>
      <w:pPr>
        <w:spacing w:before="120" w:after="160"/>
        <w:jc w:val="center"/>
      </w:pPr>
      <m:oMathPara>
        <m:oMath>
          <m:r>
            <m:rPr>
              <m:nor/>
            </m:rPr>
            <m:t>Total Labor Cost</m:t>
          </m:r>
          <m:r>
            <m:t>=</m:t>
          </m:r>
          <m:nary>
            <m:naryPr>
              <m:chr m:val="∑"/>
              <m:limLoc m:val="subSup"/>
              <m:grow m:val="1"/>
              <m:subHide m:val="off"/>
              <m:supHide m:val="off"/>
            </m:naryPr>
            <m:sub>
              <m:r>
                <m:t>i=1</m:t>
              </m:r>
            </m:sub>
            <m:sup>
              <m:r>
                <m:t>n</m:t>
              </m:r>
            </m:sup>
            <m:e>
              <m:d>
                <m:dPr>
                  <m:sepChr m:val="×"/>
                </m:dPr>
                <m:e>
                  <m:sSub>
                    <m:e>
                      <m:r>
                        <m:rPr>
                          <m:nor/>
                        </m:rPr>
                        <m:t>Hours</m:t>
                      </m:r>
                    </m:e>
                    <m:sub>
                      <m:r>
                        <m:t>i</m:t>
                      </m:r>
                    </m:sub>
                  </m:sSub>
                </m:e>
                <m:e>
                  <m:sSub>
                    <m:e>
                      <m:r>
                        <m:rPr>
                          <m:nor/>
                        </m:rPr>
                        <m:t>Rate</m:t>
                      </m:r>
                    </m:e>
                    <m:sub>
                      <m:r>
                        <m:t>i</m:t>
                      </m:r>
                    </m:sub>
                  </m:sSub>
                </m:e>
              </m:d>
            </m:e>
          </m:nary>
        </m:oMath>
      </m:oMathPara>
    </w:p>
    <w:p>
      <w:r>
        <w:t>Estimate each discipline separately. Applying one average hourly rate to all specialists can distort the budget.</w:t>
      </w:r>
    </w:p>
    <w:p>
      <w:pPr>
        <w:pStyle w:val="Heading3"/>
      </w:pPr>
      <w:r>
        <w:t>5.3 Planned duration versus actual duration</w:t>
      </w:r>
    </w:p>
    <w:p>
      <w:r>
        <w:t>Commissioning duration depends on more than the number of planned tests.</w:t>
      </w:r>
    </w:p>
    <w:p>
      <w:r>
        <w:t>Common causes of delay include:</w:t>
      </w:r>
    </w:p>
    <w:p>
      <w:pPr>
        <w:pStyle w:val="ListBullet"/>
      </w:pPr>
      <w:r>
        <w:t>Missing or incorrect drawings.</w:t>
      </w:r>
    </w:p>
    <w:p>
      <w:pPr>
        <w:pStyle w:val="ListBullet"/>
      </w:pPr>
      <w:r>
        <w:t>Incomplete installation.</w:t>
      </w:r>
    </w:p>
    <w:p>
      <w:pPr>
        <w:pStyle w:val="ListBullet"/>
      </w:pPr>
      <w:r>
        <w:t>Incorrect wiring.</w:t>
      </w:r>
    </w:p>
    <w:p>
      <w:pPr>
        <w:pStyle w:val="ListBullet"/>
      </w:pPr>
      <w:r>
        <w:t>Unavailable production materials.</w:t>
      </w:r>
    </w:p>
    <w:p>
      <w:pPr>
        <w:pStyle w:val="ListBullet"/>
      </w:pPr>
      <w:r>
        <w:t>Missing software licenses.</w:t>
      </w:r>
    </w:p>
    <w:p>
      <w:pPr>
        <w:pStyle w:val="ListBullet"/>
      </w:pPr>
      <w:r>
        <w:t>Communication failures.</w:t>
      </w:r>
    </w:p>
    <w:p>
      <w:pPr>
        <w:pStyle w:val="ListBullet"/>
      </w:pPr>
      <w:r>
        <w:t>Unresolved mechanical defects.</w:t>
      </w:r>
    </w:p>
    <w:p>
      <w:pPr>
        <w:pStyle w:val="ListBullet"/>
      </w:pPr>
      <w:r>
        <w:t>Inadequate test instruments.</w:t>
      </w:r>
    </w:p>
    <w:p>
      <w:pPr>
        <w:pStyle w:val="ListBullet"/>
      </w:pPr>
      <w:r>
        <w:t>Incomplete safety approvals.</w:t>
      </w:r>
    </w:p>
    <w:p>
      <w:pPr>
        <w:pStyle w:val="ListBullet"/>
      </w:pPr>
      <w:r>
        <w:t>Supplier personnel arriving before site readiness.</w:t>
      </w:r>
    </w:p>
    <w:p>
      <w:pPr>
        <w:pStyle w:val="ListBullet"/>
      </w:pPr>
      <w:r>
        <w:t>Repeated changes to process requirements.</w:t>
      </w:r>
    </w:p>
    <w:p>
      <w:r>
        <w:t>The commissioning estimate should include a justified allowance for uncertainty without using contingency to conceal known deficiencies.</w:t>
      </w:r>
    </w:p>
    <w:p>
      <w:pPr>
        <w:pStyle w:val="Heading2"/>
      </w:pPr>
      <w:r>
        <w:t>6. Commissioning cost estimation methods</w:t>
      </w:r>
    </w:p>
    <w:p>
      <w:pPr>
        <w:pStyle w:val="Heading3"/>
      </w:pPr>
      <w:r>
        <w:t>6.1 Bottom-up estimation</w:t>
      </w:r>
    </w:p>
    <w:p>
      <w:r>
        <w:t>Estimate the labor, services, tools, and tests required for each commissioning activity.</w:t>
      </w:r>
    </w:p>
    <w:p>
      <w:pPr>
        <w:spacing w:before="120" w:after="160"/>
        <w:jc w:val="center"/>
      </w:pPr>
      <m:oMathPara>
        <m:oMath>
          <m:r>
            <m:rPr>
              <m:nor/>
            </m:rPr>
            <m:t>Commissioning Estimate</m:t>
          </m:r>
          <m:r>
            <m:t>=∑</m:t>
          </m:r>
          <m:r>
            <m:rPr>
              <m:nor/>
            </m:rPr>
            <m:t>Labor Costs</m:t>
          </m:r>
          <m:r>
            <m:t>+∑</m:t>
          </m:r>
          <m:r>
            <m:rPr>
              <m:nor/>
            </m:rPr>
            <m:t>Test Costs</m:t>
          </m:r>
          <m:r>
            <m:t>+∑</m:t>
          </m:r>
          <m:r>
            <m:rPr>
              <m:nor/>
            </m:rPr>
            <m:t>Travel Costs</m:t>
          </m:r>
          <m:r>
            <m:t>+∑</m:t>
          </m:r>
          <m:r>
            <m:rPr>
              <m:nor/>
            </m:rPr>
            <m:t>Other Included Costs</m:t>
          </m:r>
        </m:oMath>
      </m:oMathPara>
    </w:p>
    <w:p>
      <w:r>
        <w:t>This method is suitable when the system architecture, I/O list, test plan, and acceptance requirements are sufficiently developed.</w:t>
      </w:r>
    </w:p>
    <w:p>
      <w:pPr>
        <w:pStyle w:val="Heading3"/>
      </w:pPr>
      <w:r>
        <w:t>6.2 Historical estimation</w:t>
      </w:r>
    </w:p>
    <w:p>
      <w:r>
        <w:t>Use the cost of commissioning a comparable system and adjust for:</w:t>
      </w:r>
    </w:p>
    <w:p>
      <w:pPr>
        <w:pStyle w:val="ListBullet"/>
      </w:pPr>
      <w:r>
        <w:t>Number of I/O points.</w:t>
      </w:r>
    </w:p>
    <w:p>
      <w:pPr>
        <w:pStyle w:val="ListBullet"/>
      </w:pPr>
      <w:r>
        <w:t>Number of drives, axes, robots, and machines.</w:t>
      </w:r>
    </w:p>
    <w:p>
      <w:pPr>
        <w:pStyle w:val="ListBullet"/>
      </w:pPr>
      <w:r>
        <w:t>Number of interfaces.</w:t>
      </w:r>
    </w:p>
    <w:p>
      <w:pPr>
        <w:pStyle w:val="ListBullet"/>
      </w:pPr>
      <w:r>
        <w:t>Software maturity.</w:t>
      </w:r>
    </w:p>
    <w:p>
      <w:pPr>
        <w:pStyle w:val="ListBullet"/>
      </w:pPr>
      <w:r>
        <w:t>Safety requirements.</w:t>
      </w:r>
    </w:p>
    <w:p>
      <w:pPr>
        <w:pStyle w:val="ListBullet"/>
      </w:pPr>
      <w:r>
        <w:t>Test complexity.</w:t>
      </w:r>
    </w:p>
    <w:p>
      <w:pPr>
        <w:pStyle w:val="ListBullet"/>
      </w:pPr>
      <w:r>
        <w:t>Supplier experience.</w:t>
      </w:r>
    </w:p>
    <w:p>
      <w:pPr>
        <w:pStyle w:val="ListBullet"/>
      </w:pPr>
      <w:r>
        <w:t>Required production trials.</w:t>
      </w:r>
    </w:p>
    <w:p>
      <w:pPr>
        <w:pStyle w:val="ListBullet"/>
      </w:pPr>
      <w:r>
        <w:t>Travel and site restrictions.</w:t>
      </w:r>
    </w:p>
    <w:p>
      <w:pPr>
        <w:pStyle w:val="ListBullet"/>
      </w:pPr>
      <w:r>
        <w:t>Documentation and acceptance scope.</w:t>
      </w:r>
    </w:p>
    <w:p>
      <w:r>
        <w:t>Historical costs are useful only when the earlier project had a reasonably comparable scope.</w:t>
      </w:r>
    </w:p>
    <w:p>
      <w:pPr>
        <w:pStyle w:val="Heading3"/>
      </w:pPr>
      <w:r>
        <w:t>6.3 Parametric estimation</w:t>
      </w:r>
    </w:p>
    <w:p>
      <w:r>
        <w:t>Possible estimation parameters include:</w:t>
      </w:r>
    </w:p>
    <w:p>
      <w:pPr>
        <w:pStyle w:val="ListBullet"/>
      </w:pPr>
      <w:r>
        <w:t>Commissioning hours per I/O point.</w:t>
      </w:r>
    </w:p>
    <w:p>
      <w:pPr>
        <w:pStyle w:val="ListBullet"/>
      </w:pPr>
      <w:r>
        <w:t>Labor hours per drive or servo axis.</w:t>
      </w:r>
    </w:p>
    <w:p>
      <w:pPr>
        <w:pStyle w:val="ListBullet"/>
      </w:pPr>
      <w:r>
        <w:t>Specialist days per robot.</w:t>
      </w:r>
    </w:p>
    <w:p>
      <w:pPr>
        <w:pStyle w:val="ListBullet"/>
      </w:pPr>
      <w:r>
        <w:t>Test hours per safety function.</w:t>
      </w:r>
    </w:p>
    <w:p>
      <w:pPr>
        <w:pStyle w:val="ListBullet"/>
      </w:pPr>
      <w:r>
        <w:t>Engineering hours per interface.</w:t>
      </w:r>
    </w:p>
    <w:p>
      <w:pPr>
        <w:pStyle w:val="ListBullet"/>
      </w:pPr>
      <w:r>
        <w:t>Test duration per product variant.</w:t>
      </w:r>
    </w:p>
    <w:p>
      <w:r>
        <w:t>These rates must come from relevant historical data or a justified estimate. Commissioning time does not increase linearly with every added I/O point because architecture, code reuse, and interface complexity affect the workload.</w:t>
      </w:r>
    </w:p>
    <w:p>
      <w:pPr>
        <w:pStyle w:val="Heading3"/>
      </w:pPr>
      <w:r>
        <w:t>6.4 Supplier quotation</w:t>
      </w:r>
    </w:p>
    <w:p>
      <w:r>
        <w:t>A supplier may quote commissioning as a fixed package, a daily rate, or a combination.</w:t>
      </w:r>
    </w:p>
    <w:p>
      <w:r>
        <w:t>Confirm:</w:t>
      </w:r>
    </w:p>
    <w:p>
      <w:pPr>
        <w:pStyle w:val="ListBullet"/>
      </w:pPr>
      <w:r>
        <w:t>Included specialist roles.</w:t>
      </w:r>
    </w:p>
    <w:p>
      <w:pPr>
        <w:pStyle w:val="ListBullet"/>
      </w:pPr>
      <w:r>
        <w:t>Number of included days.</w:t>
      </w:r>
    </w:p>
    <w:p>
      <w:pPr>
        <w:pStyle w:val="ListBullet"/>
      </w:pPr>
      <w:r>
        <w:t>Daily working hours.</w:t>
      </w:r>
    </w:p>
    <w:p>
      <w:pPr>
        <w:pStyle w:val="ListBullet"/>
      </w:pPr>
      <w:r>
        <w:t>Travel and accommodation.</w:t>
      </w:r>
    </w:p>
    <w:p>
      <w:pPr>
        <w:pStyle w:val="ListBullet"/>
      </w:pPr>
      <w:r>
        <w:t>Overtime and weekend rates.</w:t>
      </w:r>
    </w:p>
    <w:p>
      <w:pPr>
        <w:pStyle w:val="ListBullet"/>
      </w:pPr>
      <w:r>
        <w:t>Equipment and test tools.</w:t>
      </w:r>
    </w:p>
    <w:p>
      <w:pPr>
        <w:pStyle w:val="ListBullet"/>
      </w:pPr>
      <w:r>
        <w:t>Scope of software changes.</w:t>
      </w:r>
    </w:p>
    <w:p>
      <w:pPr>
        <w:pStyle w:val="ListBullet"/>
      </w:pPr>
      <w:r>
        <w:t>Number of included test cycles.</w:t>
      </w:r>
    </w:p>
    <w:p>
      <w:pPr>
        <w:pStyle w:val="ListBullet"/>
      </w:pPr>
      <w:r>
        <w:t>Treatment of defects and retesting.</w:t>
      </w:r>
    </w:p>
    <w:p>
      <w:pPr>
        <w:pStyle w:val="ListBullet"/>
      </w:pPr>
      <w:r>
        <w:t>Acceptance criteria.</w:t>
      </w:r>
    </w:p>
    <w:p>
      <w:pPr>
        <w:pStyle w:val="ListBullet"/>
      </w:pPr>
      <w:r>
        <w:t>Charges for additional visits.</w:t>
      </w:r>
    </w:p>
    <w:p>
      <w:r>
        <w:t>A low daily rate can become expensive when the number of chargeable days is undefined.</w:t>
      </w:r>
    </w:p>
    <w:p>
      <w:pPr>
        <w:pStyle w:val="Heading2"/>
      </w:pPr>
      <w:r>
        <w:t>7. FAT, SAT, and acceptance-related costs</w:t>
      </w:r>
    </w:p>
    <w:p>
      <w:pPr>
        <w:pStyle w:val="Heading3"/>
      </w:pPr>
      <w:r>
        <w:t>7.1 Factory Acceptance Test (FAT)</w:t>
      </w:r>
    </w:p>
    <w:p>
      <w:r>
        <w:t>FAT is performed at the supplier's facility before shipment or delivery, according to the agreed test plan.</w:t>
      </w:r>
    </w:p>
    <w:p>
      <w:r>
        <w:t>It may verify:</w:t>
      </w:r>
    </w:p>
    <w:p>
      <w:pPr>
        <w:pStyle w:val="ListBullet"/>
      </w:pPr>
      <w:r>
        <w:t>Hardware configuration.</w:t>
      </w:r>
    </w:p>
    <w:p>
      <w:pPr>
        <w:pStyle w:val="ListBullet"/>
      </w:pPr>
      <w:r>
        <w:t>PLC and HMI functionality.</w:t>
      </w:r>
    </w:p>
    <w:p>
      <w:pPr>
        <w:pStyle w:val="ListBullet"/>
      </w:pPr>
      <w:r>
        <w:t>Alarm behavior.</w:t>
      </w:r>
    </w:p>
    <w:p>
      <w:pPr>
        <w:pStyle w:val="ListBullet"/>
      </w:pPr>
      <w:r>
        <w:t>Sequence logic.</w:t>
      </w:r>
    </w:p>
    <w:p>
      <w:pPr>
        <w:pStyle w:val="ListBullet"/>
      </w:pPr>
      <w:r>
        <w:t>Communication interfaces.</w:t>
      </w:r>
    </w:p>
    <w:p>
      <w:pPr>
        <w:pStyle w:val="ListBullet"/>
      </w:pPr>
      <w:r>
        <w:t>Selected safety-related functions, where applicable and contractually defined.</w:t>
      </w:r>
    </w:p>
    <w:p>
      <w:pPr>
        <w:pStyle w:val="ListBullet"/>
      </w:pPr>
      <w:r>
        <w:t>Data logging.</w:t>
      </w:r>
    </w:p>
    <w:p>
      <w:pPr>
        <w:pStyle w:val="ListBullet"/>
      </w:pPr>
      <w:r>
        <w:t>Documentation and backup deliverables.</w:t>
      </w:r>
    </w:p>
    <w:p>
      <w:pPr>
        <w:pStyle w:val="ListBullet"/>
      </w:pPr>
      <w:r>
        <w:t>Performance against specified factory test criteria.</w:t>
      </w:r>
    </w:p>
    <w:p>
      <w:r>
        <w:t>FAT can identify defects before the equipment reaches the plant, reducing site rework and startup risk.</w:t>
      </w:r>
    </w:p>
    <w:p>
      <w:pPr>
        <w:pStyle w:val="Heading3"/>
      </w:pPr>
      <w:r>
        <w:t>7.2 Site Acceptance Test (SAT)</w:t>
      </w:r>
    </w:p>
    <w:p>
      <w:r>
        <w:t>SAT is performed at the installation site to verify the equipment under the agreed site conditions.</w:t>
      </w:r>
    </w:p>
    <w:p>
      <w:r>
        <w:t>It may include:</w:t>
      </w:r>
    </w:p>
    <w:p>
      <w:pPr>
        <w:pStyle w:val="ListBullet"/>
      </w:pPr>
      <w:r>
        <w:t>Verification of completed installation.</w:t>
      </w:r>
    </w:p>
    <w:p>
      <w:pPr>
        <w:pStyle w:val="ListBullet"/>
      </w:pPr>
      <w:r>
        <w:t>Plant utility and interface checks.</w:t>
      </w:r>
    </w:p>
    <w:p>
      <w:pPr>
        <w:pStyle w:val="ListBullet"/>
      </w:pPr>
      <w:r>
        <w:t>Integration with upstream and downstream equipment.</w:t>
      </w:r>
    </w:p>
    <w:p>
      <w:pPr>
        <w:pStyle w:val="ListBullet"/>
      </w:pPr>
      <w:r>
        <w:t>Communication with plant systems.</w:t>
      </w:r>
    </w:p>
    <w:p>
      <w:pPr>
        <w:pStyle w:val="ListBullet"/>
      </w:pPr>
      <w:r>
        <w:t>Functional and interlock tests.</w:t>
      </w:r>
    </w:p>
    <w:p>
      <w:pPr>
        <w:pStyle w:val="ListBullet"/>
      </w:pPr>
      <w:r>
        <w:t>Performance tests under defined operating conditions.</w:t>
      </w:r>
    </w:p>
    <w:p>
      <w:pPr>
        <w:pStyle w:val="ListBullet"/>
      </w:pPr>
      <w:r>
        <w:t>Required documentation and handover checks.</w:t>
      </w:r>
    </w:p>
    <w:p>
      <w:r>
        <w:t>FAT and SAT do not automatically cover every possible failure mode. Their scope, test conditions, pass criteria, responsibilities, and treatment of failed tests must be agreed in advance.</w:t>
      </w:r>
    </w:p>
    <w:p>
      <w:pPr>
        <w:pStyle w:val="Heading3"/>
      </w:pPr>
      <w:r>
        <w:t>7.3 Acceptance-related commercial provisions</w:t>
      </w:r>
    </w:p>
    <w:p>
      <w:r>
        <w:t>The contract should clarify:</w:t>
      </w:r>
    </w:p>
    <w:p>
      <w:pPr>
        <w:pStyle w:val="ListBullet"/>
      </w:pPr>
      <w:r>
        <w:t>Which tests are included in the price.</w:t>
      </w:r>
    </w:p>
    <w:p>
      <w:pPr>
        <w:pStyle w:val="ListBullet"/>
      </w:pPr>
      <w:r>
        <w:t>Who supplies test materials and sample parts.</w:t>
      </w:r>
    </w:p>
    <w:p>
      <w:pPr>
        <w:pStyle w:val="ListBullet"/>
      </w:pPr>
      <w:r>
        <w:t>Whether production material and tooling are provided by the buyer.</w:t>
      </w:r>
    </w:p>
    <w:p>
      <w:pPr>
        <w:pStyle w:val="ListBullet"/>
      </w:pPr>
      <w:r>
        <w:t>Who bears travel and accommodation costs.</w:t>
      </w:r>
    </w:p>
    <w:p>
      <w:pPr>
        <w:pStyle w:val="ListBullet"/>
      </w:pPr>
      <w:r>
        <w:t>Number of included FAT and SAT attempts.</w:t>
      </w:r>
    </w:p>
    <w:p>
      <w:pPr>
        <w:pStyle w:val="ListBullet"/>
      </w:pPr>
      <w:r>
        <w:t>How defects are recorded and corrected.</w:t>
      </w:r>
    </w:p>
    <w:p>
      <w:pPr>
        <w:pStyle w:val="ListBullet"/>
      </w:pPr>
      <w:r>
        <w:t>Whether supplier-caused retesting is chargeable.</w:t>
      </w:r>
    </w:p>
    <w:p>
      <w:pPr>
        <w:pStyle w:val="ListBullet"/>
      </w:pPr>
      <w:r>
        <w:t>What happens if the buyer's site is not ready.</w:t>
      </w:r>
    </w:p>
    <w:p>
      <w:pPr>
        <w:pStyle w:val="ListBullet"/>
      </w:pPr>
      <w:r>
        <w:t>How acceptance is documented.</w:t>
      </w:r>
    </w:p>
    <w:p>
      <w:pPr>
        <w:pStyle w:val="ListBullet"/>
      </w:pPr>
      <w:r>
        <w:t>Whether any payment is linked to acceptance milestones.</w:t>
      </w:r>
    </w:p>
    <w:p>
      <w:pPr>
        <w:pStyle w:val="Heading2"/>
      </w:pPr>
      <w:r>
        <w:t>8. Commissioning cost example</w:t>
      </w:r>
    </w:p>
    <w:p>
      <w:r>
        <w:t>Consider a new PLC-controlled assembly machine. The following figures are illustrative and exclude taxes.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element</w:t>
            </w:r>
          </w:p>
        </w:tc>
        <w:tc>
          <w:tcPr>
            <w:tcW w:type="dxa" w:w="5400"/>
            <w:shd w:val="clear" w:color="auto" w:fill="EEF2F7"/>
          </w:tcPr>
          <w:p>
            <w:pPr>
              <w:spacing w:after="0" w:before="0" w:line="240" w:lineRule="auto"/>
              <w:jc w:val="left"/>
            </w:pPr>
            <w:r>
              <w:rPr>
                <w:b/>
                <w:color w:val="1A2E4A"/>
              </w:rPr>
              <w:t>Estimated cost</w:t>
            </w:r>
          </w:p>
        </w:tc>
      </w:tr>
      <w:tr>
        <w:tc>
          <w:tcPr>
            <w:tcW w:type="dxa" w:w="5400"/>
          </w:tcPr>
          <w:p>
            <w:pPr>
              <w:spacing w:after="0" w:before="0" w:line="240" w:lineRule="auto"/>
              <w:jc w:val="left"/>
            </w:pPr>
            <w:r>
              <w:t>PLC and HMI commissioning</w:t>
            </w:r>
          </w:p>
        </w:tc>
        <w:tc>
          <w:tcPr>
            <w:tcW w:type="dxa" w:w="5400"/>
          </w:tcPr>
          <w:p>
            <w:pPr>
              <w:spacing w:after="0" w:before="0" w:line="240" w:lineRule="auto"/>
              <w:jc w:val="left"/>
            </w:pPr>
            <w:r>
              <w:t>₹75,000</w:t>
            </w:r>
          </w:p>
        </w:tc>
      </w:tr>
      <w:tr>
        <w:tc>
          <w:tcPr>
            <w:tcW w:type="dxa" w:w="5400"/>
          </w:tcPr>
          <w:p>
            <w:pPr>
              <w:spacing w:after="0" w:before="0" w:line="240" w:lineRule="auto"/>
              <w:jc w:val="left"/>
            </w:pPr>
            <w:r>
              <w:t>Drive and servo tuning</w:t>
            </w:r>
          </w:p>
        </w:tc>
        <w:tc>
          <w:tcPr>
            <w:tcW w:type="dxa" w:w="5400"/>
          </w:tcPr>
          <w:p>
            <w:pPr>
              <w:spacing w:after="0" w:before="0" w:line="240" w:lineRule="auto"/>
              <w:jc w:val="left"/>
            </w:pPr>
            <w:r>
              <w:t>₹45,000</w:t>
            </w:r>
          </w:p>
        </w:tc>
      </w:tr>
      <w:tr>
        <w:tc>
          <w:tcPr>
            <w:tcW w:type="dxa" w:w="5400"/>
          </w:tcPr>
          <w:p>
            <w:pPr>
              <w:spacing w:after="0" w:before="0" w:line="240" w:lineRule="auto"/>
              <w:jc w:val="left"/>
            </w:pPr>
            <w:r>
              <w:t>Robot and interface testing</w:t>
            </w:r>
          </w:p>
        </w:tc>
        <w:tc>
          <w:tcPr>
            <w:tcW w:type="dxa" w:w="5400"/>
          </w:tcPr>
          <w:p>
            <w:pPr>
              <w:spacing w:after="0" w:before="0" w:line="240" w:lineRule="auto"/>
              <w:jc w:val="left"/>
            </w:pPr>
            <w:r>
              <w:t>₹65,000</w:t>
            </w:r>
          </w:p>
        </w:tc>
      </w:tr>
      <w:tr>
        <w:tc>
          <w:tcPr>
            <w:tcW w:type="dxa" w:w="5400"/>
          </w:tcPr>
          <w:p>
            <w:pPr>
              <w:spacing w:after="0" w:before="0" w:line="240" w:lineRule="auto"/>
              <w:jc w:val="left"/>
            </w:pPr>
            <w:r>
              <w:t>Instrument verification</w:t>
            </w:r>
          </w:p>
        </w:tc>
        <w:tc>
          <w:tcPr>
            <w:tcW w:type="dxa" w:w="5400"/>
          </w:tcPr>
          <w:p>
            <w:pPr>
              <w:spacing w:after="0" w:before="0" w:line="240" w:lineRule="auto"/>
              <w:jc w:val="left"/>
            </w:pPr>
            <w:r>
              <w:t>₹25,000</w:t>
            </w:r>
          </w:p>
        </w:tc>
      </w:tr>
      <w:tr>
        <w:tc>
          <w:tcPr>
            <w:tcW w:type="dxa" w:w="5400"/>
          </w:tcPr>
          <w:p>
            <w:pPr>
              <w:spacing w:after="0" w:before="0" w:line="240" w:lineRule="auto"/>
              <w:jc w:val="left"/>
            </w:pPr>
            <w:r>
              <w:t>FAT and SAT support</w:t>
            </w:r>
          </w:p>
        </w:tc>
        <w:tc>
          <w:tcPr>
            <w:tcW w:type="dxa" w:w="5400"/>
          </w:tcPr>
          <w:p>
            <w:pPr>
              <w:spacing w:after="0" w:before="0" w:line="240" w:lineRule="auto"/>
              <w:jc w:val="left"/>
            </w:pPr>
            <w:r>
              <w:t>₹40,000</w:t>
            </w:r>
          </w:p>
        </w:tc>
      </w:tr>
      <w:tr>
        <w:tc>
          <w:tcPr>
            <w:tcW w:type="dxa" w:w="5400"/>
          </w:tcPr>
          <w:p>
            <w:pPr>
              <w:spacing w:after="0" w:before="0" w:line="240" w:lineRule="auto"/>
              <w:jc w:val="left"/>
            </w:pPr>
            <w:r>
              <w:t>Travel and accommodation</w:t>
            </w:r>
          </w:p>
        </w:tc>
        <w:tc>
          <w:tcPr>
            <w:tcW w:type="dxa" w:w="5400"/>
          </w:tcPr>
          <w:p>
            <w:pPr>
              <w:spacing w:after="0" w:before="0" w:line="240" w:lineRule="auto"/>
              <w:jc w:val="left"/>
            </w:pPr>
            <w:r>
              <w:t>₹30,000</w:t>
            </w:r>
          </w:p>
        </w:tc>
      </w:tr>
      <w:tr>
        <w:tc>
          <w:tcPr>
            <w:tcW w:type="dxa" w:w="5400"/>
          </w:tcPr>
          <w:p>
            <w:pPr>
              <w:spacing w:after="0" w:before="0" w:line="240" w:lineRule="auto"/>
              <w:jc w:val="left"/>
            </w:pPr>
            <w:r>
              <w:t>Documentation and handover</w:t>
            </w:r>
          </w:p>
        </w:tc>
        <w:tc>
          <w:tcPr>
            <w:tcW w:type="dxa" w:w="5400"/>
          </w:tcPr>
          <w:p>
            <w:pPr>
              <w:spacing w:after="0" w:before="0" w:line="240" w:lineRule="auto"/>
              <w:jc w:val="left"/>
            </w:pPr>
            <w:r>
              <w:t>₹15,000</w:t>
            </w:r>
          </w:p>
        </w:tc>
      </w:tr>
      <w:tr>
        <w:tc>
          <w:tcPr>
            <w:tcW w:type="dxa" w:w="5400"/>
          </w:tcPr>
          <w:p>
            <w:pPr>
              <w:spacing w:after="0" w:before="0" w:line="240" w:lineRule="auto"/>
              <w:jc w:val="left"/>
            </w:pPr>
            <w:r>
              <w:t>Commissioning subtotal</w:t>
            </w:r>
          </w:p>
        </w:tc>
        <w:tc>
          <w:tcPr>
            <w:tcW w:type="dxa" w:w="5400"/>
          </w:tcPr>
          <w:p>
            <w:pPr>
              <w:spacing w:after="0" w:before="0" w:line="240" w:lineRule="auto"/>
              <w:jc w:val="left"/>
            </w:pPr>
            <w:r>
              <w:t>₹2,95,000</w:t>
            </w:r>
          </w:p>
        </w:tc>
      </w:tr>
    </w:tbl>
    <w:p/>
    <w:p>
      <w:r>
        <w:t>The commissioning estimate is ₹2,95,000. It excludes any work separately assigned to installation, major software development, production-loss costs, or extended support unless those activities are explicitly included.</w:t>
      </w:r>
    </w:p>
    <w:p>
      <w:r>
        <w:t>The estimate should be reconciled with the quotation to prevent duplicate charges for engineering, testing, training, or acceptance activities.</w:t>
      </w:r>
    </w:p>
    <w:p>
      <w:pPr>
        <w:pStyle w:val="Heading2"/>
      </w:pPr>
      <w:r>
        <w:t>9. Commissioning cost drivers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Effect on cost</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System complexity</w:t>
            </w:r>
          </w:p>
        </w:tc>
        <w:tc>
          <w:tcPr>
            <w:tcW w:type="dxa" w:w="3600"/>
          </w:tcPr>
          <w:p>
            <w:pPr>
              <w:spacing w:after="0" w:before="0" w:line="240" w:lineRule="auto"/>
              <w:jc w:val="left"/>
            </w:pPr>
            <w:r>
              <w:t>More configuration and testing effort</w:t>
            </w:r>
          </w:p>
        </w:tc>
        <w:tc>
          <w:tcPr>
            <w:tcW w:type="dxa" w:w="3600"/>
          </w:tcPr>
          <w:p>
            <w:pPr>
              <w:spacing w:after="0" w:before="0" w:line="240" w:lineRule="auto"/>
              <w:jc w:val="left"/>
            </w:pPr>
            <w:r>
              <w:t>Multi-axis automated line</w:t>
            </w:r>
          </w:p>
        </w:tc>
      </w:tr>
      <w:tr>
        <w:tc>
          <w:tcPr>
            <w:tcW w:type="dxa" w:w="3600"/>
          </w:tcPr>
          <w:p>
            <w:pPr>
              <w:spacing w:after="0" w:before="0" w:line="240" w:lineRule="auto"/>
              <w:jc w:val="left"/>
            </w:pPr>
            <w:r>
              <w:t>Software quality</w:t>
            </w:r>
          </w:p>
        </w:tc>
        <w:tc>
          <w:tcPr>
            <w:tcW w:type="dxa" w:w="3600"/>
          </w:tcPr>
          <w:p>
            <w:pPr>
              <w:spacing w:after="0" w:before="0" w:line="240" w:lineRule="auto"/>
              <w:jc w:val="left"/>
            </w:pPr>
            <w:r>
              <w:t>Poor code increases troubleshooting and rework</w:t>
            </w:r>
          </w:p>
        </w:tc>
        <w:tc>
          <w:tcPr>
            <w:tcW w:type="dxa" w:w="3600"/>
          </w:tcPr>
          <w:p>
            <w:pPr>
              <w:spacing w:after="0" w:before="0" w:line="240" w:lineRule="auto"/>
              <w:jc w:val="left"/>
            </w:pPr>
            <w:r>
              <w:t>Inconsistent sequence logic</w:t>
            </w:r>
          </w:p>
        </w:tc>
      </w:tr>
      <w:tr>
        <w:tc>
          <w:tcPr>
            <w:tcW w:type="dxa" w:w="3600"/>
          </w:tcPr>
          <w:p>
            <w:pPr>
              <w:spacing w:after="0" w:before="0" w:line="240" w:lineRule="auto"/>
              <w:jc w:val="left"/>
            </w:pPr>
            <w:r>
              <w:t>Number of interfaces</w:t>
            </w:r>
          </w:p>
        </w:tc>
        <w:tc>
          <w:tcPr>
            <w:tcW w:type="dxa" w:w="3600"/>
          </w:tcPr>
          <w:p>
            <w:pPr>
              <w:spacing w:after="0" w:before="0" w:line="240" w:lineRule="auto"/>
              <w:jc w:val="left"/>
            </w:pPr>
            <w:r>
              <w:t>More integration and fault-isolation effort</w:t>
            </w:r>
          </w:p>
        </w:tc>
        <w:tc>
          <w:tcPr>
            <w:tcW w:type="dxa" w:w="3600"/>
          </w:tcPr>
          <w:p>
            <w:pPr>
              <w:spacing w:after="0" w:before="0" w:line="240" w:lineRule="auto"/>
              <w:jc w:val="left"/>
            </w:pPr>
            <w:r>
              <w:t>PLC, robot, CNC, and SCADA</w:t>
            </w:r>
          </w:p>
        </w:tc>
      </w:tr>
      <w:tr>
        <w:tc>
          <w:tcPr>
            <w:tcW w:type="dxa" w:w="3600"/>
          </w:tcPr>
          <w:p>
            <w:pPr>
              <w:spacing w:after="0" w:before="0" w:line="240" w:lineRule="auto"/>
              <w:jc w:val="left"/>
            </w:pPr>
            <w:r>
              <w:t>Safety requirements</w:t>
            </w:r>
          </w:p>
        </w:tc>
        <w:tc>
          <w:tcPr>
            <w:tcW w:type="dxa" w:w="3600"/>
          </w:tcPr>
          <w:p>
            <w:pPr>
              <w:spacing w:after="0" w:before="0" w:line="240" w:lineRule="auto"/>
              <w:jc w:val="left"/>
            </w:pPr>
            <w:r>
              <w:t>More verification and documentation</w:t>
            </w:r>
          </w:p>
        </w:tc>
        <w:tc>
          <w:tcPr>
            <w:tcW w:type="dxa" w:w="3600"/>
          </w:tcPr>
          <w:p>
            <w:pPr>
              <w:spacing w:after="0" w:before="0" w:line="240" w:lineRule="auto"/>
              <w:jc w:val="left"/>
            </w:pPr>
            <w:r>
              <w:t>Safety-rated machine functions</w:t>
            </w:r>
          </w:p>
        </w:tc>
      </w:tr>
      <w:tr>
        <w:tc>
          <w:tcPr>
            <w:tcW w:type="dxa" w:w="3600"/>
          </w:tcPr>
          <w:p>
            <w:pPr>
              <w:spacing w:after="0" w:before="0" w:line="240" w:lineRule="auto"/>
              <w:jc w:val="left"/>
            </w:pPr>
            <w:r>
              <w:t>Process complexity</w:t>
            </w:r>
          </w:p>
        </w:tc>
        <w:tc>
          <w:tcPr>
            <w:tcW w:type="dxa" w:w="3600"/>
          </w:tcPr>
          <w:p>
            <w:pPr>
              <w:spacing w:after="0" w:before="0" w:line="240" w:lineRule="auto"/>
              <w:jc w:val="left"/>
            </w:pPr>
            <w:r>
              <w:t>More tuning and trial cycles</w:t>
            </w:r>
          </w:p>
        </w:tc>
        <w:tc>
          <w:tcPr>
            <w:tcW w:type="dxa" w:w="3600"/>
          </w:tcPr>
          <w:p>
            <w:pPr>
              <w:spacing w:after="0" w:before="0" w:line="240" w:lineRule="auto"/>
              <w:jc w:val="left"/>
            </w:pPr>
            <w:r>
              <w:t>Precision assembly process</w:t>
            </w:r>
          </w:p>
        </w:tc>
      </w:tr>
      <w:tr>
        <w:tc>
          <w:tcPr>
            <w:tcW w:type="dxa" w:w="3600"/>
          </w:tcPr>
          <w:p>
            <w:pPr>
              <w:spacing w:after="0" w:before="0" w:line="240" w:lineRule="auto"/>
              <w:jc w:val="left"/>
            </w:pPr>
            <w:r>
              <w:t>Product variants</w:t>
            </w:r>
          </w:p>
        </w:tc>
        <w:tc>
          <w:tcPr>
            <w:tcW w:type="dxa" w:w="3600"/>
          </w:tcPr>
          <w:p>
            <w:pPr>
              <w:spacing w:after="0" w:before="0" w:line="240" w:lineRule="auto"/>
              <w:jc w:val="left"/>
            </w:pPr>
            <w:r>
              <w:t>More recipes and test scenarios</w:t>
            </w:r>
          </w:p>
        </w:tc>
        <w:tc>
          <w:tcPr>
            <w:tcW w:type="dxa" w:w="3600"/>
          </w:tcPr>
          <w:p>
            <w:pPr>
              <w:spacing w:after="0" w:before="0" w:line="240" w:lineRule="auto"/>
              <w:jc w:val="left"/>
            </w:pPr>
            <w:r>
              <w:t>Multiple part numbers</w:t>
            </w:r>
          </w:p>
        </w:tc>
      </w:tr>
      <w:tr>
        <w:tc>
          <w:tcPr>
            <w:tcW w:type="dxa" w:w="3600"/>
          </w:tcPr>
          <w:p>
            <w:pPr>
              <w:spacing w:after="0" w:before="0" w:line="240" w:lineRule="auto"/>
              <w:jc w:val="left"/>
            </w:pPr>
            <w:r>
              <w:t>Acceptance requirements</w:t>
            </w:r>
          </w:p>
        </w:tc>
        <w:tc>
          <w:tcPr>
            <w:tcW w:type="dxa" w:w="3600"/>
          </w:tcPr>
          <w:p>
            <w:pPr>
              <w:spacing w:after="0" w:before="0" w:line="240" w:lineRule="auto"/>
              <w:jc w:val="left"/>
            </w:pPr>
            <w:r>
              <w:t>More measurements and formal evidence</w:t>
            </w:r>
          </w:p>
        </w:tc>
        <w:tc>
          <w:tcPr>
            <w:tcW w:type="dxa" w:w="3600"/>
          </w:tcPr>
          <w:p>
            <w:pPr>
              <w:spacing w:after="0" w:before="0" w:line="240" w:lineRule="auto"/>
              <w:jc w:val="left"/>
            </w:pPr>
            <w:r>
              <w:t>Defined capability demonstration</w:t>
            </w:r>
          </w:p>
        </w:tc>
      </w:tr>
      <w:tr>
        <w:tc>
          <w:tcPr>
            <w:tcW w:type="dxa" w:w="3600"/>
          </w:tcPr>
          <w:p>
            <w:pPr>
              <w:spacing w:after="0" w:before="0" w:line="240" w:lineRule="auto"/>
              <w:jc w:val="left"/>
            </w:pPr>
            <w:r>
              <w:t>Site readiness</w:t>
            </w:r>
          </w:p>
        </w:tc>
        <w:tc>
          <w:tcPr>
            <w:tcW w:type="dxa" w:w="3600"/>
          </w:tcPr>
          <w:p>
            <w:pPr>
              <w:spacing w:after="0" w:before="0" w:line="240" w:lineRule="auto"/>
              <w:jc w:val="left"/>
            </w:pPr>
            <w:r>
              <w:t>Poor readiness increases idle and repeat visits</w:t>
            </w:r>
          </w:p>
        </w:tc>
        <w:tc>
          <w:tcPr>
            <w:tcW w:type="dxa" w:w="3600"/>
          </w:tcPr>
          <w:p>
            <w:pPr>
              <w:spacing w:after="0" w:before="0" w:line="240" w:lineRule="auto"/>
              <w:jc w:val="left"/>
            </w:pPr>
            <w:r>
              <w:t>Missing utilities</w:t>
            </w:r>
          </w:p>
        </w:tc>
      </w:tr>
      <w:tr>
        <w:tc>
          <w:tcPr>
            <w:tcW w:type="dxa" w:w="3600"/>
          </w:tcPr>
          <w:p>
            <w:pPr>
              <w:spacing w:after="0" w:before="0" w:line="240" w:lineRule="auto"/>
              <w:jc w:val="left"/>
            </w:pPr>
            <w:r>
              <w:t>Supplier expertise</w:t>
            </w:r>
          </w:p>
        </w:tc>
        <w:tc>
          <w:tcPr>
            <w:tcW w:type="dxa" w:w="3600"/>
          </w:tcPr>
          <w:p>
            <w:pPr>
              <w:spacing w:after="0" w:before="0" w:line="240" w:lineRule="auto"/>
              <w:jc w:val="left"/>
            </w:pPr>
            <w:r>
              <w:t>Experience can reduce diagnosis time</w:t>
            </w:r>
          </w:p>
        </w:tc>
        <w:tc>
          <w:tcPr>
            <w:tcW w:type="dxa" w:w="3600"/>
          </w:tcPr>
          <w:p>
            <w:pPr>
              <w:spacing w:after="0" w:before="0" w:line="240" w:lineRule="auto"/>
              <w:jc w:val="left"/>
            </w:pPr>
            <w:r>
              <w:t>OEM commissioning specialist</w:t>
            </w:r>
          </w:p>
        </w:tc>
      </w:tr>
      <w:tr>
        <w:tc>
          <w:tcPr>
            <w:tcW w:type="dxa" w:w="3600"/>
          </w:tcPr>
          <w:p>
            <w:pPr>
              <w:spacing w:after="0" w:before="0" w:line="240" w:lineRule="auto"/>
              <w:jc w:val="left"/>
            </w:pPr>
            <w:r>
              <w:t>Delivery schedule</w:t>
            </w:r>
          </w:p>
        </w:tc>
        <w:tc>
          <w:tcPr>
            <w:tcW w:type="dxa" w:w="3600"/>
          </w:tcPr>
          <w:p>
            <w:pPr>
              <w:spacing w:after="0" w:before="0" w:line="240" w:lineRule="auto"/>
              <w:jc w:val="left"/>
            </w:pPr>
            <w:r>
              <w:t>Compressed schedules may require additional resources</w:t>
            </w:r>
          </w:p>
        </w:tc>
        <w:tc>
          <w:tcPr>
            <w:tcW w:type="dxa" w:w="3600"/>
          </w:tcPr>
          <w:p>
            <w:pPr>
              <w:spacing w:after="0" w:before="0" w:line="240" w:lineRule="auto"/>
              <w:jc w:val="left"/>
            </w:pPr>
            <w:r>
              <w:t>Parallel commissioning teams</w:t>
            </w:r>
          </w:p>
        </w:tc>
      </w:tr>
      <w:tr>
        <w:tc>
          <w:tcPr>
            <w:tcW w:type="dxa" w:w="3600"/>
          </w:tcPr>
          <w:p>
            <w:pPr>
              <w:spacing w:after="0" w:before="0" w:line="240" w:lineRule="auto"/>
              <w:jc w:val="left"/>
            </w:pPr>
            <w:r>
              <w:t>Software dependencies</w:t>
            </w:r>
          </w:p>
        </w:tc>
        <w:tc>
          <w:tcPr>
            <w:tcW w:type="dxa" w:w="3600"/>
          </w:tcPr>
          <w:p>
            <w:pPr>
              <w:spacing w:after="0" w:before="0" w:line="240" w:lineRule="auto"/>
              <w:jc w:val="left"/>
            </w:pPr>
            <w:r>
              <w:t>Licenses and compatibility can delay startup</w:t>
            </w:r>
          </w:p>
        </w:tc>
        <w:tc>
          <w:tcPr>
            <w:tcW w:type="dxa" w:w="3600"/>
          </w:tcPr>
          <w:p>
            <w:pPr>
              <w:spacing w:after="0" w:before="0" w:line="240" w:lineRule="auto"/>
              <w:jc w:val="left"/>
            </w:pPr>
            <w:r>
              <w:t>Unsupported runtime version</w:t>
            </w:r>
          </w:p>
        </w:tc>
      </w:tr>
      <w:tr>
        <w:tc>
          <w:tcPr>
            <w:tcW w:type="dxa" w:w="3600"/>
          </w:tcPr>
          <w:p>
            <w:pPr>
              <w:spacing w:after="0" w:before="0" w:line="240" w:lineRule="auto"/>
              <w:jc w:val="left"/>
            </w:pPr>
            <w:r>
              <w:t>Production access</w:t>
            </w:r>
          </w:p>
        </w:tc>
        <w:tc>
          <w:tcPr>
            <w:tcW w:type="dxa" w:w="3600"/>
          </w:tcPr>
          <w:p>
            <w:pPr>
              <w:spacing w:after="0" w:before="0" w:line="240" w:lineRule="auto"/>
              <w:jc w:val="left"/>
            </w:pPr>
            <w:r>
              <w:t>Restricted windows may increase labor cost</w:t>
            </w:r>
          </w:p>
        </w:tc>
        <w:tc>
          <w:tcPr>
            <w:tcW w:type="dxa" w:w="3600"/>
          </w:tcPr>
          <w:p>
            <w:pPr>
              <w:spacing w:after="0" w:before="0" w:line="240" w:lineRule="auto"/>
              <w:jc w:val="left"/>
            </w:pPr>
            <w:r>
              <w:t>Night-shift commissioning</w:t>
            </w:r>
          </w:p>
        </w:tc>
      </w:tr>
    </w:tbl>
    <w:p/>
    <w:p>
      <w:pPr>
        <w:pStyle w:val="Heading2"/>
      </w:pPr>
      <w:r>
        <w:t>10. Commissioning cost and production readiness</w:t>
      </w:r>
    </w:p>
    <w:p>
      <w:r>
        <w:t>Commissioning should demonstrate that the equipment satisfies the specified functional and operational requirements. A machine running once is not sufficient proof of readiness.</w:t>
      </w:r>
    </w:p>
    <w:p>
      <w:r>
        <w:t>Depending on the application, evidence may include:</w:t>
      </w:r>
    </w:p>
    <w:p>
      <w:pPr>
        <w:pStyle w:val="ListBullet"/>
      </w:pPr>
      <w:r>
        <w:t>Successful execution of the defined operating sequence.</w:t>
      </w:r>
    </w:p>
    <w:p>
      <w:pPr>
        <w:pStyle w:val="ListBullet"/>
      </w:pPr>
      <w:r>
        <w:t>Correct handling of normal and abnormal conditions.</w:t>
      </w:r>
    </w:p>
    <w:p>
      <w:pPr>
        <w:pStyle w:val="ListBullet"/>
      </w:pPr>
      <w:r>
        <w:t>Verified interlocks and permissives.</w:t>
      </w:r>
    </w:p>
    <w:p>
      <w:pPr>
        <w:pStyle w:val="ListBullet"/>
      </w:pPr>
      <w:r>
        <w:t>Correct alarm generation and reset behavior.</w:t>
      </w:r>
    </w:p>
    <w:p>
      <w:pPr>
        <w:pStyle w:val="ListBullet"/>
      </w:pPr>
      <w:r>
        <w:t>Stable communications.</w:t>
      </w:r>
    </w:p>
    <w:p>
      <w:pPr>
        <w:pStyle w:val="ListBullet"/>
      </w:pPr>
      <w:r>
        <w:t>Repeatable measurements.</w:t>
      </w:r>
    </w:p>
    <w:p>
      <w:pPr>
        <w:pStyle w:val="ListBullet"/>
      </w:pPr>
      <w:r>
        <w:t>Required cycle time.</w:t>
      </w:r>
    </w:p>
    <w:p>
      <w:pPr>
        <w:pStyle w:val="ListBullet"/>
      </w:pPr>
      <w:r>
        <w:t>Acceptable product quality.</w:t>
      </w:r>
    </w:p>
    <w:p>
      <w:pPr>
        <w:pStyle w:val="ListBullet"/>
      </w:pPr>
      <w:r>
        <w:t>Recovery from defined faults.</w:t>
      </w:r>
    </w:p>
    <w:p>
      <w:pPr>
        <w:pStyle w:val="ListBullet"/>
      </w:pPr>
      <w:r>
        <w:t>Successful completion of agreed acceptance tests.</w:t>
      </w:r>
    </w:p>
    <w:p>
      <w:r>
        <w:t>Production readiness should be established using measurable criteria rather than subjective statements such as "machine is working."</w:t>
      </w:r>
    </w:p>
    <w:p>
      <w:pPr>
        <w:pStyle w:val="Heading2"/>
      </w:pPr>
      <w:r>
        <w:t>11. Safety-related commissioning costs</w:t>
      </w:r>
    </w:p>
    <w:p>
      <w:r>
        <w:t>Safety-related work may require specialist engineering, validation, testing, and documentation.</w:t>
      </w:r>
    </w:p>
    <w:p>
      <w:r>
        <w:t>Examples include:</w:t>
      </w:r>
    </w:p>
    <w:p>
      <w:pPr>
        <w:pStyle w:val="ListBullet"/>
      </w:pPr>
      <w:r>
        <w:t>Emergency-stop verification.</w:t>
      </w:r>
    </w:p>
    <w:p>
      <w:pPr>
        <w:pStyle w:val="ListBullet"/>
      </w:pPr>
      <w:r>
        <w:t>Guard-door interlock testing.</w:t>
      </w:r>
    </w:p>
    <w:p>
      <w:pPr>
        <w:pStyle w:val="ListBullet"/>
      </w:pPr>
      <w:r>
        <w:t>Safety scanner or light-curtain testing.</w:t>
      </w:r>
    </w:p>
    <w:p>
      <w:pPr>
        <w:pStyle w:val="ListBullet"/>
      </w:pPr>
      <w:r>
        <w:t>Safe speed or safe torque-off verification.</w:t>
      </w:r>
    </w:p>
    <w:p>
      <w:pPr>
        <w:pStyle w:val="ListBullet"/>
      </w:pPr>
      <w:r>
        <w:t>Safe operating-mode checks.</w:t>
      </w:r>
    </w:p>
    <w:p>
      <w:pPr>
        <w:pStyle w:val="ListBullet"/>
      </w:pPr>
      <w:r>
        <w:t>Restart-prevention verification.</w:t>
      </w:r>
    </w:p>
    <w:p>
      <w:pPr>
        <w:pStyle w:val="ListBullet"/>
      </w:pPr>
      <w:r>
        <w:t>Safety-related communication checks.</w:t>
      </w:r>
    </w:p>
    <w:p>
      <w:pPr>
        <w:pStyle w:val="ListBullet"/>
      </w:pPr>
      <w:r>
        <w:t>Validation of defined safety functions.</w:t>
      </w:r>
    </w:p>
    <w:p>
      <w:pPr>
        <w:pStyle w:val="ListBullet"/>
      </w:pPr>
      <w:r>
        <w:t>Recording test results and unresolved deviations.</w:t>
      </w:r>
    </w:p>
    <w:p>
      <w:r>
        <w:t>The required work depends on the machine risk assessment, applicable standards, safety architecture, and contractual scope.</w:t>
      </w:r>
    </w:p>
    <w:p>
      <w:r>
        <w:t>Never reduce commissioning cost by skipping required safety validation. Functional success and safety compliance are separate acceptance requirements.</w:t>
      </w:r>
    </w:p>
    <w:p>
      <w:pPr>
        <w:pStyle w:val="Heading2"/>
      </w:pPr>
      <w:r>
        <w:t>12. Commissioning cost risks and commercial traps</w:t>
      </w:r>
    </w:p>
    <w:p>
      <w:r>
        <w:t>Common problems include:</w:t>
      </w:r>
    </w:p>
    <w:p>
      <w:pPr>
        <w:pStyle w:val="ListBullet"/>
      </w:pPr>
      <w:r>
        <w:t>Commissioning days not specified.</w:t>
      </w:r>
    </w:p>
    <w:p>
      <w:pPr>
        <w:pStyle w:val="ListBullet"/>
      </w:pPr>
      <w:r>
        <w:t>Travel and accommodation excluded.</w:t>
      </w:r>
    </w:p>
    <w:p>
      <w:pPr>
        <w:pStyle w:val="ListBullet"/>
      </w:pPr>
      <w:r>
        <w:t>Overtime rates left undefined.</w:t>
      </w:r>
    </w:p>
    <w:p>
      <w:pPr>
        <w:pStyle w:val="ListBullet"/>
      </w:pPr>
      <w:r>
        <w:t>Programming changes excluded from the supplier's scope.</w:t>
      </w:r>
    </w:p>
    <w:p>
      <w:pPr>
        <w:pStyle w:val="ListBullet"/>
      </w:pPr>
      <w:r>
        <w:t>FAT or SAT treated as optional despite being expected by the buyer.</w:t>
      </w:r>
    </w:p>
    <w:p>
      <w:pPr>
        <w:pStyle w:val="ListBullet"/>
      </w:pPr>
      <w:r>
        <w:t>Test instruments or sample materials not assigned.</w:t>
      </w:r>
    </w:p>
    <w:p>
      <w:pPr>
        <w:pStyle w:val="ListBullet"/>
      </w:pPr>
      <w:r>
        <w:t>No defined limit for included test cycles.</w:t>
      </w:r>
    </w:p>
    <w:p>
      <w:pPr>
        <w:pStyle w:val="ListBullet"/>
      </w:pPr>
      <w:r>
        <w:t>Supplier-caused defects charged as extra visits.</w:t>
      </w:r>
    </w:p>
    <w:p>
      <w:pPr>
        <w:pStyle w:val="ListBullet"/>
      </w:pPr>
      <w:r>
        <w:t>Buyer-caused delays not distinguished from supplier delays.</w:t>
      </w:r>
    </w:p>
    <w:p>
      <w:pPr>
        <w:pStyle w:val="ListBullet"/>
      </w:pPr>
      <w:r>
        <w:t>Training and documentation assumed to be included without confirmation.</w:t>
      </w:r>
    </w:p>
    <w:p>
      <w:pPr>
        <w:pStyle w:val="ListBullet"/>
      </w:pPr>
      <w:r>
        <w:t>Acceptance criteria left subjective.</w:t>
      </w:r>
    </w:p>
    <w:p>
      <w:pPr>
        <w:pStyle w:val="ListBullet"/>
      </w:pPr>
      <w:r>
        <w:t>Required software licenses unavailable during startup.</w:t>
      </w:r>
    </w:p>
    <w:p>
      <w:pPr>
        <w:pStyle w:val="ListBullet"/>
      </w:pPr>
      <w:r>
        <w:t>Final backups or editable source files excluded.</w:t>
      </w:r>
    </w:p>
    <w:p>
      <w:pPr>
        <w:pStyle w:val="ListBullet"/>
      </w:pPr>
      <w:r>
        <w:t>Safety validation confused with general functional testing.</w:t>
      </w:r>
    </w:p>
    <w:p>
      <w:pPr>
        <w:pStyle w:val="ListBullet"/>
      </w:pPr>
      <w:r>
        <w:t>Site readiness and utility responsibilities not defined.</w:t>
      </w:r>
    </w:p>
    <w:p>
      <w:r>
        <w:t>The contract should establish which additional costs are legitimate variations and which activities are necessary to correct supplier nonconformance.</w:t>
      </w:r>
    </w:p>
    <w:p>
      <w:pPr>
        <w:pStyle w:val="Heading2"/>
      </w:pPr>
      <w:r>
        <w:t>13. Commissioning cost comparison between suppliers</w:t>
      </w:r>
    </w:p>
    <w:p>
      <w:r>
        <w:t>Consider two suppliers offering the same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element</w:t>
            </w:r>
          </w:p>
        </w:tc>
        <w:tc>
          <w:tcPr>
            <w:tcW w:type="dxa" w:w="3600"/>
            <w:shd w:val="clear" w:color="auto" w:fill="EEF2F7"/>
          </w:tcPr>
          <w:p>
            <w:pPr>
              <w:spacing w:after="0" w:before="0" w:line="240" w:lineRule="auto"/>
              <w:jc w:val="left"/>
            </w:pPr>
            <w:r>
              <w:rPr>
                <w:b/>
                <w:color w:val="1A2E4A"/>
              </w:rPr>
              <w:t>Supplier A</w:t>
            </w:r>
          </w:p>
        </w:tc>
        <w:tc>
          <w:tcPr>
            <w:tcW w:type="dxa" w:w="3600"/>
            <w:shd w:val="clear" w:color="auto" w:fill="EEF2F7"/>
          </w:tcPr>
          <w:p>
            <w:pPr>
              <w:spacing w:after="0" w:before="0" w:line="240" w:lineRule="auto"/>
              <w:jc w:val="left"/>
            </w:pPr>
            <w:r>
              <w:rPr>
                <w:b/>
                <w:color w:val="1A2E4A"/>
              </w:rPr>
              <w:t>Supplier B</w:t>
            </w:r>
          </w:p>
        </w:tc>
      </w:tr>
      <w:tr>
        <w:tc>
          <w:tcPr>
            <w:tcW w:type="dxa" w:w="3600"/>
          </w:tcPr>
          <w:p>
            <w:pPr>
              <w:spacing w:after="0" w:before="0" w:line="240" w:lineRule="auto"/>
              <w:jc w:val="left"/>
            </w:pPr>
            <w:r>
              <w:t>Commissioning package</w:t>
            </w:r>
          </w:p>
        </w:tc>
        <w:tc>
          <w:tcPr>
            <w:tcW w:type="dxa" w:w="3600"/>
          </w:tcPr>
          <w:p>
            <w:pPr>
              <w:spacing w:after="0" w:before="0" w:line="240" w:lineRule="auto"/>
              <w:jc w:val="left"/>
            </w:pPr>
            <w:r>
              <w:t>₹1,80,000</w:t>
            </w:r>
          </w:p>
        </w:tc>
        <w:tc>
          <w:tcPr>
            <w:tcW w:type="dxa" w:w="3600"/>
          </w:tcPr>
          <w:p>
            <w:pPr>
              <w:spacing w:after="0" w:before="0" w:line="240" w:lineRule="auto"/>
              <w:jc w:val="left"/>
            </w:pPr>
            <w:r>
              <w:t>₹1,45,000</w:t>
            </w:r>
          </w:p>
        </w:tc>
      </w:tr>
      <w:tr>
        <w:tc>
          <w:tcPr>
            <w:tcW w:type="dxa" w:w="3600"/>
          </w:tcPr>
          <w:p>
            <w:pPr>
              <w:spacing w:after="0" w:before="0" w:line="240" w:lineRule="auto"/>
              <w:jc w:val="left"/>
            </w:pPr>
            <w:r>
              <w:t>Included commissioning days</w:t>
            </w:r>
          </w:p>
        </w:tc>
        <w:tc>
          <w:tcPr>
            <w:tcW w:type="dxa" w:w="3600"/>
          </w:tcPr>
          <w:p>
            <w:pPr>
              <w:spacing w:after="0" w:before="0" w:line="240" w:lineRule="auto"/>
              <w:jc w:val="left"/>
            </w:pPr>
            <w:r>
              <w:t>5</w:t>
            </w:r>
          </w:p>
        </w:tc>
        <w:tc>
          <w:tcPr>
            <w:tcW w:type="dxa" w:w="3600"/>
          </w:tcPr>
          <w:p>
            <w:pPr>
              <w:spacing w:after="0" w:before="0" w:line="240" w:lineRule="auto"/>
              <w:jc w:val="left"/>
            </w:pPr>
            <w:r>
              <w:t>3</w:t>
            </w:r>
          </w:p>
        </w:tc>
      </w:tr>
      <w:tr>
        <w:tc>
          <w:tcPr>
            <w:tcW w:type="dxa" w:w="3600"/>
          </w:tcPr>
          <w:p>
            <w:pPr>
              <w:spacing w:after="0" w:before="0" w:line="240" w:lineRule="auto"/>
              <w:jc w:val="left"/>
            </w:pPr>
            <w:r>
              <w:t>Additional specialist day</w:t>
            </w:r>
          </w:p>
        </w:tc>
        <w:tc>
          <w:tcPr>
            <w:tcW w:type="dxa" w:w="3600"/>
          </w:tcPr>
          <w:p>
            <w:pPr>
              <w:spacing w:after="0" w:before="0" w:line="240" w:lineRule="auto"/>
              <w:jc w:val="left"/>
            </w:pPr>
            <w:r>
              <w:t>₹25,000</w:t>
            </w:r>
          </w:p>
        </w:tc>
        <w:tc>
          <w:tcPr>
            <w:tcW w:type="dxa" w:w="3600"/>
          </w:tcPr>
          <w:p>
            <w:pPr>
              <w:spacing w:after="0" w:before="0" w:line="240" w:lineRule="auto"/>
              <w:jc w:val="left"/>
            </w:pPr>
            <w:r>
              <w:t>₹35,000</w:t>
            </w:r>
          </w:p>
        </w:tc>
      </w:tr>
      <w:tr>
        <w:tc>
          <w:tcPr>
            <w:tcW w:type="dxa" w:w="3600"/>
          </w:tcPr>
          <w:p>
            <w:pPr>
              <w:spacing w:after="0" w:before="0" w:line="240" w:lineRule="auto"/>
              <w:jc w:val="left"/>
            </w:pPr>
            <w:r>
              <w:t>Travel and accommodation</w:t>
            </w:r>
          </w:p>
        </w:tc>
        <w:tc>
          <w:tcPr>
            <w:tcW w:type="dxa" w:w="3600"/>
          </w:tcPr>
          <w:p>
            <w:pPr>
              <w:spacing w:after="0" w:before="0" w:line="240" w:lineRule="auto"/>
              <w:jc w:val="left"/>
            </w:pPr>
            <w:r>
              <w:t>Included</w:t>
            </w:r>
          </w:p>
        </w:tc>
        <w:tc>
          <w:tcPr>
            <w:tcW w:type="dxa" w:w="3600"/>
          </w:tcPr>
          <w:p>
            <w:pPr>
              <w:spacing w:after="0" w:before="0" w:line="240" w:lineRule="auto"/>
              <w:jc w:val="left"/>
            </w:pPr>
            <w:r>
              <w:t>Excluded</w:t>
            </w:r>
          </w:p>
        </w:tc>
      </w:tr>
      <w:tr>
        <w:tc>
          <w:tcPr>
            <w:tcW w:type="dxa" w:w="3600"/>
          </w:tcPr>
          <w:p>
            <w:pPr>
              <w:spacing w:after="0" w:before="0" w:line="240" w:lineRule="auto"/>
              <w:jc w:val="left"/>
            </w:pPr>
            <w:r>
              <w:t>FAT and SAT scope</w:t>
            </w:r>
          </w:p>
        </w:tc>
        <w:tc>
          <w:tcPr>
            <w:tcW w:type="dxa" w:w="3600"/>
          </w:tcPr>
          <w:p>
            <w:pPr>
              <w:spacing w:after="0" w:before="0" w:line="240" w:lineRule="auto"/>
              <w:jc w:val="left"/>
            </w:pPr>
            <w:r>
              <w:t>Both defined</w:t>
            </w:r>
          </w:p>
        </w:tc>
        <w:tc>
          <w:tcPr>
            <w:tcW w:type="dxa" w:w="3600"/>
          </w:tcPr>
          <w:p>
            <w:pPr>
              <w:spacing w:after="0" w:before="0" w:line="240" w:lineRule="auto"/>
              <w:jc w:val="left"/>
            </w:pPr>
            <w:r>
              <w:t>SAT scope limited</w:t>
            </w:r>
          </w:p>
        </w:tc>
      </w:tr>
    </w:tbl>
    <w:p/>
    <w:p>
      <w:r>
        <w:t>Supplier B's package price is lower, but it includes fewer days, charges a higher additional-day rate, and excludes travel. Its SAT scope is also limited.</w:t>
      </w:r>
    </w:p>
    <w:p>
      <w:r>
        <w:t>The commercial comparison must quantify the expected total cost under the same scope and schedule assumptions. It must also evaluate technical compliance and the contractual treatment of supplier-caused defects.</w:t>
      </w:r>
    </w:p>
    <w:p>
      <w:pPr>
        <w:pStyle w:val="Heading2"/>
      </w:pPr>
      <w:r>
        <w:t>14. Commissioning cost control</w:t>
      </w:r>
    </w:p>
    <w:p>
      <w:pPr>
        <w:tabs>
          <w:tab w:pos="403" w:val="left"/>
        </w:tabs>
        <w:spacing w:after="40" w:line="276" w:lineRule="auto"/>
        <w:ind w:left="403" w:hanging="403"/>
        <w:jc w:val="left"/>
      </w:pPr>
      <w:r>
        <w:rPr>
          <w:color w:val="1A2E4A"/>
        </w:rPr>
        <w:t>1.</w:t>
        <w:tab/>
      </w:r>
      <w:r>
        <w:t>Define measurable acceptance criteria before ordering.</w:t>
      </w:r>
    </w:p>
    <w:p>
      <w:pPr>
        <w:tabs>
          <w:tab w:pos="403" w:val="left"/>
        </w:tabs>
        <w:spacing w:after="40" w:line="276" w:lineRule="auto"/>
        <w:ind w:left="403" w:hanging="403"/>
        <w:jc w:val="left"/>
      </w:pPr>
      <w:r>
        <w:rPr>
          <w:color w:val="1A2E4A"/>
        </w:rPr>
        <w:t>2.</w:t>
        <w:tab/>
      </w:r>
      <w:r>
        <w:t>Confirm that the installation is ready before mobilizing specialists.</w:t>
      </w:r>
    </w:p>
    <w:p>
      <w:pPr>
        <w:tabs>
          <w:tab w:pos="403" w:val="left"/>
        </w:tabs>
        <w:spacing w:after="40" w:line="276" w:lineRule="auto"/>
        <w:ind w:left="403" w:hanging="403"/>
        <w:jc w:val="left"/>
      </w:pPr>
      <w:r>
        <w:rPr>
          <w:color w:val="1A2E4A"/>
        </w:rPr>
        <w:t>3.</w:t>
        <w:tab/>
      </w:r>
      <w:r>
        <w:t>Prepare an integrated commissioning schedule.</w:t>
      </w:r>
    </w:p>
    <w:p>
      <w:pPr>
        <w:tabs>
          <w:tab w:pos="403" w:val="left"/>
        </w:tabs>
        <w:spacing w:after="40" w:line="276" w:lineRule="auto"/>
        <w:ind w:left="403" w:hanging="403"/>
        <w:jc w:val="left"/>
      </w:pPr>
      <w:r>
        <w:rPr>
          <w:color w:val="1A2E4A"/>
        </w:rPr>
        <w:t>4.</w:t>
        <w:tab/>
      </w:r>
      <w:r>
        <w:t>Allocate responsibilities across supplier, contractor, and plant teams.</w:t>
      </w:r>
    </w:p>
    <w:p>
      <w:pPr>
        <w:tabs>
          <w:tab w:pos="403" w:val="left"/>
        </w:tabs>
        <w:spacing w:after="40" w:line="276" w:lineRule="auto"/>
        <w:ind w:left="403" w:hanging="403"/>
        <w:jc w:val="left"/>
      </w:pPr>
      <w:r>
        <w:rPr>
          <w:color w:val="1A2E4A"/>
        </w:rPr>
        <w:t>5.</w:t>
        <w:tab/>
      </w:r>
      <w:r>
        <w:t>Prepare test plans, I/O lists, and interface checklists.</w:t>
      </w:r>
    </w:p>
    <w:p>
      <w:pPr>
        <w:tabs>
          <w:tab w:pos="403" w:val="left"/>
        </w:tabs>
        <w:spacing w:after="40" w:line="276" w:lineRule="auto"/>
        <w:ind w:left="403" w:hanging="403"/>
        <w:jc w:val="left"/>
      </w:pPr>
      <w:r>
        <w:rPr>
          <w:color w:val="1A2E4A"/>
        </w:rPr>
        <w:t>6.</w:t>
        <w:tab/>
      </w:r>
      <w:r>
        <w:t>Confirm software versions, licenses, and backups.</w:t>
      </w:r>
    </w:p>
    <w:p>
      <w:pPr>
        <w:tabs>
          <w:tab w:pos="403" w:val="left"/>
        </w:tabs>
        <w:spacing w:after="40" w:line="276" w:lineRule="auto"/>
        <w:ind w:left="403" w:hanging="403"/>
        <w:jc w:val="left"/>
      </w:pPr>
      <w:r>
        <w:rPr>
          <w:color w:val="1A2E4A"/>
        </w:rPr>
        <w:t>7.</w:t>
        <w:tab/>
      </w:r>
      <w:r>
        <w:t>Arrange required materials, reference instruments, and test tools.</w:t>
      </w:r>
    </w:p>
    <w:p>
      <w:pPr>
        <w:tabs>
          <w:tab w:pos="403" w:val="left"/>
        </w:tabs>
        <w:spacing w:after="40" w:line="276" w:lineRule="auto"/>
        <w:ind w:left="403" w:hanging="403"/>
        <w:jc w:val="left"/>
      </w:pPr>
      <w:r>
        <w:rPr>
          <w:color w:val="1A2E4A"/>
        </w:rPr>
        <w:t>8.</w:t>
        <w:tab/>
      </w:r>
      <w:r>
        <w:t>Track actual specialist hours and travel expenses.</w:t>
      </w:r>
    </w:p>
    <w:p>
      <w:pPr>
        <w:tabs>
          <w:tab w:pos="403" w:val="left"/>
        </w:tabs>
        <w:spacing w:after="40" w:line="276" w:lineRule="auto"/>
        <w:ind w:left="403" w:hanging="403"/>
        <w:jc w:val="left"/>
      </w:pPr>
      <w:r>
        <w:rPr>
          <w:color w:val="1A2E4A"/>
        </w:rPr>
        <w:t>9.</w:t>
        <w:tab/>
      </w:r>
      <w:r>
        <w:t>Record faults, causes, corrective actions, and retest results.</w:t>
      </w:r>
    </w:p>
    <w:p>
      <w:pPr>
        <w:tabs>
          <w:tab w:pos="403" w:val="left"/>
        </w:tabs>
        <w:spacing w:after="40" w:line="276" w:lineRule="auto"/>
        <w:ind w:left="403" w:hanging="403"/>
        <w:jc w:val="left"/>
      </w:pPr>
      <w:r>
        <w:rPr>
          <w:color w:val="1A2E4A"/>
        </w:rPr>
        <w:t>10.</w:t>
        <w:tab/>
      </w:r>
      <w:r>
        <w:t>Control scope changes through documented approval.</w:t>
      </w:r>
    </w:p>
    <w:p>
      <w:pPr>
        <w:tabs>
          <w:tab w:pos="403" w:val="left"/>
        </w:tabs>
        <w:spacing w:after="40" w:line="276" w:lineRule="auto"/>
        <w:ind w:left="403" w:hanging="403"/>
        <w:jc w:val="left"/>
      </w:pPr>
      <w:r>
        <w:rPr>
          <w:color w:val="1A2E4A"/>
        </w:rPr>
        <w:t>11.</w:t>
        <w:tab/>
      </w:r>
      <w:r>
        <w:t>Verify that deliverables and training are complete.</w:t>
      </w:r>
    </w:p>
    <w:p>
      <w:pPr>
        <w:tabs>
          <w:tab w:pos="403" w:val="left"/>
        </w:tabs>
        <w:spacing w:after="40" w:line="276" w:lineRule="auto"/>
        <w:ind w:left="403" w:hanging="403"/>
        <w:jc w:val="left"/>
      </w:pPr>
      <w:r>
        <w:rPr>
          <w:color w:val="1A2E4A"/>
        </w:rPr>
        <w:t>12.</w:t>
        <w:tab/>
      </w:r>
      <w:r>
        <w:t>Close punch-list items and obtain formal handover.</w:t>
      </w:r>
    </w:p>
    <w:p>
      <w:r>
        <w:t>Pre-commissioning checks can reduce paid specialist time by identifying wiring, installation, and configuration problems before the supplier's commissioning team arrives.</w:t>
      </w:r>
    </w:p>
    <w:p>
      <w:pPr>
        <w:pStyle w:val="Heading2"/>
      </w:pPr>
      <w:r>
        <w:t>15. Commissioning cost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Commissioning cost variance</w:t>
            </w:r>
          </w:p>
        </w:tc>
        <w:tc>
          <w:tcPr>
            <w:tcW w:type="dxa" w:w="3600"/>
          </w:tcPr>
          <w:p>
            <w:pPr>
              <w:spacing w:after="0" w:before="0" w:line="240" w:lineRule="auto"/>
              <w:jc w:val="left"/>
            </w:pPr>
            <w:r>
              <w:t>Actual cost minus approved budget</w:t>
            </w:r>
          </w:p>
        </w:tc>
        <w:tc>
          <w:tcPr>
            <w:tcW w:type="dxa" w:w="3600"/>
          </w:tcPr>
          <w:p>
            <w:pPr>
              <w:spacing w:after="0" w:before="0" w:line="240" w:lineRule="auto"/>
              <w:jc w:val="left"/>
            </w:pPr>
            <w:r>
              <w:t>Measures cost performance</w:t>
            </w:r>
          </w:p>
        </w:tc>
      </w:tr>
      <w:tr>
        <w:tc>
          <w:tcPr>
            <w:tcW w:type="dxa" w:w="3600"/>
          </w:tcPr>
          <w:p>
            <w:pPr>
              <w:spacing w:after="0" w:before="0" w:line="240" w:lineRule="auto"/>
              <w:jc w:val="left"/>
            </w:pPr>
            <w:r>
              <w:t>Commissioning duration variance</w:t>
            </w:r>
          </w:p>
        </w:tc>
        <w:tc>
          <w:tcPr>
            <w:tcW w:type="dxa" w:w="3600"/>
          </w:tcPr>
          <w:p>
            <w:pPr>
              <w:spacing w:after="0" w:before="0" w:line="240" w:lineRule="auto"/>
              <w:jc w:val="left"/>
            </w:pPr>
            <w:r>
              <w:t>Actual duration minus planned duration</w:t>
            </w:r>
          </w:p>
        </w:tc>
        <w:tc>
          <w:tcPr>
            <w:tcW w:type="dxa" w:w="3600"/>
          </w:tcPr>
          <w:p>
            <w:pPr>
              <w:spacing w:after="0" w:before="0" w:line="240" w:lineRule="auto"/>
              <w:jc w:val="left"/>
            </w:pPr>
            <w:r>
              <w:t>Measures schedule performance</w:t>
            </w:r>
          </w:p>
        </w:tc>
      </w:tr>
      <w:tr>
        <w:tc>
          <w:tcPr>
            <w:tcW w:type="dxa" w:w="3600"/>
          </w:tcPr>
          <w:p>
            <w:pPr>
              <w:spacing w:after="0" w:before="0" w:line="240" w:lineRule="auto"/>
              <w:jc w:val="left"/>
            </w:pPr>
            <w:r>
              <w:t>First-pass acceptance rate</w:t>
            </w:r>
          </w:p>
        </w:tc>
        <w:tc>
          <w:tcPr>
            <w:tcW w:type="dxa" w:w="3600"/>
          </w:tcPr>
          <w:p>
            <w:pPr>
              <w:spacing w:after="0" w:before="0" w:line="240" w:lineRule="auto"/>
              <w:jc w:val="left"/>
            </w:pPr>
            <w:r>
              <w:t>Tests passed first time divided by total tests performed</w:t>
            </w:r>
          </w:p>
        </w:tc>
        <w:tc>
          <w:tcPr>
            <w:tcW w:type="dxa" w:w="3600"/>
          </w:tcPr>
          <w:p>
            <w:pPr>
              <w:spacing w:after="0" w:before="0" w:line="240" w:lineRule="auto"/>
              <w:jc w:val="left"/>
            </w:pPr>
            <w:r>
              <w:t>Indicates readiness and quality</w:t>
            </w:r>
          </w:p>
        </w:tc>
      </w:tr>
      <w:tr>
        <w:tc>
          <w:tcPr>
            <w:tcW w:type="dxa" w:w="3600"/>
          </w:tcPr>
          <w:p>
            <w:pPr>
              <w:spacing w:after="0" w:before="0" w:line="240" w:lineRule="auto"/>
              <w:jc w:val="left"/>
            </w:pPr>
            <w:r>
              <w:t>Rework hours</w:t>
            </w:r>
          </w:p>
        </w:tc>
        <w:tc>
          <w:tcPr>
            <w:tcW w:type="dxa" w:w="3600"/>
          </w:tcPr>
          <w:p>
            <w:pPr>
              <w:spacing w:after="0" w:before="0" w:line="240" w:lineRule="auto"/>
              <w:jc w:val="left"/>
            </w:pPr>
            <w:r>
              <w:t>Hours spent correcting defects</w:t>
            </w:r>
          </w:p>
        </w:tc>
        <w:tc>
          <w:tcPr>
            <w:tcW w:type="dxa" w:w="3600"/>
          </w:tcPr>
          <w:p>
            <w:pPr>
              <w:spacing w:after="0" w:before="0" w:line="240" w:lineRule="auto"/>
              <w:jc w:val="left"/>
            </w:pPr>
            <w:r>
              <w:t>Identifies recurring problems</w:t>
            </w:r>
          </w:p>
        </w:tc>
      </w:tr>
      <w:tr>
        <w:tc>
          <w:tcPr>
            <w:tcW w:type="dxa" w:w="3600"/>
          </w:tcPr>
          <w:p>
            <w:pPr>
              <w:spacing w:after="0" w:before="0" w:line="240" w:lineRule="auto"/>
              <w:jc w:val="left"/>
            </w:pPr>
            <w:r>
              <w:t>Repeat-visit cost</w:t>
            </w:r>
          </w:p>
        </w:tc>
        <w:tc>
          <w:tcPr>
            <w:tcW w:type="dxa" w:w="3600"/>
          </w:tcPr>
          <w:p>
            <w:pPr>
              <w:spacing w:after="0" w:before="0" w:line="240" w:lineRule="auto"/>
              <w:jc w:val="left"/>
            </w:pPr>
            <w:r>
              <w:t>Cost of additional commissioning visits</w:t>
            </w:r>
          </w:p>
        </w:tc>
        <w:tc>
          <w:tcPr>
            <w:tcW w:type="dxa" w:w="3600"/>
          </w:tcPr>
          <w:p>
            <w:pPr>
              <w:spacing w:after="0" w:before="0" w:line="240" w:lineRule="auto"/>
              <w:jc w:val="left"/>
            </w:pPr>
            <w:r>
              <w:t>Tracks avoidable expense</w:t>
            </w:r>
          </w:p>
        </w:tc>
      </w:tr>
      <w:tr>
        <w:tc>
          <w:tcPr>
            <w:tcW w:type="dxa" w:w="3600"/>
          </w:tcPr>
          <w:p>
            <w:pPr>
              <w:spacing w:after="0" w:before="0" w:line="240" w:lineRule="auto"/>
              <w:jc w:val="left"/>
            </w:pPr>
            <w:r>
              <w:t>Open punch-list items</w:t>
            </w:r>
          </w:p>
        </w:tc>
        <w:tc>
          <w:tcPr>
            <w:tcW w:type="dxa" w:w="3600"/>
          </w:tcPr>
          <w:p>
            <w:pPr>
              <w:spacing w:after="0" w:before="0" w:line="240" w:lineRule="auto"/>
              <w:jc w:val="left"/>
            </w:pPr>
            <w:r>
              <w:t>Number of unresolved items at handover</w:t>
            </w:r>
          </w:p>
        </w:tc>
        <w:tc>
          <w:tcPr>
            <w:tcW w:type="dxa" w:w="3600"/>
          </w:tcPr>
          <w:p>
            <w:pPr>
              <w:spacing w:after="0" w:before="0" w:line="240" w:lineRule="auto"/>
              <w:jc w:val="left"/>
            </w:pPr>
            <w:r>
              <w:t>Measures completion status</w:t>
            </w:r>
          </w:p>
        </w:tc>
      </w:tr>
      <w:tr>
        <w:tc>
          <w:tcPr>
            <w:tcW w:type="dxa" w:w="3600"/>
          </w:tcPr>
          <w:p>
            <w:pPr>
              <w:spacing w:after="0" w:before="0" w:line="240" w:lineRule="auto"/>
              <w:jc w:val="left"/>
            </w:pPr>
            <w:r>
              <w:t>SAT pass rate</w:t>
            </w:r>
          </w:p>
        </w:tc>
        <w:tc>
          <w:tcPr>
            <w:tcW w:type="dxa" w:w="3600"/>
          </w:tcPr>
          <w:p>
            <w:pPr>
              <w:spacing w:after="0" w:before="0" w:line="240" w:lineRule="auto"/>
              <w:jc w:val="left"/>
            </w:pPr>
            <w:r>
              <w:t>SAT tests passed divided by total SAT tests</w:t>
            </w:r>
          </w:p>
        </w:tc>
        <w:tc>
          <w:tcPr>
            <w:tcW w:type="dxa" w:w="3600"/>
          </w:tcPr>
          <w:p>
            <w:pPr>
              <w:spacing w:after="0" w:before="0" w:line="240" w:lineRule="auto"/>
              <w:jc w:val="left"/>
            </w:pPr>
            <w:r>
              <w:t>Measures site acceptance progress</w:t>
            </w:r>
          </w:p>
        </w:tc>
      </w:tr>
      <w:tr>
        <w:tc>
          <w:tcPr>
            <w:tcW w:type="dxa" w:w="3600"/>
          </w:tcPr>
          <w:p>
            <w:pPr>
              <w:spacing w:after="0" w:before="0" w:line="240" w:lineRule="auto"/>
              <w:jc w:val="left"/>
            </w:pPr>
            <w:r>
              <w:t>Supplier-caused delay</w:t>
            </w:r>
          </w:p>
        </w:tc>
        <w:tc>
          <w:tcPr>
            <w:tcW w:type="dxa" w:w="3600"/>
          </w:tcPr>
          <w:p>
            <w:pPr>
              <w:spacing w:after="0" w:before="0" w:line="240" w:lineRule="auto"/>
              <w:jc w:val="left"/>
            </w:pPr>
            <w:r>
              <w:t>Delay attributable to supplier issues</w:t>
            </w:r>
          </w:p>
        </w:tc>
        <w:tc>
          <w:tcPr>
            <w:tcW w:type="dxa" w:w="3600"/>
          </w:tcPr>
          <w:p>
            <w:pPr>
              <w:spacing w:after="0" w:before="0" w:line="240" w:lineRule="auto"/>
              <w:jc w:val="left"/>
            </w:pPr>
            <w:r>
              <w:t>Supports accountability</w:t>
            </w:r>
          </w:p>
        </w:tc>
      </w:tr>
      <w:tr>
        <w:tc>
          <w:tcPr>
            <w:tcW w:type="dxa" w:w="3600"/>
          </w:tcPr>
          <w:p>
            <w:pPr>
              <w:spacing w:after="0" w:before="0" w:line="240" w:lineRule="auto"/>
              <w:jc w:val="left"/>
            </w:pPr>
            <w:r>
              <w:t>Defect closure time</w:t>
            </w:r>
          </w:p>
        </w:tc>
        <w:tc>
          <w:tcPr>
            <w:tcW w:type="dxa" w:w="3600"/>
          </w:tcPr>
          <w:p>
            <w:pPr>
              <w:spacing w:after="0" w:before="0" w:line="240" w:lineRule="auto"/>
              <w:jc w:val="left"/>
            </w:pPr>
            <w:r>
              <w:t>Time between defect logging and verified closure</w:t>
            </w:r>
          </w:p>
        </w:tc>
        <w:tc>
          <w:tcPr>
            <w:tcW w:type="dxa" w:w="3600"/>
          </w:tcPr>
          <w:p>
            <w:pPr>
              <w:spacing w:after="0" w:before="0" w:line="240" w:lineRule="auto"/>
              <w:jc w:val="left"/>
            </w:pPr>
            <w:r>
              <w:t>Measures corrective-action speed</w:t>
            </w:r>
          </w:p>
        </w:tc>
      </w:tr>
    </w:tbl>
    <w:p/>
    <w:p>
      <w:r>
        <w:t>KPIs should distinguish supplier-caused defects, buyer-caused delays, scope changes, and external constraints. Otherwise, the figures may be commercially misleading.</w:t>
      </w:r>
    </w:p>
    <w:p>
      <w:pPr>
        <w:pStyle w:val="Heading2"/>
      </w:pPr>
      <w:r>
        <w:t>16. Final commissioning checklist</w:t>
      </w:r>
    </w:p>
    <w:p>
      <w:pPr>
        <w:pStyle w:val="ListBullet"/>
      </w:pPr>
      <w:r>
        <w:t>Commissioning scope is contractually defined.</w:t>
      </w:r>
    </w:p>
    <w:p>
      <w:pPr>
        <w:pStyle w:val="ListBullet"/>
      </w:pPr>
      <w:r>
        <w:t>Installation completion and site readiness are verified.</w:t>
      </w:r>
    </w:p>
    <w:p>
      <w:pPr>
        <w:pStyle w:val="ListBullet"/>
      </w:pPr>
      <w:r>
        <w:t>Required software, licenses, and backups are available.</w:t>
      </w:r>
    </w:p>
    <w:p>
      <w:pPr>
        <w:pStyle w:val="ListBullet"/>
      </w:pPr>
      <w:r>
        <w:t>PLC, HMI, drives, robots, CNC, and interfaces are tested as applicable.</w:t>
      </w:r>
    </w:p>
    <w:p>
      <w:pPr>
        <w:pStyle w:val="ListBullet"/>
      </w:pPr>
      <w:r>
        <w:t>Instruments and measurement systems are verified.</w:t>
      </w:r>
    </w:p>
    <w:p>
      <w:pPr>
        <w:pStyle w:val="ListBullet"/>
      </w:pPr>
      <w:r>
        <w:t>Functional and abnormal-condition tests are completed.</w:t>
      </w:r>
    </w:p>
    <w:p>
      <w:pPr>
        <w:pStyle w:val="ListBullet"/>
      </w:pPr>
      <w:r>
        <w:t>Required safety functions are validated.</w:t>
      </w:r>
    </w:p>
    <w:p>
      <w:pPr>
        <w:pStyle w:val="ListBullet"/>
      </w:pPr>
      <w:r>
        <w:t>FAT and SAT scope and acceptance criteria are satisfied.</w:t>
      </w:r>
    </w:p>
    <w:p>
      <w:pPr>
        <w:pStyle w:val="ListBullet"/>
      </w:pPr>
      <w:r>
        <w:t>Production trials meet the specified requirements.</w:t>
      </w:r>
    </w:p>
    <w:p>
      <w:pPr>
        <w:pStyle w:val="ListBullet"/>
      </w:pPr>
      <w:r>
        <w:t>Defects and deviations are documented and closed or formally dispositioned.</w:t>
      </w:r>
    </w:p>
    <w:p>
      <w:pPr>
        <w:pStyle w:val="ListBullet"/>
      </w:pPr>
      <w:r>
        <w:t>Supplier-caused rework is treated according to contract terms.</w:t>
      </w:r>
    </w:p>
    <w:p>
      <w:pPr>
        <w:pStyle w:val="ListBullet"/>
      </w:pPr>
      <w:r>
        <w:t>Final software backups, drawings, parameters, and reports are handed over.</w:t>
      </w:r>
    </w:p>
    <w:p>
      <w:pPr>
        <w:pStyle w:val="ListBullet"/>
      </w:pPr>
      <w:r>
        <w:t>Training and maintenance handover are completed where required.</w:t>
      </w:r>
    </w:p>
    <w:p>
      <w:pPr>
        <w:pStyle w:val="ListBullet"/>
      </w:pPr>
      <w:r>
        <w:t>Actual commissioning costs are reconciled against the approved estimate.</w:t>
      </w:r>
    </w:p>
    <w:p>
      <w:pPr>
        <w:pStyle w:val="ListBullet"/>
      </w:pPr>
      <w:r>
        <w:t>Formal acceptance is recorded by the authorized parties.</w:t>
      </w:r>
    </w:p>
    <w:p>
      <w:pPr>
        <w:pStyle w:val="Heading2"/>
      </w:pPr>
      <w:r>
        <w:t>17. Interview questions and answers</w:t>
      </w:r>
    </w:p>
    <w:p>
      <w:r>
        <w:t>Q1. What is commissioning cost?</w:t>
      </w:r>
    </w:p>
    <w:p>
      <w:r>
        <w:t>It is the cost of configuring, testing, adjusting, and verifying that installed equipment meets its specified functional and performance requirements.</w:t>
      </w:r>
    </w:p>
    <w:p>
      <w:r>
        <w:t>Q2. What is the difference between installation and commissioning?</w:t>
      </w:r>
    </w:p>
    <w:p>
      <w:r>
        <w:t>Installation physically positions and connects the equipment. Commissioning verifies the configured system's operation, interfaces, interlocks, performance, and readiness for acceptance.</w:t>
      </w:r>
    </w:p>
    <w:p>
      <w:r>
        <w:t>Q3. What are the main components of commissioning cost?</w:t>
      </w:r>
    </w:p>
    <w:p>
      <w:r>
        <w:t>Engineering preparation, PLC/HMI configuration, drive tuning, interface testing, instrumentation verification, specialist labor, FAT/SAT support, travel, documentation, and agreed handover activities.</w:t>
      </w:r>
    </w:p>
    <w:p>
      <w:r>
        <w:t>Q4. What is the difference between FAT and SAT?</w:t>
      </w:r>
    </w:p>
    <w:p>
      <w:r>
        <w:t>FAT is performed at the supplier's facility before shipment or delivery. SAT verifies the system at the installation site under the agreed site conditions and interfaces.</w:t>
      </w:r>
    </w:p>
    <w:p>
      <w:r>
        <w:t>Q5. Why is software quality important for commissioning cost?</w:t>
      </w:r>
    </w:p>
    <w:p>
      <w:r>
        <w:t>Incomplete or poorly structured software can increase debugging, testing, rework, and repeat visits. Clear code, documented interfaces, and verified backups reduce these risks.</w:t>
      </w:r>
    </w:p>
    <w:p>
      <w:r>
        <w:t>Q6. How do you estimate commissioning cost?</w:t>
      </w:r>
    </w:p>
    <w:p>
      <w:r>
        <w:t>Break down the work by discipline and activity, estimate specialist hours and rates, include required tests and travel, and validate the estimate against comparable projects or supplier quotations.</w:t>
      </w:r>
    </w:p>
    <w:p>
      <w:r>
        <w:t>Q7. Why must acceptance criteria be defined before procurement?</w:t>
      </w:r>
    </w:p>
    <w:p>
      <w:r>
        <w:t>They establish measurable conditions for completion, clarify responsibilities, prevent disputes, and identify the testing effort that must be included in the commercial offer.</w:t>
      </w:r>
    </w:p>
    <w:p>
      <w:r>
        <w:t>Q8. Should supplier-caused retesting always be charged to the buyer?</w:t>
      </w:r>
    </w:p>
    <w:p>
      <w:r>
        <w:t>Not automatically. The contract should distinguish correction of supplier nonconformance from buyer-requested changes, site-readiness delays, and other chargeable variations.</w:t>
      </w:r>
    </w:p>
    <w:p>
      <w:r>
        <w:t>Q9. How can commissioning cost be reduced?</w:t>
      </w:r>
    </w:p>
    <w:p>
      <w:r>
        <w:t>Prepare the site, verify installation, arrange test materials and licenses, perform pre-commissioning checks, coordinate specialists efficiently, and reduce avoidable rework without compromising safety or acceptance requirements.</w:t>
      </w:r>
    </w:p>
    <w:p>
      <w:r>
        <w:t>Q10. What documents should be handed over after commissioning?</w:t>
      </w:r>
    </w:p>
    <w:p>
      <w:r>
        <w:t>Depending on the scope, final software backups, parameter files, as-built drawings, test records, calibration evidence, safety-validation records, defect-closure reports, operating procedures, and acceptance documents.</w:t>
      </w:r>
    </w:p>
    <w:p>
      <w:pPr>
        <w:pStyle w:val="Heading2"/>
      </w:pPr>
      <w:r>
        <w:t>18. Final engineering principle</w:t>
      </w:r>
    </w:p>
    <w:p>
      <w:r>
        <w:t>Commissioning cost should be estimated from the work required to demonstrate that the equipment meets its specified requirements, not merely from the number of days a supplier expects to spend onsite. Clear acceptance criteria, prepared installation interfaces, disciplined testing, documented defect closure, and contractual clarity reduce avoidable commissioning expense while protecting safety, quality, and production readiness.</w:t>
      </w:r>
    </w:p>
    <w:p>
      <w:pPr>
        <w:pStyle w:val="Heading2"/>
      </w:pPr>
      <w:r>
        <w:t>NEXT TOPIC</w:t>
      </w:r>
    </w:p>
    <w:p>
      <w:r>
        <w:rPr>
          <w:rFonts w:ascii="Consolas" w:hAnsi="Consolas"/>
          <w:color w:val="333333"/>
          <w:sz w:val="19"/>
          <w:shd w:val="clear" w:color="auto" w:fill="EFEFEF"/>
        </w:rPr>
        <w:t>02_PLAN_WISE_2026\02_INDUSTRY3_0\09_Procurement\03_Commercial_Awareness\05_Spare_Cost - Spare cost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02_PLAN_WISE_2026\02_INDUSTRY3_0\09_Procurement\03_Commercial_Awareness\04_Commissioning_Cost - Commissioning cost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