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02_PLAN_WISE_2026\02_INDUSTRY3_0\09_Procurement\03_Commercial_Awareness\09_Payment_Milestones - Payment milestones</w:t>
      </w:r>
    </w:p>
    <w:p>
      <w:pPr>
        <w:pStyle w:val="Heading2"/>
      </w:pPr>
      <w:r>
        <w:t>1. Definition of Payment Milestones</w:t>
      </w:r>
    </w:p>
    <w:p>
      <w:r>
        <w:t>Payment milestones are predefined events, deliverables, or acceptance conditions that trigger payment to a supplier under a purchase order or contract.</w:t>
      </w:r>
    </w:p>
    <w:p>
      <w:r>
        <w:t>They divide the total contract value into agreed payment stages instead of requiring the entire amount to be paid at once.</w:t>
      </w:r>
    </w:p>
    <w:p>
      <w:r>
        <w:t>In industrial procurement, payment milestones are commonly used for automation equipment, electrical panels, CNC machines, robotic cells, special-purpose machines, test benches, software development, installation, and commissioning projects.</w:t>
      </w:r>
    </w:p>
    <w:p>
      <w:r>
        <w:t>A payment milestone should identify:</w:t>
      </w:r>
    </w:p>
    <w:p>
      <w:pPr>
        <w:pStyle w:val="ListBullet"/>
      </w:pPr>
      <w:r>
        <w:t>The event that triggers payment.</w:t>
      </w:r>
    </w:p>
    <w:p>
      <w:pPr>
        <w:pStyle w:val="ListBullet"/>
      </w:pPr>
      <w:r>
        <w:t>The evidence required to verify completion.</w:t>
      </w:r>
    </w:p>
    <w:p>
      <w:pPr>
        <w:pStyle w:val="ListBullet"/>
      </w:pPr>
      <w:r>
        <w:t>The party responsible for approving completion.</w:t>
      </w:r>
    </w:p>
    <w:p>
      <w:pPr>
        <w:pStyle w:val="ListBullet"/>
      </w:pPr>
      <w:r>
        <w:t>The payment amount or percentage.</w:t>
      </w:r>
    </w:p>
    <w:p>
      <w:pPr>
        <w:pStyle w:val="ListBullet"/>
      </w:pPr>
      <w:r>
        <w:t>The invoice requirements.</w:t>
      </w:r>
    </w:p>
    <w:p>
      <w:pPr>
        <w:pStyle w:val="ListBullet"/>
      </w:pPr>
      <w:r>
        <w:t>The payment due date or payment terms.</w:t>
      </w:r>
    </w:p>
    <w:p>
      <w:pPr>
        <w:pStyle w:val="ListBullet"/>
      </w:pPr>
      <w:r>
        <w:t>Any conditions that must be satisfied before payment.</w:t>
      </w:r>
    </w:p>
    <w:p>
      <w:r>
        <w:t>For example, a contract may provide for an initial advance, a payment after successful Factory Acceptance Testing (FAT), a payment after delivery, and a final payment after Site Acceptance Testing (SAT).</w:t>
      </w:r>
    </w:p>
    <w:p>
      <w:r>
        <w:t>The central principle is that payment should be linked to objectively verifiable contractual progress, with enough financial protection retained to encourage successful completion.</w:t>
      </w:r>
    </w:p>
    <w:p>
      <w:pPr>
        <w:pStyle w:val="Heading2"/>
      </w:pPr>
      <w:r>
        <w:t>2. Why Payment Milestones Matter</w:t>
      </w:r>
    </w:p>
    <w:p>
      <w:r>
        <w:t>Payment milestones affect both the buyer's financial risk and the supplier's ability to fund project execution.</w:t>
      </w:r>
    </w:p>
    <w:p>
      <w:r>
        <w:t>For the buyer, they help:</w:t>
      </w:r>
    </w:p>
    <w:p>
      <w:pPr>
        <w:pStyle w:val="ListBullet"/>
      </w:pPr>
      <w:r>
        <w:t>Control cash flow.</w:t>
      </w:r>
    </w:p>
    <w:p>
      <w:pPr>
        <w:pStyle w:val="ListBullet"/>
      </w:pPr>
      <w:r>
        <w:t>Link expenditure to actual project progress.</w:t>
      </w:r>
    </w:p>
    <w:p>
      <w:pPr>
        <w:pStyle w:val="ListBullet"/>
      </w:pPr>
      <w:r>
        <w:t>Reduce advance-payment exposure.</w:t>
      </w:r>
    </w:p>
    <w:p>
      <w:pPr>
        <w:pStyle w:val="ListBullet"/>
      </w:pPr>
      <w:r>
        <w:t>Avoid paying the full amount before satisfactory delivery.</w:t>
      </w:r>
    </w:p>
    <w:p>
      <w:pPr>
        <w:pStyle w:val="ListBullet"/>
      </w:pPr>
      <w:r>
        <w:t>Retain leverage for closing defects and documentation.</w:t>
      </w:r>
    </w:p>
    <w:p>
      <w:pPr>
        <w:pStyle w:val="ListBullet"/>
      </w:pPr>
      <w:r>
        <w:t>Establish clear evidence for invoice approval.</w:t>
      </w:r>
    </w:p>
    <w:p>
      <w:r>
        <w:t>For the supplier, they help:</w:t>
      </w:r>
    </w:p>
    <w:p>
      <w:pPr>
        <w:pStyle w:val="ListBullet"/>
      </w:pPr>
      <w:r>
        <w:t>Recover costs at agreed stages.</w:t>
      </w:r>
    </w:p>
    <w:p>
      <w:pPr>
        <w:pStyle w:val="ListBullet"/>
      </w:pPr>
      <w:r>
        <w:t>Fund material procurement and manufacturing.</w:t>
      </w:r>
    </w:p>
    <w:p>
      <w:pPr>
        <w:pStyle w:val="ListBullet"/>
      </w:pPr>
      <w:r>
        <w:t>Reduce uncertainty about payment timing.</w:t>
      </w:r>
    </w:p>
    <w:p>
      <w:pPr>
        <w:pStyle w:val="ListBullet"/>
      </w:pPr>
      <w:r>
        <w:t>Plan working capital.</w:t>
      </w:r>
    </w:p>
    <w:p>
      <w:pPr>
        <w:pStyle w:val="ListBullet"/>
      </w:pPr>
      <w:r>
        <w:t>Establish clear contractual acceptance points.</w:t>
      </w:r>
    </w:p>
    <w:p>
      <w:r>
        <w:t>A poorly structured milestone schedule can create problems even when the equipment itself is technically sound. Paying too much too early exposes the buyer, while delaying payment after valid contractual completion can damage supplier relationships and project delivery.</w:t>
      </w:r>
    </w:p>
    <w:p>
      <w:pPr>
        <w:pStyle w:val="Heading2"/>
      </w:pPr>
      <w:r>
        <w:t>3. Payment Milestones Versus Payment Terms</w:t>
      </w:r>
    </w:p>
    <w:p>
      <w:r>
        <w:t>These terms are related but different.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Payment milestone</w:t>
            </w:r>
          </w:p>
        </w:tc>
        <w:tc>
          <w:tcPr>
            <w:tcW w:type="dxa" w:w="3600"/>
          </w:tcPr>
          <w:p>
            <w:pPr>
              <w:spacing w:after="0" w:before="0" w:line="240" w:lineRule="auto"/>
              <w:jc w:val="left"/>
            </w:pPr>
            <w:r>
              <w:t>Event that triggers a payment entitlement</w:t>
            </w:r>
          </w:p>
        </w:tc>
        <w:tc>
          <w:tcPr>
            <w:tcW w:type="dxa" w:w="3600"/>
          </w:tcPr>
          <w:p>
            <w:pPr>
              <w:spacing w:after="0" w:before="0" w:line="240" w:lineRule="auto"/>
              <w:jc w:val="left"/>
            </w:pPr>
            <w:r>
              <w:t>Successful FAT</w:t>
            </w:r>
          </w:p>
        </w:tc>
      </w:tr>
      <w:tr>
        <w:tc>
          <w:tcPr>
            <w:tcW w:type="dxa" w:w="3600"/>
          </w:tcPr>
          <w:p>
            <w:pPr>
              <w:spacing w:after="0" w:before="0" w:line="240" w:lineRule="auto"/>
              <w:jc w:val="left"/>
            </w:pPr>
            <w:r>
              <w:t>Payment percentage</w:t>
            </w:r>
          </w:p>
        </w:tc>
        <w:tc>
          <w:tcPr>
            <w:tcW w:type="dxa" w:w="3600"/>
          </w:tcPr>
          <w:p>
            <w:pPr>
              <w:spacing w:after="0" w:before="0" w:line="240" w:lineRule="auto"/>
              <w:jc w:val="left"/>
            </w:pPr>
            <w:r>
              <w:t>Portion of contract value allocated to a milestone</w:t>
            </w:r>
          </w:p>
        </w:tc>
        <w:tc>
          <w:tcPr>
            <w:tcW w:type="dxa" w:w="3600"/>
          </w:tcPr>
          <w:p>
            <w:pPr>
              <w:spacing w:after="0" w:before="0" w:line="240" w:lineRule="auto"/>
              <w:jc w:val="left"/>
            </w:pPr>
            <w:r>
              <w:t>20% of contract value</w:t>
            </w:r>
          </w:p>
        </w:tc>
      </w:tr>
      <w:tr>
        <w:tc>
          <w:tcPr>
            <w:tcW w:type="dxa" w:w="3600"/>
          </w:tcPr>
          <w:p>
            <w:pPr>
              <w:spacing w:after="0" w:before="0" w:line="240" w:lineRule="auto"/>
              <w:jc w:val="left"/>
            </w:pPr>
            <w:r>
              <w:t>Payment terms</w:t>
            </w:r>
          </w:p>
        </w:tc>
        <w:tc>
          <w:tcPr>
            <w:tcW w:type="dxa" w:w="3600"/>
          </w:tcPr>
          <w:p>
            <w:pPr>
              <w:spacing w:after="0" w:before="0" w:line="240" w:lineRule="auto"/>
              <w:jc w:val="left"/>
            </w:pPr>
            <w:r>
              <w:t>Rules governing when payment is due</w:t>
            </w:r>
          </w:p>
        </w:tc>
        <w:tc>
          <w:tcPr>
            <w:tcW w:type="dxa" w:w="3600"/>
          </w:tcPr>
          <w:p>
            <w:pPr>
              <w:spacing w:after="0" w:before="0" w:line="240" w:lineRule="auto"/>
              <w:jc w:val="left"/>
            </w:pPr>
            <w:r>
              <w:t>Within 30 days of an accepted invoice</w:t>
            </w:r>
          </w:p>
        </w:tc>
      </w:tr>
      <w:tr>
        <w:tc>
          <w:tcPr>
            <w:tcW w:type="dxa" w:w="3600"/>
          </w:tcPr>
          <w:p>
            <w:pPr>
              <w:spacing w:after="0" w:before="0" w:line="240" w:lineRule="auto"/>
              <w:jc w:val="left"/>
            </w:pPr>
            <w:r>
              <w:t>Invoice date</w:t>
            </w:r>
          </w:p>
        </w:tc>
        <w:tc>
          <w:tcPr>
            <w:tcW w:type="dxa" w:w="3600"/>
          </w:tcPr>
          <w:p>
            <w:pPr>
              <w:spacing w:after="0" w:before="0" w:line="240" w:lineRule="auto"/>
              <w:jc w:val="left"/>
            </w:pPr>
            <w:r>
              <w:t>Date the supplier issues the invoice</w:t>
            </w:r>
          </w:p>
        </w:tc>
        <w:tc>
          <w:tcPr>
            <w:tcW w:type="dxa" w:w="3600"/>
          </w:tcPr>
          <w:p>
            <w:pPr>
              <w:spacing w:after="0" w:before="0" w:line="240" w:lineRule="auto"/>
              <w:jc w:val="left"/>
            </w:pPr>
            <w:r>
              <w:t>15 June</w:t>
            </w:r>
          </w:p>
        </w:tc>
      </w:tr>
      <w:tr>
        <w:tc>
          <w:tcPr>
            <w:tcW w:type="dxa" w:w="3600"/>
          </w:tcPr>
          <w:p>
            <w:pPr>
              <w:spacing w:after="0" w:before="0" w:line="240" w:lineRule="auto"/>
              <w:jc w:val="left"/>
            </w:pPr>
            <w:r>
              <w:t>Due date</w:t>
            </w:r>
          </w:p>
        </w:tc>
        <w:tc>
          <w:tcPr>
            <w:tcW w:type="dxa" w:w="3600"/>
          </w:tcPr>
          <w:p>
            <w:pPr>
              <w:spacing w:after="0" w:before="0" w:line="240" w:lineRule="auto"/>
              <w:jc w:val="left"/>
            </w:pPr>
            <w:r>
              <w:t>Date payment becomes due under the agreed terms</w:t>
            </w:r>
          </w:p>
        </w:tc>
        <w:tc>
          <w:tcPr>
            <w:tcW w:type="dxa" w:w="3600"/>
          </w:tcPr>
          <w:p>
            <w:pPr>
              <w:spacing w:after="0" w:before="0" w:line="240" w:lineRule="auto"/>
              <w:jc w:val="left"/>
            </w:pPr>
            <w:r>
              <w:t>15 July, subject to the contract</w:t>
            </w:r>
          </w:p>
        </w:tc>
      </w:tr>
      <w:tr>
        <w:tc>
          <w:tcPr>
            <w:tcW w:type="dxa" w:w="3600"/>
          </w:tcPr>
          <w:p>
            <w:pPr>
              <w:spacing w:after="0" w:before="0" w:line="240" w:lineRule="auto"/>
              <w:jc w:val="left"/>
            </w:pPr>
            <w:r>
              <w:t>Retention</w:t>
            </w:r>
          </w:p>
        </w:tc>
        <w:tc>
          <w:tcPr>
            <w:tcW w:type="dxa" w:w="3600"/>
          </w:tcPr>
          <w:p>
            <w:pPr>
              <w:spacing w:after="0" w:before="0" w:line="240" w:lineRule="auto"/>
              <w:jc w:val="left"/>
            </w:pPr>
            <w:r>
              <w:t>Amount withheld until a specified condition is met</w:t>
            </w:r>
          </w:p>
        </w:tc>
        <w:tc>
          <w:tcPr>
            <w:tcW w:type="dxa" w:w="3600"/>
          </w:tcPr>
          <w:p>
            <w:pPr>
              <w:spacing w:after="0" w:before="0" w:line="240" w:lineRule="auto"/>
              <w:jc w:val="left"/>
            </w:pPr>
            <w:r>
              <w:t>5% released after final acceptance</w:t>
            </w:r>
          </w:p>
        </w:tc>
      </w:tr>
      <w:tr>
        <w:tc>
          <w:tcPr>
            <w:tcW w:type="dxa" w:w="3600"/>
          </w:tcPr>
          <w:p>
            <w:pPr>
              <w:spacing w:after="0" w:before="0" w:line="240" w:lineRule="auto"/>
              <w:jc w:val="left"/>
            </w:pPr>
            <w:r>
              <w:t>Advance payment</w:t>
            </w:r>
          </w:p>
        </w:tc>
        <w:tc>
          <w:tcPr>
            <w:tcW w:type="dxa" w:w="3600"/>
          </w:tcPr>
          <w:p>
            <w:pPr>
              <w:spacing w:after="0" w:before="0" w:line="240" w:lineRule="auto"/>
              <w:jc w:val="left"/>
            </w:pPr>
            <w:r>
              <w:t>Payment before the corresponding goods or services are completed</w:t>
            </w:r>
          </w:p>
        </w:tc>
        <w:tc>
          <w:tcPr>
            <w:tcW w:type="dxa" w:w="3600"/>
          </w:tcPr>
          <w:p>
            <w:pPr>
              <w:spacing w:after="0" w:before="0" w:line="240" w:lineRule="auto"/>
              <w:jc w:val="left"/>
            </w:pPr>
            <w:r>
              <w:t>10% on contract award</w:t>
            </w:r>
          </w:p>
        </w:tc>
      </w:tr>
      <w:tr>
        <w:tc>
          <w:tcPr>
            <w:tcW w:type="dxa" w:w="3600"/>
          </w:tcPr>
          <w:p>
            <w:pPr>
              <w:spacing w:after="0" w:before="0" w:line="240" w:lineRule="auto"/>
              <w:jc w:val="left"/>
            </w:pPr>
            <w:r>
              <w:t>Security instrument</w:t>
            </w:r>
          </w:p>
        </w:tc>
        <w:tc>
          <w:tcPr>
            <w:tcW w:type="dxa" w:w="3600"/>
          </w:tcPr>
          <w:p>
            <w:pPr>
              <w:spacing w:after="0" w:before="0" w:line="240" w:lineRule="auto"/>
              <w:jc w:val="left"/>
            </w:pPr>
            <w:r>
              <w:t>Instrument securing a defined obligation</w:t>
            </w:r>
          </w:p>
        </w:tc>
        <w:tc>
          <w:tcPr>
            <w:tcW w:type="dxa" w:w="3600"/>
          </w:tcPr>
          <w:p>
            <w:pPr>
              <w:spacing w:after="0" w:before="0" w:line="240" w:lineRule="auto"/>
              <w:jc w:val="left"/>
            </w:pPr>
            <w:r>
              <w:t>Advance-payment bank guarantee</w:t>
            </w:r>
          </w:p>
        </w:tc>
      </w:tr>
    </w:tbl>
    <w:p/>
    <w:p>
      <w:r>
        <w:t>A milestone defines when a payment entitlement arises. Payment terms define when the payment must be made after the relevant contractual conditions are satisfied.</w:t>
      </w:r>
    </w:p>
    <w:p>
      <w:r>
        <w:t>The contract should also specify the required documents, applicable tax treatment, invoice approval process, and treatment of disputed amounts.</w:t>
      </w:r>
    </w:p>
    <w:p>
      <w:pPr>
        <w:pStyle w:val="Heading2"/>
      </w:pPr>
      <w:r>
        <w:t>4. Common Payment Milestones in Industrial Projects</w:t>
      </w:r>
    </w:p>
    <w:p>
      <w:pPr>
        <w:pStyle w:val="Heading3"/>
      </w:pPr>
      <w:r>
        <w:t>4.1 Advance Payment</w:t>
      </w:r>
    </w:p>
    <w:p>
      <w:r>
        <w:t>An advance is paid before the supplier completes the corresponding work or delivers the goods.</w:t>
      </w:r>
    </w:p>
    <w:p>
      <w:r>
        <w:t>It may help the supplier fund raw materials, imported components, or initial engineering.</w:t>
      </w:r>
    </w:p>
    <w:p>
      <w:r>
        <w:t>Typical controls include:</w:t>
      </w:r>
    </w:p>
    <w:p>
      <w:pPr>
        <w:pStyle w:val="ListBullet"/>
      </w:pPr>
      <w:r>
        <w:t>Defined advance percentage.</w:t>
      </w:r>
    </w:p>
    <w:p>
      <w:pPr>
        <w:pStyle w:val="ListBullet"/>
      </w:pPr>
      <w:r>
        <w:t>Approved bank guarantee or other agreed security, where required.</w:t>
      </w:r>
    </w:p>
    <w:p>
      <w:pPr>
        <w:pStyle w:val="ListBullet"/>
      </w:pPr>
      <w:r>
        <w:t>Clear conditions for advance release.</w:t>
      </w:r>
    </w:p>
    <w:p>
      <w:pPr>
        <w:pStyle w:val="ListBullet"/>
      </w:pPr>
      <w:r>
        <w:t>Recovery of the advance through subsequent payments.</w:t>
      </w:r>
    </w:p>
    <w:p>
      <w:pPr>
        <w:pStyle w:val="ListBullet"/>
      </w:pPr>
      <w:r>
        <w:t>Defined validity and reduction rules for the security.</w:t>
      </w:r>
    </w:p>
    <w:p>
      <w:pPr>
        <w:pStyle w:val="ListBullet"/>
      </w:pPr>
      <w:r>
        <w:t>Refund obligations if the contract is terminated under specified conditions.</w:t>
      </w:r>
    </w:p>
    <w:p>
      <w:r>
        <w:t>An advance is not proof that the supplier has completed work. It is a financial commitment made under agreed conditions.</w:t>
      </w:r>
    </w:p>
    <w:p>
      <w:pPr>
        <w:pStyle w:val="Heading3"/>
      </w:pPr>
      <w:r>
        <w:t>4.2 Engineering or Design Approval</w:t>
      </w:r>
    </w:p>
    <w:p>
      <w:r>
        <w:t>Payment may be linked to completion and approval of specified engineering deliverables.</w:t>
      </w:r>
    </w:p>
    <w:p>
      <w:r>
        <w:t>Examples include:</w:t>
      </w:r>
    </w:p>
    <w:p>
      <w:pPr>
        <w:pStyle w:val="ListBullet"/>
      </w:pPr>
      <w:r>
        <w:t>General arrangement drawings.</w:t>
      </w:r>
    </w:p>
    <w:p>
      <w:pPr>
        <w:pStyle w:val="ListBullet"/>
      </w:pPr>
      <w:r>
        <w:t>Electrical schematics.</w:t>
      </w:r>
    </w:p>
    <w:p>
      <w:pPr>
        <w:pStyle w:val="ListBullet"/>
      </w:pPr>
      <w:r>
        <w:t>Control architecture.</w:t>
      </w:r>
    </w:p>
    <w:p>
      <w:pPr>
        <w:pStyle w:val="ListBullet"/>
      </w:pPr>
      <w:r>
        <w:t>Panel layout drawings.</w:t>
      </w:r>
    </w:p>
    <w:p>
      <w:pPr>
        <w:pStyle w:val="ListBullet"/>
      </w:pPr>
      <w:r>
        <w:t>Bill of materials.</w:t>
      </w:r>
    </w:p>
    <w:p>
      <w:pPr>
        <w:pStyle w:val="ListBullet"/>
      </w:pPr>
      <w:r>
        <w:t>I/O lists.</w:t>
      </w:r>
    </w:p>
    <w:p>
      <w:pPr>
        <w:pStyle w:val="ListBullet"/>
      </w:pPr>
      <w:r>
        <w:t>Network architecture.</w:t>
      </w:r>
    </w:p>
    <w:p>
      <w:pPr>
        <w:pStyle w:val="ListBullet"/>
      </w:pPr>
      <w:r>
        <w:t>Safety-related design documentation.</w:t>
      </w:r>
    </w:p>
    <w:p>
      <w:pPr>
        <w:pStyle w:val="ListBullet"/>
      </w:pPr>
      <w:r>
        <w:t>Approved software design documents.</w:t>
      </w:r>
    </w:p>
    <w:p>
      <w:r>
        <w:t>The contract should specify what constitutes completion. Submission of a drawing is not necessarily the same as acceptance of that drawing.</w:t>
      </w:r>
    </w:p>
    <w:p>
      <w:pPr>
        <w:pStyle w:val="Heading3"/>
      </w:pPr>
      <w:r>
        <w:t>4.3 Material Procurement or Manufacturing Progress</w:t>
      </w:r>
    </w:p>
    <w:p>
      <w:r>
        <w:t>A payment may be linked to verifiable progress in procurement or manufacturing.</w:t>
      </w:r>
    </w:p>
    <w:p>
      <w:r>
        <w:t>Evidence may include:</w:t>
      </w:r>
    </w:p>
    <w:p>
      <w:pPr>
        <w:pStyle w:val="ListBullet"/>
      </w:pPr>
      <w:r>
        <w:t>Approved material lists.</w:t>
      </w:r>
    </w:p>
    <w:p>
      <w:pPr>
        <w:pStyle w:val="ListBullet"/>
      </w:pPr>
      <w:r>
        <w:t>Purchase records for critical components.</w:t>
      </w:r>
    </w:p>
    <w:p>
      <w:pPr>
        <w:pStyle w:val="ListBullet"/>
      </w:pPr>
      <w:r>
        <w:t>Inspection reports.</w:t>
      </w:r>
    </w:p>
    <w:p>
      <w:pPr>
        <w:pStyle w:val="ListBullet"/>
      </w:pPr>
      <w:r>
        <w:t>Manufacturing progress records.</w:t>
      </w:r>
    </w:p>
    <w:p>
      <w:pPr>
        <w:pStyle w:val="ListBullet"/>
      </w:pPr>
      <w:r>
        <w:t>Photographs or inspection certificates where appropriate.</w:t>
      </w:r>
    </w:p>
    <w:p>
      <w:pPr>
        <w:pStyle w:val="ListBullet"/>
      </w:pPr>
      <w:r>
        <w:t>Verification by an agreed third party.</w:t>
      </w:r>
    </w:p>
    <w:p>
      <w:r>
        <w:t>The milestone must define whether payment is based on material purchase, physical receipt, incorporation into the equipment, or another measurable condition.</w:t>
      </w:r>
    </w:p>
    <w:p>
      <w:r>
        <w:t>Simply stating "payment on material procurement" is insufficient if the buyer cannot verify what was procured, for which project, and whether the material is recoverable if the contract fails.</w:t>
      </w:r>
    </w:p>
    <w:p>
      <w:pPr>
        <w:pStyle w:val="Heading3"/>
      </w:pPr>
      <w:r>
        <w:t>4.4 Factory Acceptance Test (FAT)</w:t>
      </w:r>
    </w:p>
    <w:p>
      <w:r>
        <w:t>FAT payment is triggered by successful completion of agreed tests at the supplier's facility or another specified location.</w:t>
      </w:r>
    </w:p>
    <w:p>
      <w:r>
        <w:t>For an automation panel or machine, FAT may verify:</w:t>
      </w:r>
    </w:p>
    <w:p>
      <w:pPr>
        <w:pStyle w:val="ListBullet"/>
      </w:pPr>
      <w:r>
        <w:t>Hardware installation.</w:t>
      </w:r>
    </w:p>
    <w:p>
      <w:pPr>
        <w:pStyle w:val="ListBullet"/>
      </w:pPr>
      <w:r>
        <w:t>Wiring and I/O checks.</w:t>
      </w:r>
    </w:p>
    <w:p>
      <w:pPr>
        <w:pStyle w:val="ListBullet"/>
      </w:pPr>
      <w:r>
        <w:t>PLC and HMI functions.</w:t>
      </w:r>
    </w:p>
    <w:p>
      <w:pPr>
        <w:pStyle w:val="ListBullet"/>
      </w:pPr>
      <w:r>
        <w:t>Communication interfaces.</w:t>
      </w:r>
    </w:p>
    <w:p>
      <w:pPr>
        <w:pStyle w:val="ListBullet"/>
      </w:pPr>
      <w:r>
        <w:t>Sequence logic.</w:t>
      </w:r>
    </w:p>
    <w:p>
      <w:pPr>
        <w:pStyle w:val="ListBullet"/>
      </w:pPr>
      <w:r>
        <w:t>Alarm and interlock behavior.</w:t>
      </w:r>
    </w:p>
    <w:p>
      <w:pPr>
        <w:pStyle w:val="ListBullet"/>
      </w:pPr>
      <w:r>
        <w:t>Defined safety-related functions.</w:t>
      </w:r>
    </w:p>
    <w:p>
      <w:pPr>
        <w:pStyle w:val="ListBullet"/>
      </w:pPr>
      <w:r>
        <w:t>Performance requirements applicable at FAT.</w:t>
      </w:r>
    </w:p>
    <w:p>
      <w:pPr>
        <w:pStyle w:val="ListBullet"/>
      </w:pPr>
      <w:r>
        <w:t>Documentation and backup deliverables.</w:t>
      </w:r>
    </w:p>
    <w:p>
      <w:r>
        <w:t>The contract should define the test procedure, acceptance criteria, defect classification, retest obligations, and authorized signatories.</w:t>
      </w:r>
    </w:p>
    <w:p>
      <w:r>
        <w:t>A supplier should not automatically earn a successful-FAT milestone merely because a test was attempted.</w:t>
      </w:r>
    </w:p>
    <w:p>
      <w:pPr>
        <w:pStyle w:val="Heading3"/>
      </w:pPr>
      <w:r>
        <w:t>4.5 Dispatch or Shipment</w:t>
      </w:r>
    </w:p>
    <w:p>
      <w:r>
        <w:t>A dispatch milestone may be triggered when the equipment is ready for shipment or has been dispatched, depending on the contract.</w:t>
      </w:r>
    </w:p>
    <w:p>
      <w:r>
        <w:t>Possible evidence includes:</w:t>
      </w:r>
    </w:p>
    <w:p>
      <w:pPr>
        <w:pStyle w:val="ListBullet"/>
      </w:pPr>
      <w:r>
        <w:t>Inspection clearance.</w:t>
      </w:r>
    </w:p>
    <w:p>
      <w:pPr>
        <w:pStyle w:val="ListBullet"/>
      </w:pPr>
      <w:r>
        <w:t>Packing list.</w:t>
      </w:r>
    </w:p>
    <w:p>
      <w:pPr>
        <w:pStyle w:val="ListBullet"/>
      </w:pPr>
      <w:r>
        <w:t>Serial-number list.</w:t>
      </w:r>
    </w:p>
    <w:p>
      <w:pPr>
        <w:pStyle w:val="ListBullet"/>
      </w:pPr>
      <w:r>
        <w:t>Dispatch note.</w:t>
      </w:r>
    </w:p>
    <w:p>
      <w:pPr>
        <w:pStyle w:val="ListBullet"/>
      </w:pPr>
      <w:r>
        <w:t>Transport document.</w:t>
      </w:r>
    </w:p>
    <w:p>
      <w:pPr>
        <w:pStyle w:val="ListBullet"/>
      </w:pPr>
      <w:r>
        <w:t>Required certificates.</w:t>
      </w:r>
    </w:p>
    <w:p>
      <w:pPr>
        <w:pStyle w:val="ListBullet"/>
      </w:pPr>
      <w:r>
        <w:t>Confirmation of contractual shipping conditions.</w:t>
      </w:r>
    </w:p>
    <w:p>
      <w:r>
        <w:t>Dispatch is not necessarily the same as delivery, receipt, or acceptance.</w:t>
      </w:r>
    </w:p>
    <w:p>
      <w:r>
        <w:t>If the buyer pays a substantial portion at dispatch, the contract should address transit risk, insurance, ownership, identification of the goods, and remedies if the shipment is lost or damaged.</w:t>
      </w:r>
    </w:p>
    <w:p>
      <w:pPr>
        <w:pStyle w:val="Heading3"/>
      </w:pPr>
      <w:r>
        <w:t>4.6 Delivery at Site</w:t>
      </w:r>
    </w:p>
    <w:p>
      <w:r>
        <w:t>A delivery milestone may be triggered when the specified goods arrive at the agreed destination.</w:t>
      </w:r>
    </w:p>
    <w:p>
      <w:r>
        <w:t>Evidence can include:</w:t>
      </w:r>
    </w:p>
    <w:p>
      <w:pPr>
        <w:pStyle w:val="ListBullet"/>
      </w:pPr>
      <w:r>
        <w:t>Delivery challan or delivery note.</w:t>
      </w:r>
    </w:p>
    <w:p>
      <w:pPr>
        <w:pStyle w:val="ListBullet"/>
      </w:pPr>
      <w:r>
        <w:t>Goods receipt documentation.</w:t>
      </w:r>
    </w:p>
    <w:p>
      <w:pPr>
        <w:pStyle w:val="ListBullet"/>
      </w:pPr>
      <w:r>
        <w:t>Packing list.</w:t>
      </w:r>
    </w:p>
    <w:p>
      <w:pPr>
        <w:pStyle w:val="ListBullet"/>
      </w:pPr>
      <w:r>
        <w:t>Serial-number verification.</w:t>
      </w:r>
    </w:p>
    <w:p>
      <w:pPr>
        <w:pStyle w:val="ListBullet"/>
      </w:pPr>
      <w:r>
        <w:t>Inspection records.</w:t>
      </w:r>
    </w:p>
    <w:p>
      <w:pPr>
        <w:pStyle w:val="ListBullet"/>
      </w:pPr>
      <w:r>
        <w:t>Required certificates and manuals.</w:t>
      </w:r>
    </w:p>
    <w:p>
      <w:r>
        <w:t>Physical receipt does not automatically prove functional acceptance. Equipment may still require installation, inspection, commissioning, or testing.</w:t>
      </w:r>
    </w:p>
    <w:p>
      <w:pPr>
        <w:pStyle w:val="Heading3"/>
      </w:pPr>
      <w:r>
        <w:t>4.7 Installation Completion</w:t>
      </w:r>
    </w:p>
    <w:p>
      <w:r>
        <w:t>Installation payment may be triggered after the supplier completes defined installation work.</w:t>
      </w:r>
    </w:p>
    <w:p>
      <w:r>
        <w:t>Examples include:</w:t>
      </w:r>
    </w:p>
    <w:p>
      <w:pPr>
        <w:pStyle w:val="ListBullet"/>
      </w:pPr>
      <w:r>
        <w:t>Equipment positioning and mounting.</w:t>
      </w:r>
    </w:p>
    <w:p>
      <w:pPr>
        <w:pStyle w:val="ListBullet"/>
      </w:pPr>
      <w:r>
        <w:t>Electrical power and control wiring.</w:t>
      </w:r>
    </w:p>
    <w:p>
      <w:pPr>
        <w:pStyle w:val="ListBullet"/>
      </w:pPr>
      <w:r>
        <w:t>Cable termination.</w:t>
      </w:r>
    </w:p>
    <w:p>
      <w:pPr>
        <w:pStyle w:val="ListBullet"/>
      </w:pPr>
      <w:r>
        <w:t>Network connections.</w:t>
      </w:r>
    </w:p>
    <w:p>
      <w:pPr>
        <w:pStyle w:val="ListBullet"/>
      </w:pPr>
      <w:r>
        <w:t>Pneumatic or hydraulic connections.</w:t>
      </w:r>
    </w:p>
    <w:p>
      <w:pPr>
        <w:pStyle w:val="ListBullet"/>
      </w:pPr>
      <w:r>
        <w:t>Earthing and bonding.</w:t>
      </w:r>
    </w:p>
    <w:p>
      <w:pPr>
        <w:pStyle w:val="ListBullet"/>
      </w:pPr>
      <w:r>
        <w:t>Panel installation.</w:t>
      </w:r>
    </w:p>
    <w:p>
      <w:pPr>
        <w:pStyle w:val="ListBullet"/>
      </w:pPr>
      <w:r>
        <w:t>Defined mechanical alignment.</w:t>
      </w:r>
    </w:p>
    <w:p>
      <w:pPr>
        <w:pStyle w:val="ListBullet"/>
      </w:pPr>
      <w:r>
        <w:t>Installation inspection records.</w:t>
      </w:r>
    </w:p>
    <w:p>
      <w:r>
        <w:t>Installation completion should be assessed against a checklist and approved by the responsible representative.</w:t>
      </w:r>
    </w:p>
    <w:p>
      <w:pPr>
        <w:pStyle w:val="Heading3"/>
      </w:pPr>
      <w:r>
        <w:t>4.8 Site Acceptance Test (SAT)</w:t>
      </w:r>
    </w:p>
    <w:p>
      <w:r>
        <w:t>SAT payment is triggered by successful completion of agreed site acceptance tests.</w:t>
      </w:r>
    </w:p>
    <w:p>
      <w:r>
        <w:t>For industrial automation, SAT may include:</w:t>
      </w:r>
    </w:p>
    <w:p>
      <w:pPr>
        <w:pStyle w:val="ListBullet"/>
      </w:pPr>
      <w:r>
        <w:t>Actual field I/O testing.</w:t>
      </w:r>
    </w:p>
    <w:p>
      <w:pPr>
        <w:pStyle w:val="ListBullet"/>
      </w:pPr>
      <w:r>
        <w:t>Machine sequence testing.</w:t>
      </w:r>
    </w:p>
    <w:p>
      <w:pPr>
        <w:pStyle w:val="ListBullet"/>
      </w:pPr>
      <w:r>
        <w:t>PLC-HMI communication.</w:t>
      </w:r>
    </w:p>
    <w:p>
      <w:pPr>
        <w:pStyle w:val="ListBullet"/>
      </w:pPr>
      <w:r>
        <w:t>Drive and servo operation.</w:t>
      </w:r>
    </w:p>
    <w:p>
      <w:pPr>
        <w:pStyle w:val="ListBullet"/>
      </w:pPr>
      <w:r>
        <w:t>Robot and CNC interfaces.</w:t>
      </w:r>
    </w:p>
    <w:p>
      <w:pPr>
        <w:pStyle w:val="ListBullet"/>
      </w:pPr>
      <w:r>
        <w:t>Alarm and fault handling.</w:t>
      </w:r>
    </w:p>
    <w:p>
      <w:pPr>
        <w:pStyle w:val="ListBullet"/>
      </w:pPr>
      <w:r>
        <w:t>Interlock verification.</w:t>
      </w:r>
    </w:p>
    <w:p>
      <w:pPr>
        <w:pStyle w:val="ListBullet"/>
      </w:pPr>
      <w:r>
        <w:t>Production cycle testing.</w:t>
      </w:r>
    </w:p>
    <w:p>
      <w:pPr>
        <w:pStyle w:val="ListBullet"/>
      </w:pPr>
      <w:r>
        <w:t>Defined performance verification.</w:t>
      </w:r>
    </w:p>
    <w:p>
      <w:pPr>
        <w:pStyle w:val="ListBullet"/>
      </w:pPr>
      <w:r>
        <w:t>Closure or formal acceptance of permitted punch-list items.</w:t>
      </w:r>
    </w:p>
    <w:p>
      <w:r>
        <w:t>The SAT criteria should be objective. "Customer satisfaction" alone is too vague to support a dependable milestone unless the contract defines how satisfaction is assessed.</w:t>
      </w:r>
    </w:p>
    <w:p>
      <w:pPr>
        <w:pStyle w:val="Heading3"/>
      </w:pPr>
      <w:r>
        <w:t>4.9 Performance Acceptance</w:t>
      </w:r>
    </w:p>
    <w:p>
      <w:r>
        <w:t>For equipment with measurable output requirements, a separate milestone may depend on achieving agreed performance targets.</w:t>
      </w:r>
    </w:p>
    <w:p>
      <w:r>
        <w:t>Examples include:</w:t>
      </w:r>
    </w:p>
    <w:p>
      <w:pPr>
        <w:pStyle w:val="ListBullet"/>
      </w:pPr>
      <w:r>
        <w:t>Production rate.</w:t>
      </w:r>
    </w:p>
    <w:p>
      <w:pPr>
        <w:pStyle w:val="ListBullet"/>
      </w:pPr>
      <w:r>
        <w:t>Cycle time.</w:t>
      </w:r>
    </w:p>
    <w:p>
      <w:pPr>
        <w:pStyle w:val="ListBullet"/>
      </w:pPr>
      <w:r>
        <w:t>Accuracy or repeatability.</w:t>
      </w:r>
    </w:p>
    <w:p>
      <w:pPr>
        <w:pStyle w:val="ListBullet"/>
      </w:pPr>
      <w:r>
        <w:t>Product quality.</w:t>
      </w:r>
    </w:p>
    <w:p>
      <w:pPr>
        <w:pStyle w:val="ListBullet"/>
      </w:pPr>
      <w:r>
        <w:t>Energy consumption.</w:t>
      </w:r>
    </w:p>
    <w:p>
      <w:pPr>
        <w:pStyle w:val="ListBullet"/>
      </w:pPr>
      <w:r>
        <w:t>Yield.</w:t>
      </w:r>
    </w:p>
    <w:p>
      <w:pPr>
        <w:pStyle w:val="ListBullet"/>
      </w:pPr>
      <w:r>
        <w:t>Defined operating stability.</w:t>
      </w:r>
    </w:p>
    <w:p>
      <w:r>
        <w:t>The contract should define operating conditions, test duration, measurement methods, sampling rules, permitted adjustments, and remedies for failure.</w:t>
      </w:r>
    </w:p>
    <w:p>
      <w:pPr>
        <w:pStyle w:val="Heading3"/>
      </w:pPr>
      <w:r>
        <w:t>4.10 Final Documentation and Handover</w:t>
      </w:r>
    </w:p>
    <w:p>
      <w:r>
        <w:t>A milestone may depend on delivery of complete handover documents.</w:t>
      </w:r>
    </w:p>
    <w:p>
      <w:r>
        <w:t>These may include:</w:t>
      </w:r>
    </w:p>
    <w:p>
      <w:pPr>
        <w:pStyle w:val="ListBullet"/>
      </w:pPr>
      <w:r>
        <w:t>As-built electrical drawings.</w:t>
      </w:r>
    </w:p>
    <w:p>
      <w:pPr>
        <w:pStyle w:val="ListBullet"/>
      </w:pPr>
      <w:r>
        <w:t>Final PLC, HMI, robot, and CNC backups where applicable.</w:t>
      </w:r>
    </w:p>
    <w:p>
      <w:pPr>
        <w:pStyle w:val="ListBullet"/>
      </w:pPr>
      <w:r>
        <w:t>Approved software and configuration records.</w:t>
      </w:r>
    </w:p>
    <w:p>
      <w:pPr>
        <w:pStyle w:val="ListBullet"/>
      </w:pPr>
      <w:r>
        <w:t>Bill of materials.</w:t>
      </w:r>
    </w:p>
    <w:p>
      <w:pPr>
        <w:pStyle w:val="ListBullet"/>
      </w:pPr>
      <w:r>
        <w:t>Spare-parts list.</w:t>
      </w:r>
    </w:p>
    <w:p>
      <w:pPr>
        <w:pStyle w:val="ListBullet"/>
      </w:pPr>
      <w:r>
        <w:t>Operation and maintenance manuals.</w:t>
      </w:r>
    </w:p>
    <w:p>
      <w:pPr>
        <w:pStyle w:val="ListBullet"/>
      </w:pPr>
      <w:r>
        <w:t>Test reports.</w:t>
      </w:r>
    </w:p>
    <w:p>
      <w:pPr>
        <w:pStyle w:val="ListBullet"/>
      </w:pPr>
      <w:r>
        <w:t>Calibration certificates where applicable.</w:t>
      </w:r>
    </w:p>
    <w:p>
      <w:pPr>
        <w:pStyle w:val="ListBullet"/>
      </w:pPr>
      <w:r>
        <w:t>Training records.</w:t>
      </w:r>
    </w:p>
    <w:p>
      <w:pPr>
        <w:pStyle w:val="ListBullet"/>
      </w:pPr>
      <w:r>
        <w:t>Warranty certificates.</w:t>
      </w:r>
    </w:p>
    <w:p>
      <w:pPr>
        <w:pStyle w:val="ListBullet"/>
      </w:pPr>
      <w:r>
        <w:t>Preventive maintenance schedules.</w:t>
      </w:r>
    </w:p>
    <w:p>
      <w:pPr>
        <w:pStyle w:val="ListBullet"/>
      </w:pPr>
      <w:r>
        <w:t>Open-item and deviation registers.</w:t>
      </w:r>
    </w:p>
    <w:p>
      <w:r>
        <w:t>Documentation requirements should be specified before purchase. Otherwise, a supplier may treat documents as optional extras rather than contractual deliverables.</w:t>
      </w:r>
    </w:p>
    <w:p>
      <w:pPr>
        <w:pStyle w:val="Heading3"/>
      </w:pPr>
      <w:r>
        <w:t>4.11 Retention Release</w:t>
      </w:r>
    </w:p>
    <w:p>
      <w:r>
        <w:t>Retention is a portion of the contract amount withheld until specified conditions are met.</w:t>
      </w:r>
    </w:p>
    <w:p>
      <w:r>
        <w:t>Possible release conditions include:</w:t>
      </w:r>
    </w:p>
    <w:p>
      <w:pPr>
        <w:pStyle w:val="ListBullet"/>
      </w:pPr>
      <w:r>
        <w:t>Final acceptance.</w:t>
      </w:r>
    </w:p>
    <w:p>
      <w:pPr>
        <w:pStyle w:val="ListBullet"/>
      </w:pPr>
      <w:r>
        <w:t>Completion of punch-list items.</w:t>
      </w:r>
    </w:p>
    <w:p>
      <w:pPr>
        <w:pStyle w:val="ListBullet"/>
      </w:pPr>
      <w:r>
        <w:t>Submission of required documentation.</w:t>
      </w:r>
    </w:p>
    <w:p>
      <w:pPr>
        <w:pStyle w:val="ListBullet"/>
      </w:pPr>
      <w:r>
        <w:t>Completion of training.</w:t>
      </w:r>
    </w:p>
    <w:p>
      <w:pPr>
        <w:pStyle w:val="ListBullet"/>
      </w:pPr>
      <w:r>
        <w:t>Expiry of a defined defect-liability period, where applicable.</w:t>
      </w:r>
    </w:p>
    <w:p>
      <w:r>
        <w:t>Retention should not be confused with a warranty. Warranty obligations can continue after retention has been released if the contract provides for that.</w:t>
      </w:r>
    </w:p>
    <w:p>
      <w:pPr>
        <w:pStyle w:val="Heading2"/>
      </w:pPr>
      <w:r>
        <w:t>5. Example Payment Schedule</w:t>
      </w:r>
    </w:p>
    <w:p>
      <w:r>
        <w:t>Consider an illustrative automation project with a contract value of ₹50,00,000, excluding any taxes or charges that are treated separately in the contract.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Milestone</w:t>
            </w:r>
          </w:p>
        </w:tc>
        <w:tc>
          <w:tcPr>
            <w:tcW w:type="dxa" w:w="3600"/>
            <w:shd w:val="clear" w:color="auto" w:fill="EEF2F7"/>
          </w:tcPr>
          <w:p>
            <w:pPr>
              <w:spacing w:after="0" w:before="0" w:line="240" w:lineRule="auto"/>
              <w:jc w:val="left"/>
            </w:pPr>
            <w:r>
              <w:rPr>
                <w:b/>
                <w:color w:val="1A2E4A"/>
              </w:rPr>
              <w:t>Payment percentage</w:t>
            </w:r>
          </w:p>
        </w:tc>
        <w:tc>
          <w:tcPr>
            <w:tcW w:type="dxa" w:w="3600"/>
            <w:shd w:val="clear" w:color="auto" w:fill="EEF2F7"/>
          </w:tcPr>
          <w:p>
            <w:pPr>
              <w:spacing w:after="0" w:before="0" w:line="240" w:lineRule="auto"/>
              <w:jc w:val="left"/>
            </w:pPr>
            <w:r>
              <w:rPr>
                <w:b/>
                <w:color w:val="1A2E4A"/>
              </w:rPr>
              <w:t>Amount</w:t>
            </w:r>
          </w:p>
        </w:tc>
      </w:tr>
      <w:tr>
        <w:tc>
          <w:tcPr>
            <w:tcW w:type="dxa" w:w="3600"/>
          </w:tcPr>
          <w:p>
            <w:pPr>
              <w:spacing w:after="0" w:before="0" w:line="240" w:lineRule="auto"/>
              <w:jc w:val="left"/>
            </w:pPr>
            <w:r>
              <w:t>Contract award and approved advance conditions</w:t>
            </w:r>
          </w:p>
        </w:tc>
        <w:tc>
          <w:tcPr>
            <w:tcW w:type="dxa" w:w="3600"/>
          </w:tcPr>
          <w:p>
            <w:pPr>
              <w:spacing w:after="0" w:before="0" w:line="240" w:lineRule="auto"/>
              <w:jc w:val="left"/>
            </w:pPr>
            <w:r>
              <w:t>10%</w:t>
            </w:r>
          </w:p>
        </w:tc>
        <w:tc>
          <w:tcPr>
            <w:tcW w:type="dxa" w:w="3600"/>
          </w:tcPr>
          <w:p>
            <w:pPr>
              <w:spacing w:after="0" w:before="0" w:line="240" w:lineRule="auto"/>
              <w:jc w:val="left"/>
            </w:pPr>
            <w:r>
              <w:t>₹5,00,000</w:t>
            </w:r>
          </w:p>
        </w:tc>
      </w:tr>
      <w:tr>
        <w:tc>
          <w:tcPr>
            <w:tcW w:type="dxa" w:w="3600"/>
          </w:tcPr>
          <w:p>
            <w:pPr>
              <w:spacing w:after="0" w:before="0" w:line="240" w:lineRule="auto"/>
              <w:jc w:val="left"/>
            </w:pPr>
            <w:r>
              <w:t>Approved engineering deliverables</w:t>
            </w:r>
          </w:p>
        </w:tc>
        <w:tc>
          <w:tcPr>
            <w:tcW w:type="dxa" w:w="3600"/>
          </w:tcPr>
          <w:p>
            <w:pPr>
              <w:spacing w:after="0" w:before="0" w:line="240" w:lineRule="auto"/>
              <w:jc w:val="left"/>
            </w:pPr>
            <w:r>
              <w:t>15%</w:t>
            </w:r>
          </w:p>
        </w:tc>
        <w:tc>
          <w:tcPr>
            <w:tcW w:type="dxa" w:w="3600"/>
          </w:tcPr>
          <w:p>
            <w:pPr>
              <w:spacing w:after="0" w:before="0" w:line="240" w:lineRule="auto"/>
              <w:jc w:val="left"/>
            </w:pPr>
            <w:r>
              <w:t>₹7,50,000</w:t>
            </w:r>
          </w:p>
        </w:tc>
      </w:tr>
      <w:tr>
        <w:tc>
          <w:tcPr>
            <w:tcW w:type="dxa" w:w="3600"/>
          </w:tcPr>
          <w:p>
            <w:pPr>
              <w:spacing w:after="0" w:before="0" w:line="240" w:lineRule="auto"/>
              <w:jc w:val="left"/>
            </w:pPr>
            <w:r>
              <w:t>Verified manufacturing progress</w:t>
            </w:r>
          </w:p>
        </w:tc>
        <w:tc>
          <w:tcPr>
            <w:tcW w:type="dxa" w:w="3600"/>
          </w:tcPr>
          <w:p>
            <w:pPr>
              <w:spacing w:after="0" w:before="0" w:line="240" w:lineRule="auto"/>
              <w:jc w:val="left"/>
            </w:pPr>
            <w:r>
              <w:t>25%</w:t>
            </w:r>
          </w:p>
        </w:tc>
        <w:tc>
          <w:tcPr>
            <w:tcW w:type="dxa" w:w="3600"/>
          </w:tcPr>
          <w:p>
            <w:pPr>
              <w:spacing w:after="0" w:before="0" w:line="240" w:lineRule="auto"/>
              <w:jc w:val="left"/>
            </w:pPr>
            <w:r>
              <w:t>₹12,50,000</w:t>
            </w:r>
          </w:p>
        </w:tc>
      </w:tr>
      <w:tr>
        <w:tc>
          <w:tcPr>
            <w:tcW w:type="dxa" w:w="3600"/>
          </w:tcPr>
          <w:p>
            <w:pPr>
              <w:spacing w:after="0" w:before="0" w:line="240" w:lineRule="auto"/>
              <w:jc w:val="left"/>
            </w:pPr>
            <w:r>
              <w:t>Successful FAT</w:t>
            </w:r>
          </w:p>
        </w:tc>
        <w:tc>
          <w:tcPr>
            <w:tcW w:type="dxa" w:w="3600"/>
          </w:tcPr>
          <w:p>
            <w:pPr>
              <w:spacing w:after="0" w:before="0" w:line="240" w:lineRule="auto"/>
              <w:jc w:val="left"/>
            </w:pPr>
            <w:r>
              <w:t>20%</w:t>
            </w:r>
          </w:p>
        </w:tc>
        <w:tc>
          <w:tcPr>
            <w:tcW w:type="dxa" w:w="3600"/>
          </w:tcPr>
          <w:p>
            <w:pPr>
              <w:spacing w:after="0" w:before="0" w:line="240" w:lineRule="auto"/>
              <w:jc w:val="left"/>
            </w:pPr>
            <w:r>
              <w:t>₹10,00,000</w:t>
            </w:r>
          </w:p>
        </w:tc>
      </w:tr>
      <w:tr>
        <w:tc>
          <w:tcPr>
            <w:tcW w:type="dxa" w:w="3600"/>
          </w:tcPr>
          <w:p>
            <w:pPr>
              <w:spacing w:after="0" w:before="0" w:line="240" w:lineRule="auto"/>
              <w:jc w:val="left"/>
            </w:pPr>
            <w:r>
              <w:t>Delivery at site</w:t>
            </w:r>
          </w:p>
        </w:tc>
        <w:tc>
          <w:tcPr>
            <w:tcW w:type="dxa" w:w="3600"/>
          </w:tcPr>
          <w:p>
            <w:pPr>
              <w:spacing w:after="0" w:before="0" w:line="240" w:lineRule="auto"/>
              <w:jc w:val="left"/>
            </w:pPr>
            <w:r>
              <w:t>15%</w:t>
            </w:r>
          </w:p>
        </w:tc>
        <w:tc>
          <w:tcPr>
            <w:tcW w:type="dxa" w:w="3600"/>
          </w:tcPr>
          <w:p>
            <w:pPr>
              <w:spacing w:after="0" w:before="0" w:line="240" w:lineRule="auto"/>
              <w:jc w:val="left"/>
            </w:pPr>
            <w:r>
              <w:t>₹7,50,000</w:t>
            </w:r>
          </w:p>
        </w:tc>
      </w:tr>
      <w:tr>
        <w:tc>
          <w:tcPr>
            <w:tcW w:type="dxa" w:w="3600"/>
          </w:tcPr>
          <w:p>
            <w:pPr>
              <w:spacing w:after="0" w:before="0" w:line="240" w:lineRule="auto"/>
              <w:jc w:val="left"/>
            </w:pPr>
            <w:r>
              <w:t>Successful SAT and agreed handover</w:t>
            </w:r>
          </w:p>
        </w:tc>
        <w:tc>
          <w:tcPr>
            <w:tcW w:type="dxa" w:w="3600"/>
          </w:tcPr>
          <w:p>
            <w:pPr>
              <w:spacing w:after="0" w:before="0" w:line="240" w:lineRule="auto"/>
              <w:jc w:val="left"/>
            </w:pPr>
            <w:r>
              <w:t>10%</w:t>
            </w:r>
          </w:p>
        </w:tc>
        <w:tc>
          <w:tcPr>
            <w:tcW w:type="dxa" w:w="3600"/>
          </w:tcPr>
          <w:p>
            <w:pPr>
              <w:spacing w:after="0" w:before="0" w:line="240" w:lineRule="auto"/>
              <w:jc w:val="left"/>
            </w:pPr>
            <w:r>
              <w:t>₹5,00,000</w:t>
            </w:r>
          </w:p>
        </w:tc>
      </w:tr>
      <w:tr>
        <w:tc>
          <w:tcPr>
            <w:tcW w:type="dxa" w:w="3600"/>
          </w:tcPr>
          <w:p>
            <w:pPr>
              <w:spacing w:after="0" w:before="0" w:line="240" w:lineRule="auto"/>
              <w:jc w:val="left"/>
            </w:pPr>
            <w:r>
              <w:t>Retention release under agreed conditions</w:t>
            </w:r>
          </w:p>
        </w:tc>
        <w:tc>
          <w:tcPr>
            <w:tcW w:type="dxa" w:w="3600"/>
          </w:tcPr>
          <w:p>
            <w:pPr>
              <w:spacing w:after="0" w:before="0" w:line="240" w:lineRule="auto"/>
              <w:jc w:val="left"/>
            </w:pPr>
            <w:r>
              <w:t>5%</w:t>
            </w:r>
          </w:p>
        </w:tc>
        <w:tc>
          <w:tcPr>
            <w:tcW w:type="dxa" w:w="3600"/>
          </w:tcPr>
          <w:p>
            <w:pPr>
              <w:spacing w:after="0" w:before="0" w:line="240" w:lineRule="auto"/>
              <w:jc w:val="left"/>
            </w:pPr>
            <w:r>
              <w:t>₹2,50,000</w:t>
            </w:r>
          </w:p>
        </w:tc>
      </w:tr>
      <w:tr>
        <w:tc>
          <w:tcPr>
            <w:tcW w:type="dxa" w:w="3600"/>
          </w:tcPr>
          <w:p>
            <w:pPr>
              <w:spacing w:after="0" w:before="0" w:line="240" w:lineRule="auto"/>
              <w:jc w:val="left"/>
            </w:pPr>
            <w:r>
              <w:t>Total</w:t>
            </w:r>
          </w:p>
        </w:tc>
        <w:tc>
          <w:tcPr>
            <w:tcW w:type="dxa" w:w="3600"/>
          </w:tcPr>
          <w:p>
            <w:pPr>
              <w:spacing w:after="0" w:before="0" w:line="240" w:lineRule="auto"/>
              <w:jc w:val="left"/>
            </w:pPr>
            <w:r>
              <w:t>100%</w:t>
            </w:r>
          </w:p>
        </w:tc>
        <w:tc>
          <w:tcPr>
            <w:tcW w:type="dxa" w:w="3600"/>
          </w:tcPr>
          <w:p>
            <w:pPr>
              <w:spacing w:after="0" w:before="0" w:line="240" w:lineRule="auto"/>
              <w:jc w:val="left"/>
            </w:pPr>
            <w:r>
              <w:t>₹50,00,000</w:t>
            </w:r>
          </w:p>
        </w:tc>
      </w:tr>
    </w:tbl>
    <w:p/>
    <w:p>
      <w:r>
        <w:t>This is an example, not a universal recommended structure. The appropriate schedule depends on project duration, supplier funding requirements, buyer risk tolerance, the value of recoverable assets, and the contractual allocation of responsibilities.</w:t>
      </w:r>
    </w:p>
    <w:p>
      <w:r>
        <w:t>The percentages must add up to 100% of the defined contract base. The contract should state how taxes, approved variations, liquidated damages, and other adjustments are handled.</w:t>
      </w:r>
    </w:p>
    <w:p>
      <w:pPr>
        <w:pStyle w:val="Heading2"/>
      </w:pPr>
      <w:r>
        <w:t>6. Calculating Payment Amounts</w:t>
      </w:r>
    </w:p>
    <w:p>
      <w:pPr>
        <w:pStyle w:val="Heading3"/>
      </w:pPr>
      <w:r>
        <w:t>6.1 Milestone Payment</w:t>
      </w:r>
    </w:p>
    <w:p>
      <w:r>
        <w:t>If a milestone is a percentage of the contract value:</w:t>
      </w:r>
    </w:p>
    <w:p>
      <w:pPr>
        <w:spacing w:before="120" w:after="160"/>
        <w:jc w:val="center"/>
      </w:pPr>
      <m:oMathPara>
        <m:oMath>
          <m:r>
            <m:rPr>
              <m:nor/>
            </m:rPr>
            <m:t>Milestone Amount</m:t>
          </m:r>
          <m:r>
            <m:t>=</m:t>
          </m:r>
          <m:r>
            <m:rPr>
              <m:nor/>
            </m:rPr>
            <m:t>Contract Value</m:t>
          </m:r>
          <m:r>
            <m:t>×</m:t>
          </m:r>
          <m:f>
            <m:fPr>
              <m:type m:val="bar"/>
            </m:fPr>
            <m:num>
              <m:r>
                <m:rPr>
                  <m:nor/>
                </m:rPr>
                <m:t>Milestone Percentage</m:t>
              </m:r>
            </m:num>
            <m:den>
              <m:r>
                <m:t>100</m:t>
              </m:r>
            </m:den>
          </m:f>
        </m:oMath>
      </m:oMathPara>
    </w:p>
    <w:p>
      <w:r>
        <w:t>For a contract value of ₹50,00,000 and a 20% FAT milestone:</w:t>
      </w:r>
    </w:p>
    <w:p>
      <w:pPr>
        <w:spacing w:before="120" w:after="160"/>
        <w:jc w:val="center"/>
      </w:pPr>
      <m:oMathPara>
        <m:oMath>
          <m:r>
            <m:rPr>
              <m:nor/>
            </m:rPr>
            <m:t>FAT Payment</m:t>
          </m:r>
          <m:r>
            <m:t>=50,00,000×0.20</m:t>
          </m:r>
        </m:oMath>
      </m:oMathPara>
    </w:p>
    <w:p>
      <w:pPr>
        <w:spacing w:before="120" w:after="160"/>
        <w:jc w:val="center"/>
      </w:pPr>
      <m:oMathPara>
        <m:oMath>
          <m:r>
            <m:rPr>
              <m:nor/>
            </m:rPr>
            <m:t>FAT Payment</m:t>
          </m:r>
          <m:r>
            <m:t>=₹10,00,000</m:t>
          </m:r>
        </m:oMath>
      </m:oMathPara>
    </w:p>
    <w:p>
      <w:r>
        <w:t>The amount is before any adjustments required by the contract, such as advance recovery, taxes, approved deductions, or other agreed terms.</w:t>
      </w:r>
    </w:p>
    <w:p>
      <w:pPr>
        <w:pStyle w:val="Heading3"/>
      </w:pPr>
      <w:r>
        <w:t>6.2 Cumulative Payments</w:t>
      </w:r>
    </w:p>
    <w:p>
      <w:r>
        <w:t>Cumulative payment is the total value paid or payable through a specified milestone.</w:t>
      </w:r>
    </w:p>
    <w:p>
      <w:pPr>
        <w:spacing w:before="120" w:after="160"/>
        <w:jc w:val="center"/>
      </w:pPr>
      <m:oMathPara>
        <m:oMath>
          <m:r>
            <m:rPr>
              <m:nor/>
            </m:rPr>
            <m:t>Cumulative Payment</m:t>
          </m:r>
          <m:r>
            <m:t>=</m:t>
          </m:r>
          <m:nary>
            <m:naryPr>
              <m:chr m:val="∑"/>
              <m:limLoc m:val="subSup"/>
              <m:grow m:val="1"/>
              <m:subHide m:val="off"/>
              <m:supHide m:val="off"/>
            </m:naryPr>
            <m:sub>
              <m:r>
                <m:t>i=1</m:t>
              </m:r>
            </m:sub>
            <m:sup>
              <m:r>
                <m:t>n</m:t>
              </m:r>
            </m:sup>
            <m:e>
              <m:sSub>
                <m:e>
                  <m:r>
                    <m:rPr>
                      <m:nor/>
                    </m:rPr>
                    <m:t>Approved Milestone Payment</m:t>
                  </m:r>
                </m:e>
                <m:sub>
                  <m:r>
                    <m:t>i</m:t>
                  </m:r>
                </m:sub>
              </m:sSub>
            </m:e>
          </m:nary>
        </m:oMath>
      </m:oMathPara>
    </w:p>
    <w:p>
      <w:r>
        <w:t>For the example above, after successful FAT, the cumulative milestone value would be ₹35,00,000 before considering the treatment of advance recovery, taxes, or other adjustments.</w:t>
      </w:r>
    </w:p>
    <w:p>
      <w:pPr>
        <w:pStyle w:val="Heading3"/>
      </w:pPr>
      <w:r>
        <w:t>6.3 Remaining Contract Balance</w:t>
      </w:r>
    </w:p>
    <w:p>
      <w:pPr>
        <w:spacing w:before="120" w:after="160"/>
        <w:jc w:val="center"/>
      </w:pPr>
      <m:oMathPara>
        <m:oMath>
          <m:r>
            <m:rPr>
              <m:nor/>
            </m:rPr>
            <m:t>Remaining Balance</m:t>
          </m:r>
          <m:r>
            <m:t>=</m:t>
          </m:r>
          <m:r>
            <m:rPr>
              <m:nor/>
            </m:rPr>
            <m:t>Adjusted Contract Value</m:t>
          </m:r>
          <m:r>
            <m:t>−</m:t>
          </m:r>
          <m:r>
            <m:rPr>
              <m:nor/>
            </m:rPr>
            <m:t>Cumulative Payments</m:t>
          </m:r>
        </m:oMath>
      </m:oMathPara>
    </w:p>
    <w:p>
      <w:r>
        <w:t>The adjusted contract value should account for approved variations and other contractual adjustments. Do not treat an unpaid retention amount as a new cost if it is already included in the contract value.</w:t>
      </w:r>
    </w:p>
    <w:p>
      <w:pPr>
        <w:pStyle w:val="Heading2"/>
      </w:pPr>
      <w:r>
        <w:t>7. Advance Payment and Recovery</w:t>
      </w:r>
    </w:p>
    <w:p>
      <w:r>
        <w:t>Advance payment creates a risk because the buyer pays before receiving equivalent completed goods or services.</w:t>
      </w:r>
    </w:p>
    <w:p>
      <w:r>
        <w:t>Possible protections include:</w:t>
      </w:r>
    </w:p>
    <w:p>
      <w:pPr>
        <w:pStyle w:val="ListBullet"/>
      </w:pPr>
      <w:r>
        <w:t>Advance-payment bank guarantee.</w:t>
      </w:r>
    </w:p>
    <w:p>
      <w:pPr>
        <w:pStyle w:val="ListBullet"/>
      </w:pPr>
      <w:r>
        <w:t>Defined advance recovery schedule.</w:t>
      </w:r>
    </w:p>
    <w:p>
      <w:pPr>
        <w:pStyle w:val="ListBullet"/>
      </w:pPr>
      <w:r>
        <w:t>Supplier financial and performance assessment.</w:t>
      </w:r>
    </w:p>
    <w:p>
      <w:pPr>
        <w:pStyle w:val="ListBullet"/>
      </w:pPr>
      <w:r>
        <w:t>Clear ownership and identification of project-specific materials.</w:t>
      </w:r>
    </w:p>
    <w:p>
      <w:pPr>
        <w:pStyle w:val="ListBullet"/>
      </w:pPr>
      <w:r>
        <w:t>Refund obligations.</w:t>
      </w:r>
    </w:p>
    <w:p>
      <w:pPr>
        <w:pStyle w:val="ListBullet"/>
      </w:pPr>
      <w:r>
        <w:t>Defined guarantee validity.</w:t>
      </w:r>
    </w:p>
    <w:p>
      <w:pPr>
        <w:pStyle w:val="ListBullet"/>
      </w:pPr>
      <w:r>
        <w:t>Contractual rights if the supplier defaults.</w:t>
      </w:r>
    </w:p>
    <w:p>
      <w:pPr>
        <w:pStyle w:val="Heading3"/>
      </w:pPr>
      <w:r>
        <w:t>Example of Advance Recovery</w:t>
      </w:r>
    </w:p>
    <w:p>
      <w:r>
        <w:t>Suppose the contract value is ₹50,00,000 and the buyer pays an advance of 10%, or ₹5,00,000.</w:t>
      </w:r>
    </w:p>
    <w:p>
      <w:r>
        <w:t>The contract may require the advance to be recovered proportionately from subsequent invoices.</w:t>
      </w:r>
    </w:p>
    <w:p>
      <w:r>
        <w:t>If ₹1,00,000 is recovered from one eligible invoice, the outstanding unrecovered advance becomes:</w:t>
      </w:r>
    </w:p>
    <w:p>
      <w:pPr>
        <w:spacing w:before="120" w:after="160"/>
        <w:jc w:val="center"/>
      </w:pPr>
      <m:oMathPara>
        <m:oMath>
          <m:r>
            <m:rPr>
              <m:nor/>
            </m:rPr>
            <m:t>Outstanding Advance</m:t>
          </m:r>
          <m:r>
            <m:t>=₹5,00,000−₹1,00,000</m:t>
          </m:r>
        </m:oMath>
      </m:oMathPara>
    </w:p>
    <w:p>
      <w:pPr>
        <w:spacing w:before="120" w:after="160"/>
        <w:jc w:val="center"/>
      </w:pPr>
      <m:oMathPara>
        <m:oMath>
          <m:r>
            <m:rPr>
              <m:nor/>
            </m:rPr>
            <m:t>Outstanding Advance</m:t>
          </m:r>
          <m:r>
            <m:t>=₹4,00,000</m:t>
          </m:r>
        </m:oMath>
      </m:oMathPara>
    </w:p>
    <w:p>
      <w:r>
        <w:t>The contract should specify which invoices are subject to recovery, the deduction method, and when the advance security may be reduced or released.</w:t>
      </w:r>
    </w:p>
    <w:p>
      <w:pPr>
        <w:pStyle w:val="Heading2"/>
      </w:pPr>
      <w:r>
        <w:t>8. Retention Money</w:t>
      </w:r>
    </w:p>
    <w:p>
      <w:r>
        <w:t>Retention is used to protect the buyer against specified outstanding obligations.</w:t>
      </w:r>
    </w:p>
    <w:p>
      <w:r>
        <w:t>For example, a 5% retention on a ₹50,00,000 contract is:</w:t>
      </w:r>
    </w:p>
    <w:p>
      <w:pPr>
        <w:spacing w:before="120" w:after="160"/>
        <w:jc w:val="center"/>
      </w:pPr>
      <m:oMathPara>
        <m:oMath>
          <m:r>
            <m:rPr>
              <m:nor/>
            </m:rPr>
            <m:t>Retention</m:t>
          </m:r>
          <m:r>
            <m:t>=₹50,00,000×0.05</m:t>
          </m:r>
        </m:oMath>
      </m:oMathPara>
    </w:p>
    <w:p>
      <w:pPr>
        <w:spacing w:before="120" w:after="160"/>
        <w:jc w:val="center"/>
      </w:pPr>
      <m:oMathPara>
        <m:oMath>
          <m:r>
            <m:rPr>
              <m:nor/>
            </m:rPr>
            <m:t>Retention</m:t>
          </m:r>
          <m:r>
            <m:t>=₹2,50,000</m:t>
          </m:r>
        </m:oMath>
      </m:oMathPara>
    </w:p>
    <w:p>
      <w:r>
        <w:t>The contract must state:</w:t>
      </w:r>
    </w:p>
    <w:p>
      <w:pPr>
        <w:pStyle w:val="ListBullet"/>
      </w:pPr>
      <w:r>
        <w:t>Whether retention is calculated before or after taxes.</w:t>
      </w:r>
    </w:p>
    <w:p>
      <w:pPr>
        <w:pStyle w:val="ListBullet"/>
      </w:pPr>
      <w:r>
        <w:t>Whether it applies to approved variations.</w:t>
      </w:r>
    </w:p>
    <w:p>
      <w:pPr>
        <w:pStyle w:val="ListBullet"/>
      </w:pPr>
      <w:r>
        <w:t>Conditions for partial or final release.</w:t>
      </w:r>
    </w:p>
    <w:p>
      <w:pPr>
        <w:pStyle w:val="ListBullet"/>
      </w:pPr>
      <w:r>
        <w:t>Treatment of unresolved defects.</w:t>
      </w:r>
    </w:p>
    <w:p>
      <w:pPr>
        <w:pStyle w:val="ListBullet"/>
      </w:pPr>
      <w:r>
        <w:t>Whether an alternative security may be accepted.</w:t>
      </w:r>
    </w:p>
    <w:p>
      <w:pPr>
        <w:pStyle w:val="ListBullet"/>
      </w:pPr>
      <w:r>
        <w:t>How disputes affect release.</w:t>
      </w:r>
    </w:p>
    <w:p>
      <w:pPr>
        <w:pStyle w:val="ListBullet"/>
      </w:pPr>
      <w:r>
        <w:t>The release deadline after the required conditions are met.</w:t>
      </w:r>
    </w:p>
    <w:p>
      <w:r>
        <w:t>Retention should be proportionate to the risks it is intended to address. Excessive retention can increase supplier pricing or restrict the supplier's working capital.</w:t>
      </w:r>
    </w:p>
    <w:p>
      <w:pPr>
        <w:pStyle w:val="Heading2"/>
      </w:pPr>
      <w:r>
        <w:t>9. Milestone Acceptance and Evidence</w:t>
      </w:r>
    </w:p>
    <w:p>
      <w:r>
        <w:t>A milestone should be verifiable without relying on subjective judgment.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Milestone</w:t>
            </w:r>
          </w:p>
        </w:tc>
        <w:tc>
          <w:tcPr>
            <w:tcW w:type="dxa" w:w="3600"/>
            <w:shd w:val="clear" w:color="auto" w:fill="EEF2F7"/>
          </w:tcPr>
          <w:p>
            <w:pPr>
              <w:spacing w:after="0" w:before="0" w:line="240" w:lineRule="auto"/>
              <w:jc w:val="left"/>
            </w:pPr>
            <w:r>
              <w:rPr>
                <w:b/>
                <w:color w:val="1A2E4A"/>
              </w:rPr>
              <w:t>Example evidence</w:t>
            </w:r>
          </w:p>
        </w:tc>
        <w:tc>
          <w:tcPr>
            <w:tcW w:type="dxa" w:w="3600"/>
            <w:shd w:val="clear" w:color="auto" w:fill="EEF2F7"/>
          </w:tcPr>
          <w:p>
            <w:pPr>
              <w:spacing w:after="0" w:before="0" w:line="240" w:lineRule="auto"/>
              <w:jc w:val="left"/>
            </w:pPr>
            <w:r>
              <w:rPr>
                <w:b/>
                <w:color w:val="1A2E4A"/>
              </w:rPr>
              <w:t>Approval responsibility</w:t>
            </w:r>
          </w:p>
        </w:tc>
      </w:tr>
      <w:tr>
        <w:tc>
          <w:tcPr>
            <w:tcW w:type="dxa" w:w="3600"/>
          </w:tcPr>
          <w:p>
            <w:pPr>
              <w:spacing w:after="0" w:before="0" w:line="240" w:lineRule="auto"/>
              <w:jc w:val="left"/>
            </w:pPr>
            <w:r>
              <w:t>Engineering completion</w:t>
            </w:r>
          </w:p>
        </w:tc>
        <w:tc>
          <w:tcPr>
            <w:tcW w:type="dxa" w:w="3600"/>
          </w:tcPr>
          <w:p>
            <w:pPr>
              <w:spacing w:after="0" w:before="0" w:line="240" w:lineRule="auto"/>
              <w:jc w:val="left"/>
            </w:pPr>
            <w:r>
              <w:t>Approved drawings and design documents</w:t>
            </w:r>
          </w:p>
        </w:tc>
        <w:tc>
          <w:tcPr>
            <w:tcW w:type="dxa" w:w="3600"/>
          </w:tcPr>
          <w:p>
            <w:pPr>
              <w:spacing w:after="0" w:before="0" w:line="240" w:lineRule="auto"/>
              <w:jc w:val="left"/>
            </w:pPr>
            <w:r>
              <w:t>Engineering</w:t>
            </w:r>
          </w:p>
        </w:tc>
      </w:tr>
      <w:tr>
        <w:tc>
          <w:tcPr>
            <w:tcW w:type="dxa" w:w="3600"/>
          </w:tcPr>
          <w:p>
            <w:pPr>
              <w:spacing w:after="0" w:before="0" w:line="240" w:lineRule="auto"/>
              <w:jc w:val="left"/>
            </w:pPr>
            <w:r>
              <w:t>Manufacturing progress</w:t>
            </w:r>
          </w:p>
        </w:tc>
        <w:tc>
          <w:tcPr>
            <w:tcW w:type="dxa" w:w="3600"/>
          </w:tcPr>
          <w:p>
            <w:pPr>
              <w:spacing w:after="0" w:before="0" w:line="240" w:lineRule="auto"/>
              <w:jc w:val="left"/>
            </w:pPr>
            <w:r>
              <w:t>Inspection records and verified progress report</w:t>
            </w:r>
          </w:p>
        </w:tc>
        <w:tc>
          <w:tcPr>
            <w:tcW w:type="dxa" w:w="3600"/>
          </w:tcPr>
          <w:p>
            <w:pPr>
              <w:spacing w:after="0" w:before="0" w:line="240" w:lineRule="auto"/>
              <w:jc w:val="left"/>
            </w:pPr>
            <w:r>
              <w:t>Project or quality team</w:t>
            </w:r>
          </w:p>
        </w:tc>
      </w:tr>
      <w:tr>
        <w:tc>
          <w:tcPr>
            <w:tcW w:type="dxa" w:w="3600"/>
          </w:tcPr>
          <w:p>
            <w:pPr>
              <w:spacing w:after="0" w:before="0" w:line="240" w:lineRule="auto"/>
              <w:jc w:val="left"/>
            </w:pPr>
            <w:r>
              <w:t>FAT</w:t>
            </w:r>
          </w:p>
        </w:tc>
        <w:tc>
          <w:tcPr>
            <w:tcW w:type="dxa" w:w="3600"/>
          </w:tcPr>
          <w:p>
            <w:pPr>
              <w:spacing w:after="0" w:before="0" w:line="240" w:lineRule="auto"/>
              <w:jc w:val="left"/>
            </w:pPr>
            <w:r>
              <w:t>Signed FAT report and defect register</w:t>
            </w:r>
          </w:p>
        </w:tc>
        <w:tc>
          <w:tcPr>
            <w:tcW w:type="dxa" w:w="3600"/>
          </w:tcPr>
          <w:p>
            <w:pPr>
              <w:spacing w:after="0" w:before="0" w:line="240" w:lineRule="auto"/>
              <w:jc w:val="left"/>
            </w:pPr>
            <w:r>
              <w:t>Customer technical representative</w:t>
            </w:r>
          </w:p>
        </w:tc>
      </w:tr>
      <w:tr>
        <w:tc>
          <w:tcPr>
            <w:tcW w:type="dxa" w:w="3600"/>
          </w:tcPr>
          <w:p>
            <w:pPr>
              <w:spacing w:after="0" w:before="0" w:line="240" w:lineRule="auto"/>
              <w:jc w:val="left"/>
            </w:pPr>
            <w:r>
              <w:t>Dispatch</w:t>
            </w:r>
          </w:p>
        </w:tc>
        <w:tc>
          <w:tcPr>
            <w:tcW w:type="dxa" w:w="3600"/>
          </w:tcPr>
          <w:p>
            <w:pPr>
              <w:spacing w:after="0" w:before="0" w:line="240" w:lineRule="auto"/>
              <w:jc w:val="left"/>
            </w:pPr>
            <w:r>
              <w:t>Dispatch documents and inspection clearance</w:t>
            </w:r>
          </w:p>
        </w:tc>
        <w:tc>
          <w:tcPr>
            <w:tcW w:type="dxa" w:w="3600"/>
          </w:tcPr>
          <w:p>
            <w:pPr>
              <w:spacing w:after="0" w:before="0" w:line="240" w:lineRule="auto"/>
              <w:jc w:val="left"/>
            </w:pPr>
            <w:r>
              <w:t>Procurement or logistics</w:t>
            </w:r>
          </w:p>
        </w:tc>
      </w:tr>
      <w:tr>
        <w:tc>
          <w:tcPr>
            <w:tcW w:type="dxa" w:w="3600"/>
          </w:tcPr>
          <w:p>
            <w:pPr>
              <w:spacing w:after="0" w:before="0" w:line="240" w:lineRule="auto"/>
              <w:jc w:val="left"/>
            </w:pPr>
            <w:r>
              <w:t>Site delivery</w:t>
            </w:r>
          </w:p>
        </w:tc>
        <w:tc>
          <w:tcPr>
            <w:tcW w:type="dxa" w:w="3600"/>
          </w:tcPr>
          <w:p>
            <w:pPr>
              <w:spacing w:after="0" w:before="0" w:line="240" w:lineRule="auto"/>
              <w:jc w:val="left"/>
            </w:pPr>
            <w:r>
              <w:t>Goods receipt and condition check</w:t>
            </w:r>
          </w:p>
        </w:tc>
        <w:tc>
          <w:tcPr>
            <w:tcW w:type="dxa" w:w="3600"/>
          </w:tcPr>
          <w:p>
            <w:pPr>
              <w:spacing w:after="0" w:before="0" w:line="240" w:lineRule="auto"/>
              <w:jc w:val="left"/>
            </w:pPr>
            <w:r>
              <w:t>Stores or receiving team</w:t>
            </w:r>
          </w:p>
        </w:tc>
      </w:tr>
      <w:tr>
        <w:tc>
          <w:tcPr>
            <w:tcW w:type="dxa" w:w="3600"/>
          </w:tcPr>
          <w:p>
            <w:pPr>
              <w:spacing w:after="0" w:before="0" w:line="240" w:lineRule="auto"/>
              <w:jc w:val="left"/>
            </w:pPr>
            <w:r>
              <w:t>Installation completion</w:t>
            </w:r>
          </w:p>
        </w:tc>
        <w:tc>
          <w:tcPr>
            <w:tcW w:type="dxa" w:w="3600"/>
          </w:tcPr>
          <w:p>
            <w:pPr>
              <w:spacing w:after="0" w:before="0" w:line="240" w:lineRule="auto"/>
              <w:jc w:val="left"/>
            </w:pPr>
            <w:r>
              <w:t>Installation checklist</w:t>
            </w:r>
          </w:p>
        </w:tc>
        <w:tc>
          <w:tcPr>
            <w:tcW w:type="dxa" w:w="3600"/>
          </w:tcPr>
          <w:p>
            <w:pPr>
              <w:spacing w:after="0" w:before="0" w:line="240" w:lineRule="auto"/>
              <w:jc w:val="left"/>
            </w:pPr>
            <w:r>
              <w:t>Engineering or project team</w:t>
            </w:r>
          </w:p>
        </w:tc>
      </w:tr>
      <w:tr>
        <w:tc>
          <w:tcPr>
            <w:tcW w:type="dxa" w:w="3600"/>
          </w:tcPr>
          <w:p>
            <w:pPr>
              <w:spacing w:after="0" w:before="0" w:line="240" w:lineRule="auto"/>
              <w:jc w:val="left"/>
            </w:pPr>
            <w:r>
              <w:t>SAT</w:t>
            </w:r>
          </w:p>
        </w:tc>
        <w:tc>
          <w:tcPr>
            <w:tcW w:type="dxa" w:w="3600"/>
          </w:tcPr>
          <w:p>
            <w:pPr>
              <w:spacing w:after="0" w:before="0" w:line="240" w:lineRule="auto"/>
              <w:jc w:val="left"/>
            </w:pPr>
            <w:r>
              <w:t>Approved SAT report</w:t>
            </w:r>
          </w:p>
        </w:tc>
        <w:tc>
          <w:tcPr>
            <w:tcW w:type="dxa" w:w="3600"/>
          </w:tcPr>
          <w:p>
            <w:pPr>
              <w:spacing w:after="0" w:before="0" w:line="240" w:lineRule="auto"/>
              <w:jc w:val="left"/>
            </w:pPr>
            <w:r>
              <w:t>Operations and engineering</w:t>
            </w:r>
          </w:p>
        </w:tc>
      </w:tr>
      <w:tr>
        <w:tc>
          <w:tcPr>
            <w:tcW w:type="dxa" w:w="3600"/>
          </w:tcPr>
          <w:p>
            <w:pPr>
              <w:spacing w:after="0" w:before="0" w:line="240" w:lineRule="auto"/>
              <w:jc w:val="left"/>
            </w:pPr>
            <w:r>
              <w:t>Final handover</w:t>
            </w:r>
          </w:p>
        </w:tc>
        <w:tc>
          <w:tcPr>
            <w:tcW w:type="dxa" w:w="3600"/>
          </w:tcPr>
          <w:p>
            <w:pPr>
              <w:spacing w:after="0" w:before="0" w:line="240" w:lineRule="auto"/>
              <w:jc w:val="left"/>
            </w:pPr>
            <w:r>
              <w:t>Document register and closed handover actions</w:t>
            </w:r>
          </w:p>
        </w:tc>
        <w:tc>
          <w:tcPr>
            <w:tcW w:type="dxa" w:w="3600"/>
          </w:tcPr>
          <w:p>
            <w:pPr>
              <w:spacing w:after="0" w:before="0" w:line="240" w:lineRule="auto"/>
              <w:jc w:val="left"/>
            </w:pPr>
            <w:r>
              <w:t>Project owner</w:t>
            </w:r>
          </w:p>
        </w:tc>
      </w:tr>
      <w:tr>
        <w:tc>
          <w:tcPr>
            <w:tcW w:type="dxa" w:w="3600"/>
          </w:tcPr>
          <w:p>
            <w:pPr>
              <w:spacing w:after="0" w:before="0" w:line="240" w:lineRule="auto"/>
              <w:jc w:val="left"/>
            </w:pPr>
            <w:r>
              <w:t>Retention release</w:t>
            </w:r>
          </w:p>
        </w:tc>
        <w:tc>
          <w:tcPr>
            <w:tcW w:type="dxa" w:w="3600"/>
          </w:tcPr>
          <w:p>
            <w:pPr>
              <w:spacing w:after="0" w:before="0" w:line="240" w:lineRule="auto"/>
              <w:jc w:val="left"/>
            </w:pPr>
            <w:r>
              <w:t>Evidence that release conditions are satisfied</w:t>
            </w:r>
          </w:p>
        </w:tc>
        <w:tc>
          <w:tcPr>
            <w:tcW w:type="dxa" w:w="3600"/>
          </w:tcPr>
          <w:p>
            <w:pPr>
              <w:spacing w:after="0" w:before="0" w:line="240" w:lineRule="auto"/>
              <w:jc w:val="left"/>
            </w:pPr>
            <w:r>
              <w:t>Authorized contract owner</w:t>
            </w:r>
          </w:p>
        </w:tc>
      </w:tr>
    </w:tbl>
    <w:p/>
    <w:p>
      <w:r>
        <w:t>The approval process should define who may sign off, what happens if the buyer does not respond within a specified period, and how technical disagreements are resolved.</w:t>
      </w:r>
    </w:p>
    <w:p>
      <w:r>
        <w:t>Silence should not automatically be treated as acceptance unless that mechanism is explicitly and validly agreed in the contract.</w:t>
      </w:r>
    </w:p>
    <w:p>
      <w:pPr>
        <w:pStyle w:val="Heading2"/>
      </w:pPr>
      <w:r>
        <w:t>10. FAT and SAT Payment Conditions</w:t>
      </w:r>
    </w:p>
    <w:p>
      <w:r>
        <w:t>FAT and SAT are common payment triggers for industrial projects, but the test conditions must be clearly distinguished.</w:t>
      </w:r>
    </w:p>
    <w:p>
      <w:pPr>
        <w:pStyle w:val="Heading3"/>
      </w:pPr>
      <w:r>
        <w:t>FAT Conditions</w:t>
      </w:r>
    </w:p>
    <w:p>
      <w:r>
        <w:t>The contract should define:</w:t>
      </w:r>
    </w:p>
    <w:p>
      <w:pPr>
        <w:pStyle w:val="ListBullet"/>
      </w:pPr>
      <w:r>
        <w:t>Approved FAT procedure.</w:t>
      </w:r>
    </w:p>
    <w:p>
      <w:pPr>
        <w:pStyle w:val="ListBullet"/>
      </w:pPr>
      <w:r>
        <w:t>Equipment configuration to be tested.</w:t>
      </w:r>
    </w:p>
    <w:p>
      <w:pPr>
        <w:pStyle w:val="ListBullet"/>
      </w:pPr>
      <w:r>
        <w:t>Required test cases.</w:t>
      </w:r>
    </w:p>
    <w:p>
      <w:pPr>
        <w:pStyle w:val="ListBullet"/>
      </w:pPr>
      <w:r>
        <w:t>Required instruments and calibration.</w:t>
      </w:r>
    </w:p>
    <w:p>
      <w:pPr>
        <w:pStyle w:val="ListBullet"/>
      </w:pPr>
      <w:r>
        <w:t>Witnessing requirements.</w:t>
      </w:r>
    </w:p>
    <w:p>
      <w:pPr>
        <w:pStyle w:val="ListBullet"/>
      </w:pPr>
      <w:r>
        <w:t>Pass/fail criteria.</w:t>
      </w:r>
    </w:p>
    <w:p>
      <w:pPr>
        <w:pStyle w:val="ListBullet"/>
      </w:pPr>
      <w:r>
        <w:t>Defect classification.</w:t>
      </w:r>
    </w:p>
    <w:p>
      <w:pPr>
        <w:pStyle w:val="ListBullet"/>
      </w:pPr>
      <w:r>
        <w:t>Retest obligations.</w:t>
      </w:r>
    </w:p>
    <w:p>
      <w:pPr>
        <w:pStyle w:val="ListBullet"/>
      </w:pPr>
      <w:r>
        <w:t>Treatment of minor deviations.</w:t>
      </w:r>
    </w:p>
    <w:p>
      <w:pPr>
        <w:pStyle w:val="ListBullet"/>
      </w:pPr>
      <w:r>
        <w:t>Required test records.</w:t>
      </w:r>
    </w:p>
    <w:p>
      <w:pPr>
        <w:pStyle w:val="Heading3"/>
      </w:pPr>
      <w:r>
        <w:t>SAT Conditions</w:t>
      </w:r>
    </w:p>
    <w:p>
      <w:r>
        <w:t>The contract should define:</w:t>
      </w:r>
    </w:p>
    <w:p>
      <w:pPr>
        <w:pStyle w:val="ListBullet"/>
      </w:pPr>
      <w:r>
        <w:t>Site readiness requirements.</w:t>
      </w:r>
    </w:p>
    <w:p>
      <w:pPr>
        <w:pStyle w:val="ListBullet"/>
      </w:pPr>
      <w:r>
        <w:t>Required utilities and interfaces.</w:t>
      </w:r>
    </w:p>
    <w:p>
      <w:pPr>
        <w:pStyle w:val="ListBullet"/>
      </w:pPr>
      <w:r>
        <w:t>Installation completion criteria.</w:t>
      </w:r>
    </w:p>
    <w:p>
      <w:pPr>
        <w:pStyle w:val="ListBullet"/>
      </w:pPr>
      <w:r>
        <w:t>Field I/O checks.</w:t>
      </w:r>
    </w:p>
    <w:p>
      <w:pPr>
        <w:pStyle w:val="ListBullet"/>
      </w:pPr>
      <w:r>
        <w:t>Safety and interlock tests.</w:t>
      </w:r>
    </w:p>
    <w:p>
      <w:pPr>
        <w:pStyle w:val="ListBullet"/>
      </w:pPr>
      <w:r>
        <w:t>Production or process test conditions.</w:t>
      </w:r>
    </w:p>
    <w:p>
      <w:pPr>
        <w:pStyle w:val="ListBullet"/>
      </w:pPr>
      <w:r>
        <w:t>Acceptance measurements.</w:t>
      </w:r>
    </w:p>
    <w:p>
      <w:pPr>
        <w:pStyle w:val="ListBullet"/>
      </w:pPr>
      <w:r>
        <w:t>Treatment of unresolved defects.</w:t>
      </w:r>
    </w:p>
    <w:p>
      <w:pPr>
        <w:pStyle w:val="ListBullet"/>
      </w:pPr>
      <w:r>
        <w:t>Handover and training requirements.</w:t>
      </w:r>
    </w:p>
    <w:p>
      <w:pPr>
        <w:pStyle w:val="Heading3"/>
      </w:pPr>
      <w:r>
        <w:t>Defect Classification</w:t>
      </w:r>
    </w:p>
    <w:p>
      <w:r>
        <w:t>A practical defect classification may include:</w:t>
      </w:r>
    </w:p>
    <w:p>
      <w:pPr>
        <w:pStyle w:val="ListBullet"/>
      </w:pPr>
      <w:r>
        <w:t>Critical: Prevents safe operation or makes the equipment unusable for its intended purpose.</w:t>
      </w:r>
    </w:p>
    <w:p>
      <w:pPr>
        <w:pStyle w:val="ListBullet"/>
      </w:pPr>
      <w:r>
        <w:t>Major: Prevents a required function or acceptance criterion from being met.</w:t>
      </w:r>
    </w:p>
    <w:p>
      <w:pPr>
        <w:pStyle w:val="ListBullet"/>
      </w:pPr>
      <w:r>
        <w:t>Minor: Does not prevent intended operation but requires correction.</w:t>
      </w:r>
    </w:p>
    <w:p>
      <w:r>
        <w:t>The actual classification criteria should be defined in the contract. A minor defect should not be used to conceal a material performance failure, and a critical safety issue should never be waived merely to release a payment milestone.</w:t>
      </w:r>
    </w:p>
    <w:p>
      <w:pPr>
        <w:pStyle w:val="Heading2"/>
      </w:pPr>
      <w:r>
        <w:t>11. Payment Milestones and Purchase-Order Terms</w:t>
      </w:r>
    </w:p>
    <w:p>
      <w:r>
        <w:t>The purchase order and supporting contract documents should align.</w:t>
      </w:r>
    </w:p>
    <w:p>
      <w:r>
        <w:t>Important items include:</w:t>
      </w:r>
    </w:p>
    <w:p>
      <w:pPr>
        <w:pStyle w:val="ListBullet"/>
      </w:pPr>
      <w:r>
        <w:t>Contract price and currency.</w:t>
      </w:r>
    </w:p>
    <w:p>
      <w:pPr>
        <w:pStyle w:val="ListBullet"/>
      </w:pPr>
      <w:r>
        <w:t>Payment schedule.</w:t>
      </w:r>
    </w:p>
    <w:p>
      <w:pPr>
        <w:pStyle w:val="ListBullet"/>
      </w:pPr>
      <w:r>
        <w:t>Milestone definitions.</w:t>
      </w:r>
    </w:p>
    <w:p>
      <w:pPr>
        <w:pStyle w:val="ListBullet"/>
      </w:pPr>
      <w:r>
        <w:t>Required evidence.</w:t>
      </w:r>
    </w:p>
    <w:p>
      <w:pPr>
        <w:pStyle w:val="ListBullet"/>
      </w:pPr>
      <w:r>
        <w:t>Invoice requirements.</w:t>
      </w:r>
    </w:p>
    <w:p>
      <w:pPr>
        <w:pStyle w:val="ListBullet"/>
      </w:pPr>
      <w:r>
        <w:t>Payment due dates.</w:t>
      </w:r>
    </w:p>
    <w:p>
      <w:pPr>
        <w:pStyle w:val="ListBullet"/>
      </w:pPr>
      <w:r>
        <w:t>Tax treatment.</w:t>
      </w:r>
    </w:p>
    <w:p>
      <w:pPr>
        <w:pStyle w:val="ListBullet"/>
      </w:pPr>
      <w:r>
        <w:t>Advance security.</w:t>
      </w:r>
    </w:p>
    <w:p>
      <w:pPr>
        <w:pStyle w:val="ListBullet"/>
      </w:pPr>
      <w:r>
        <w:t>Retention.</w:t>
      </w:r>
    </w:p>
    <w:p>
      <w:pPr>
        <w:pStyle w:val="ListBullet"/>
      </w:pPr>
      <w:r>
        <w:t>Performance security, if required.</w:t>
      </w:r>
    </w:p>
    <w:p>
      <w:pPr>
        <w:pStyle w:val="ListBullet"/>
      </w:pPr>
      <w:r>
        <w:t>Delivery terms.</w:t>
      </w:r>
    </w:p>
    <w:p>
      <w:pPr>
        <w:pStyle w:val="ListBullet"/>
      </w:pPr>
      <w:r>
        <w:t>Acceptance procedure.</w:t>
      </w:r>
    </w:p>
    <w:p>
      <w:pPr>
        <w:pStyle w:val="ListBullet"/>
      </w:pPr>
      <w:r>
        <w:t>Warranty commencement.</w:t>
      </w:r>
    </w:p>
    <w:p>
      <w:pPr>
        <w:pStyle w:val="ListBullet"/>
      </w:pPr>
      <w:r>
        <w:t>Delay remedies.</w:t>
      </w:r>
    </w:p>
    <w:p>
      <w:pPr>
        <w:pStyle w:val="ListBullet"/>
      </w:pPr>
      <w:r>
        <w:t>Variation and change-control procedure.</w:t>
      </w:r>
    </w:p>
    <w:p>
      <w:pPr>
        <w:pStyle w:val="ListBullet"/>
      </w:pPr>
      <w:r>
        <w:t>Dispute-resolution mechanism.</w:t>
      </w:r>
    </w:p>
    <w:p>
      <w:r>
        <w:t>If the quotation, purchase order, and contract contain conflicting payment conditions, the applicable document precedence should be explicitly established.</w:t>
      </w:r>
    </w:p>
    <w:p>
      <w:r>
        <w:t>A payment schedule should not exist only in an informal email when it materially changes the commercial risk of the purchase.</w:t>
      </w:r>
    </w:p>
    <w:p>
      <w:pPr>
        <w:pStyle w:val="Heading2"/>
      </w:pPr>
      <w:r>
        <w:t>12. Payment Milestones for Different Industrial Purchases</w:t>
      </w:r>
    </w:p>
    <w:p>
      <w:pPr>
        <w:pStyle w:val="Heading3"/>
      </w:pPr>
      <w:r>
        <w:t>12.1 Standard Spare Parts</w:t>
      </w:r>
    </w:p>
    <w:p>
      <w:r>
        <w:t>For standard PLC modules, sensors, relays, or other stocked items, payment may be linked to delivery, inspection, and agreed invoice terms.</w:t>
      </w:r>
    </w:p>
    <w:p>
      <w:r>
        <w:t>The process is usually simpler than for custom machinery.</w:t>
      </w:r>
    </w:p>
    <w:p>
      <w:pPr>
        <w:pStyle w:val="Heading3"/>
      </w:pPr>
      <w:r>
        <w:t>12.2 PLC and SCADA Projects</w:t>
      </w:r>
    </w:p>
    <w:p>
      <w:r>
        <w:t>Milestones may include:</w:t>
      </w:r>
    </w:p>
    <w:p>
      <w:pPr>
        <w:pStyle w:val="ListBullet"/>
      </w:pPr>
      <w:r>
        <w:t>Approved control architecture.</w:t>
      </w:r>
    </w:p>
    <w:p>
      <w:pPr>
        <w:pStyle w:val="ListBullet"/>
      </w:pPr>
      <w:r>
        <w:t>Approved hardware and software design.</w:t>
      </w:r>
    </w:p>
    <w:p>
      <w:pPr>
        <w:pStyle w:val="ListBullet"/>
      </w:pPr>
      <w:r>
        <w:t>FAT completion.</w:t>
      </w:r>
    </w:p>
    <w:p>
      <w:pPr>
        <w:pStyle w:val="ListBullet"/>
      </w:pPr>
      <w:r>
        <w:t>Site installation.</w:t>
      </w:r>
    </w:p>
    <w:p>
      <w:pPr>
        <w:pStyle w:val="ListBullet"/>
      </w:pPr>
      <w:r>
        <w:t>Functional testing.</w:t>
      </w:r>
    </w:p>
    <w:p>
      <w:pPr>
        <w:pStyle w:val="ListBullet"/>
      </w:pPr>
      <w:r>
        <w:t>SAT.</w:t>
      </w:r>
    </w:p>
    <w:p>
      <w:pPr>
        <w:pStyle w:val="ListBullet"/>
      </w:pPr>
      <w:r>
        <w:t>Approved software backups and documentation.</w:t>
      </w:r>
    </w:p>
    <w:p>
      <w:pPr>
        <w:pStyle w:val="ListBullet"/>
      </w:pPr>
      <w:r>
        <w:t>Final handover.</w:t>
      </w:r>
    </w:p>
    <w:p>
      <w:r>
        <w:t>For software-heavy work, define what counts as completed functionality and how the deliverables will be tested.</w:t>
      </w:r>
    </w:p>
    <w:p>
      <w:pPr>
        <w:pStyle w:val="Heading3"/>
      </w:pPr>
      <w:r>
        <w:t>12.3 Custom Electrical Panels</w:t>
      </w:r>
    </w:p>
    <w:p>
      <w:r>
        <w:t>Milestones may include:</w:t>
      </w:r>
    </w:p>
    <w:p>
      <w:pPr>
        <w:pStyle w:val="ListBullet"/>
      </w:pPr>
      <w:r>
        <w:t>Approved electrical drawings.</w:t>
      </w:r>
    </w:p>
    <w:p>
      <w:pPr>
        <w:pStyle w:val="ListBullet"/>
      </w:pPr>
      <w:r>
        <w:t>Verified component procurement or manufacturing progress.</w:t>
      </w:r>
    </w:p>
    <w:p>
      <w:pPr>
        <w:pStyle w:val="ListBullet"/>
      </w:pPr>
      <w:r>
        <w:t>Panel inspection.</w:t>
      </w:r>
    </w:p>
    <w:p>
      <w:pPr>
        <w:pStyle w:val="ListBullet"/>
      </w:pPr>
      <w:r>
        <w:t>Successful FAT.</w:t>
      </w:r>
    </w:p>
    <w:p>
      <w:pPr>
        <w:pStyle w:val="ListBullet"/>
      </w:pPr>
      <w:r>
        <w:t>Delivery.</w:t>
      </w:r>
    </w:p>
    <w:p>
      <w:pPr>
        <w:pStyle w:val="ListBullet"/>
      </w:pPr>
      <w:r>
        <w:t>Site installation and wiring.</w:t>
      </w:r>
    </w:p>
    <w:p>
      <w:pPr>
        <w:pStyle w:val="ListBullet"/>
      </w:pPr>
      <w:r>
        <w:t>SAT and documentation.</w:t>
      </w:r>
    </w:p>
    <w:p>
      <w:r>
        <w:t>The contract should specify whether the buyer can inspect project-specific material before it is incorporated into the panel.</w:t>
      </w:r>
    </w:p>
    <w:p>
      <w:pPr>
        <w:pStyle w:val="Heading3"/>
      </w:pPr>
      <w:r>
        <w:t>12.4 CNC Machines and Special-Purpose Machines</w:t>
      </w:r>
    </w:p>
    <w:p>
      <w:r>
        <w:t>Milestones may include:</w:t>
      </w:r>
    </w:p>
    <w:p>
      <w:pPr>
        <w:pStyle w:val="ListBullet"/>
      </w:pPr>
      <w:r>
        <w:t>Contract award.</w:t>
      </w:r>
    </w:p>
    <w:p>
      <w:pPr>
        <w:pStyle w:val="ListBullet"/>
      </w:pPr>
      <w:r>
        <w:t>Approved machine design.</w:t>
      </w:r>
    </w:p>
    <w:p>
      <w:pPr>
        <w:pStyle w:val="ListBullet"/>
      </w:pPr>
      <w:r>
        <w:t>Manufacturing progress.</w:t>
      </w:r>
    </w:p>
    <w:p>
      <w:pPr>
        <w:pStyle w:val="ListBullet"/>
      </w:pPr>
      <w:r>
        <w:t>Factory acceptance.</w:t>
      </w:r>
    </w:p>
    <w:p>
      <w:pPr>
        <w:pStyle w:val="ListBullet"/>
      </w:pPr>
      <w:r>
        <w:t>Delivery and installation.</w:t>
      </w:r>
    </w:p>
    <w:p>
      <w:pPr>
        <w:pStyle w:val="ListBullet"/>
      </w:pPr>
      <w:r>
        <w:t>Commissioning.</w:t>
      </w:r>
    </w:p>
    <w:p>
      <w:pPr>
        <w:pStyle w:val="ListBullet"/>
      </w:pPr>
      <w:r>
        <w:t>Capability or performance verification.</w:t>
      </w:r>
    </w:p>
    <w:p>
      <w:pPr>
        <w:pStyle w:val="ListBullet"/>
      </w:pPr>
      <w:r>
        <w:t>Final acceptance.</w:t>
      </w:r>
    </w:p>
    <w:p>
      <w:r>
        <w:t>A substantial payment before performance testing should be evaluated against the supplier's financial standing, the buyer's ability to recover equipment, and the cost of rectifying a failed acceptance test.</w:t>
      </w:r>
    </w:p>
    <w:p>
      <w:pPr>
        <w:pStyle w:val="Heading3"/>
      </w:pPr>
      <w:r>
        <w:t>12.5 Installation and Commissioning Services</w:t>
      </w:r>
    </w:p>
    <w:p>
      <w:r>
        <w:t>For service contracts, milestones may be linked to:</w:t>
      </w:r>
    </w:p>
    <w:p>
      <w:pPr>
        <w:pStyle w:val="ListBullet"/>
      </w:pPr>
      <w:r>
        <w:t>Mobilization.</w:t>
      </w:r>
    </w:p>
    <w:p>
      <w:pPr>
        <w:pStyle w:val="ListBullet"/>
      </w:pPr>
      <w:r>
        <w:t>Completion of defined installation stages.</w:t>
      </w:r>
    </w:p>
    <w:p>
      <w:pPr>
        <w:pStyle w:val="ListBullet"/>
      </w:pPr>
      <w:r>
        <w:t>Completion of commissioning tests.</w:t>
      </w:r>
    </w:p>
    <w:p>
      <w:pPr>
        <w:pStyle w:val="ListBullet"/>
      </w:pPr>
      <w:r>
        <w:t>Handover documentation.</w:t>
      </w:r>
    </w:p>
    <w:p>
      <w:pPr>
        <w:pStyle w:val="ListBullet"/>
      </w:pPr>
      <w:r>
        <w:t>Training.</w:t>
      </w:r>
    </w:p>
    <w:p>
      <w:pPr>
        <w:pStyle w:val="ListBullet"/>
      </w:pPr>
      <w:r>
        <w:t>Closure of agreed punch-list items.</w:t>
      </w:r>
    </w:p>
    <w:p>
      <w:r>
        <w:t>Payments should reflect completed and accepted services rather than vague statements that the contractor has spent a certain number of days on site.</w:t>
      </w:r>
    </w:p>
    <w:p>
      <w:pPr>
        <w:pStyle w:val="Heading2"/>
      </w:pPr>
      <w:r>
        <w:t>13. Commercial Risks in Payment Schedules</w:t>
      </w:r>
    </w:p>
    <w:p>
      <w:pPr>
        <w:pStyle w:val="Heading3"/>
      </w:pPr>
      <w:r>
        <w:t>13.1 Excessive Advance</w:t>
      </w:r>
    </w:p>
    <w:p>
      <w:r>
        <w:t>A high advance exposes the buyer if the supplier fails to deliver.</w:t>
      </w:r>
    </w:p>
    <w:p>
      <w:r>
        <w:t>Mitigation includes advance security, staged recovery, verified progress payments, and assessment of supplier financial and delivery capability.</w:t>
      </w:r>
    </w:p>
    <w:p>
      <w:pPr>
        <w:pStyle w:val="Heading3"/>
      </w:pPr>
      <w:r>
        <w:t>13.2 Payment Before Acceptance</w:t>
      </w:r>
    </w:p>
    <w:p>
      <w:r>
        <w:t>Large payments before FAT, SAT, or other meaningful verification may leave the buyer with limited leverage if the equipment does not meet requirements.</w:t>
      </w:r>
    </w:p>
    <w:p>
      <w:r>
        <w:t>The payment schedule should preserve a reasonable relationship between payment and verified progress.</w:t>
      </w:r>
    </w:p>
    <w:p>
      <w:pPr>
        <w:pStyle w:val="Heading3"/>
      </w:pPr>
      <w:r>
        <w:t>13.3 Vague Milestones</w:t>
      </w:r>
    </w:p>
    <w:p>
      <w:r>
        <w:t>Phrases such as "design completed," "machine ready," or "project substantially complete" may cause disputes if the completion criteria are unclear.</w:t>
      </w:r>
    </w:p>
    <w:p>
      <w:r>
        <w:t>Use defined deliverables, inspection criteria, and approval procedures.</w:t>
      </w:r>
    </w:p>
    <w:p>
      <w:pPr>
        <w:pStyle w:val="Heading3"/>
      </w:pPr>
      <w:r>
        <w:t>13.4 Excessive Final Retention</w:t>
      </w:r>
    </w:p>
    <w:p>
      <w:r>
        <w:t>Holding too much payment until the end can make the project more expensive and may create cash-flow problems for the supplier.</w:t>
      </w:r>
    </w:p>
    <w:p>
      <w:r>
        <w:t>The retention should match the risks being protected against, and release conditions should be achievable and measurable.</w:t>
      </w:r>
    </w:p>
    <w:p>
      <w:pPr>
        <w:pStyle w:val="Heading3"/>
      </w:pPr>
      <w:r>
        <w:t>13.5 Paying for Unverified Materials</w:t>
      </w:r>
    </w:p>
    <w:p>
      <w:r>
        <w:t>A payment tied to material procurement should require suitable evidence of procurement and, where relevant, identification, ownership, storage, and protection of the goods.</w:t>
      </w:r>
    </w:p>
    <w:p>
      <w:r>
        <w:t>Otherwise, the buyer may pay for material that is unavailable, unidentifiable, or committed to another project.</w:t>
      </w:r>
    </w:p>
    <w:p>
      <w:pPr>
        <w:pStyle w:val="Heading3"/>
      </w:pPr>
      <w:r>
        <w:t>13.6 No Clear Treatment of Failed Acceptance</w:t>
      </w:r>
    </w:p>
    <w:p>
      <w:r>
        <w:t>The contract should define what happens if FAT or SAT fails, including corrective work, retesting, delays, additional costs, and applicable remedies.</w:t>
      </w:r>
    </w:p>
    <w:p>
      <w:r>
        <w:t>A failed test should not automatically trigger the same payment entitlement as a successful test unless the contract expressly provides for a different arrangement.</w:t>
      </w:r>
    </w:p>
    <w:p>
      <w:pPr>
        <w:pStyle w:val="Heading2"/>
      </w:pPr>
      <w:r>
        <w:t>14. Payment Milestones and Cash Flow</w:t>
      </w:r>
    </w:p>
    <w:p>
      <w:r>
        <w:t>Milestone design affects the timing of cash inflows and outflows.</w:t>
      </w:r>
    </w:p>
    <w:p>
      <w:r>
        <w:t>For the buyer, an early payment means cash is committed before the corresponding equipment or service is fully delivered.</w:t>
      </w:r>
    </w:p>
    <w:p>
      <w:r>
        <w:t>For the supplier, milestone receipts help finance material procurement, labor, and manufacturing.</w:t>
      </w:r>
    </w:p>
    <w:p>
      <w:r>
        <w:t>The schedule should balance:</w:t>
      </w:r>
    </w:p>
    <w:p>
      <w:pPr>
        <w:pStyle w:val="ListBullet"/>
      </w:pPr>
      <w:r>
        <w:t>Supplier working-capital needs.</w:t>
      </w:r>
    </w:p>
    <w:p>
      <w:pPr>
        <w:pStyle w:val="ListBullet"/>
      </w:pPr>
      <w:r>
        <w:t>Buyer financial exposure.</w:t>
      </w:r>
    </w:p>
    <w:p>
      <w:pPr>
        <w:pStyle w:val="ListBullet"/>
      </w:pPr>
      <w:r>
        <w:t>Recoverable value of work in progress.</w:t>
      </w:r>
    </w:p>
    <w:p>
      <w:pPr>
        <w:pStyle w:val="ListBullet"/>
      </w:pPr>
      <w:r>
        <w:t>Equipment delivery risk.</w:t>
      </w:r>
    </w:p>
    <w:p>
      <w:pPr>
        <w:pStyle w:val="ListBullet"/>
      </w:pPr>
      <w:r>
        <w:t>Acceptance requirements.</w:t>
      </w:r>
    </w:p>
    <w:p>
      <w:pPr>
        <w:pStyle w:val="ListBullet"/>
      </w:pPr>
      <w:r>
        <w:t>Project duration.</w:t>
      </w:r>
    </w:p>
    <w:p>
      <w:pPr>
        <w:pStyle w:val="ListBullet"/>
      </w:pPr>
      <w:r>
        <w:t>Supplier financial strength.</w:t>
      </w:r>
    </w:p>
    <w:p>
      <w:r>
        <w:t>A milestone schedule should not be designed solely to minimize the buyer's short-term cash outflow. If the schedule is commercially unrealistic, suppliers may increase prices, reject the terms, or struggle to execute the project.</w:t>
      </w:r>
    </w:p>
    <w:p>
      <w:pPr>
        <w:pStyle w:val="Heading2"/>
      </w:pPr>
      <w:r>
        <w:t>15. Linking Payment Milestones to Project Progress</w:t>
      </w:r>
    </w:p>
    <w:p>
      <w:r>
        <w:t>A milestone payment should correspond to genuine, measurable progress.</w:t>
      </w:r>
    </w:p>
    <w:p>
      <w:r>
        <w:t>For manufacturing progress, the contract may require:</w:t>
      </w:r>
    </w:p>
    <w:p>
      <w:pPr>
        <w:pStyle w:val="ListBullet"/>
      </w:pPr>
      <w:r>
        <w:t>A baseline project schedule.</w:t>
      </w:r>
    </w:p>
    <w:p>
      <w:pPr>
        <w:pStyle w:val="ListBullet"/>
      </w:pPr>
      <w:r>
        <w:t>A list of deliverables.</w:t>
      </w:r>
    </w:p>
    <w:p>
      <w:pPr>
        <w:pStyle w:val="ListBullet"/>
      </w:pPr>
      <w:r>
        <w:t>Defined progress measurement rules.</w:t>
      </w:r>
    </w:p>
    <w:p>
      <w:pPr>
        <w:pStyle w:val="ListBullet"/>
      </w:pPr>
      <w:r>
        <w:t>Evidence of completed work.</w:t>
      </w:r>
    </w:p>
    <w:p>
      <w:pPr>
        <w:pStyle w:val="ListBullet"/>
      </w:pPr>
      <w:r>
        <w:t>Inspection rights.</w:t>
      </w:r>
    </w:p>
    <w:p>
      <w:pPr>
        <w:pStyle w:val="ListBullet"/>
      </w:pPr>
      <w:r>
        <w:t>Identification of project-specific material.</w:t>
      </w:r>
    </w:p>
    <w:p>
      <w:pPr>
        <w:pStyle w:val="ListBullet"/>
      </w:pPr>
      <w:r>
        <w:t>Approval of claimed progress by an authorized representative.</w:t>
      </w:r>
    </w:p>
    <w:p>
      <w:r>
        <w:t>Progress percentages should not be based solely on the supplier's unsupported estimate of how much work is complete.</w:t>
      </w:r>
    </w:p>
    <w:p>
      <w:r>
        <w:t>Where equipment is manufactured over several months, milestone payments can be tied to measurable design, material, manufacturing, and test achievements.</w:t>
      </w:r>
    </w:p>
    <w:p>
      <w:pPr>
        <w:pStyle w:val="Heading2"/>
      </w:pPr>
      <w:r>
        <w:t>16. Variations and Additional Work</w:t>
      </w:r>
    </w:p>
    <w:p>
      <w:r>
        <w:t>Industrial projects frequently experience approved changes.</w:t>
      </w:r>
    </w:p>
    <w:p>
      <w:r>
        <w:t>Examples include:</w:t>
      </w:r>
    </w:p>
    <w:p>
      <w:pPr>
        <w:pStyle w:val="ListBullet"/>
      </w:pPr>
      <w:r>
        <w:t>Additional I/O.</w:t>
      </w:r>
    </w:p>
    <w:p>
      <w:pPr>
        <w:pStyle w:val="ListBullet"/>
      </w:pPr>
      <w:r>
        <w:t>Changes to panel design.</w:t>
      </w:r>
    </w:p>
    <w:p>
      <w:pPr>
        <w:pStyle w:val="ListBullet"/>
      </w:pPr>
      <w:r>
        <w:t>Extra sensors.</w:t>
      </w:r>
    </w:p>
    <w:p>
      <w:pPr>
        <w:pStyle w:val="ListBullet"/>
      </w:pPr>
      <w:r>
        <w:t>Revised PLC sequences.</w:t>
      </w:r>
    </w:p>
    <w:p>
      <w:pPr>
        <w:pStyle w:val="ListBullet"/>
      </w:pPr>
      <w:r>
        <w:t>Additional machine interfaces.</w:t>
      </w:r>
    </w:p>
    <w:p>
      <w:pPr>
        <w:pStyle w:val="ListBullet"/>
      </w:pPr>
      <w:r>
        <w:t>Changes in installation scope.</w:t>
      </w:r>
    </w:p>
    <w:p>
      <w:pPr>
        <w:pStyle w:val="ListBullet"/>
      </w:pPr>
      <w:r>
        <w:t>Additional performance tests.</w:t>
      </w:r>
    </w:p>
    <w:p>
      <w:r>
        <w:t>The contract should define:</w:t>
      </w:r>
    </w:p>
    <w:p>
      <w:pPr>
        <w:tabs>
          <w:tab w:pos="403" w:val="left"/>
        </w:tabs>
        <w:spacing w:after="40" w:line="276" w:lineRule="auto"/>
        <w:ind w:left="403" w:hanging="403"/>
        <w:jc w:val="left"/>
      </w:pPr>
      <w:r>
        <w:rPr>
          <w:color w:val="1A2E4A"/>
        </w:rPr>
        <w:t>1.</w:t>
        <w:tab/>
      </w:r>
      <w:r>
        <w:t>Who can request a change.</w:t>
      </w:r>
    </w:p>
    <w:p>
      <w:pPr>
        <w:tabs>
          <w:tab w:pos="403" w:val="left"/>
        </w:tabs>
        <w:spacing w:after="40" w:line="276" w:lineRule="auto"/>
        <w:ind w:left="403" w:hanging="403"/>
        <w:jc w:val="left"/>
      </w:pPr>
      <w:r>
        <w:rPr>
          <w:color w:val="1A2E4A"/>
        </w:rPr>
        <w:t>2.</w:t>
        <w:tab/>
      </w:r>
      <w:r>
        <w:t>Who can approve it.</w:t>
      </w:r>
    </w:p>
    <w:p>
      <w:pPr>
        <w:tabs>
          <w:tab w:pos="403" w:val="left"/>
        </w:tabs>
        <w:spacing w:after="40" w:line="276" w:lineRule="auto"/>
        <w:ind w:left="403" w:hanging="403"/>
        <w:jc w:val="left"/>
      </w:pPr>
      <w:r>
        <w:rPr>
          <w:color w:val="1A2E4A"/>
        </w:rPr>
        <w:t>3.</w:t>
        <w:tab/>
      </w:r>
      <w:r>
        <w:t>How cost and schedule impacts are evaluated.</w:t>
      </w:r>
    </w:p>
    <w:p>
      <w:pPr>
        <w:tabs>
          <w:tab w:pos="403" w:val="left"/>
        </w:tabs>
        <w:spacing w:after="40" w:line="276" w:lineRule="auto"/>
        <w:ind w:left="403" w:hanging="403"/>
        <w:jc w:val="left"/>
      </w:pPr>
      <w:r>
        <w:rPr>
          <w:color w:val="1A2E4A"/>
        </w:rPr>
        <w:t>4.</w:t>
        <w:tab/>
      </w:r>
      <w:r>
        <w:t>Whether payment milestones change.</w:t>
      </w:r>
    </w:p>
    <w:p>
      <w:pPr>
        <w:tabs>
          <w:tab w:pos="403" w:val="left"/>
        </w:tabs>
        <w:spacing w:after="40" w:line="276" w:lineRule="auto"/>
        <w:ind w:left="403" w:hanging="403"/>
        <w:jc w:val="left"/>
      </w:pPr>
      <w:r>
        <w:rPr>
          <w:color w:val="1A2E4A"/>
        </w:rPr>
        <w:t>5.</w:t>
        <w:tab/>
      </w:r>
      <w:r>
        <w:t>How revised contract values are documented.</w:t>
      </w:r>
    </w:p>
    <w:p>
      <w:pPr>
        <w:tabs>
          <w:tab w:pos="403" w:val="left"/>
        </w:tabs>
        <w:spacing w:after="40" w:line="276" w:lineRule="auto"/>
        <w:ind w:left="403" w:hanging="403"/>
        <w:jc w:val="left"/>
      </w:pPr>
      <w:r>
        <w:rPr>
          <w:color w:val="1A2E4A"/>
        </w:rPr>
        <w:t>6.</w:t>
        <w:tab/>
      </w:r>
      <w:r>
        <w:t>Whether the change requires revised drawings or acceptance criteria.</w:t>
      </w:r>
    </w:p>
    <w:p>
      <w:r>
        <w:t>Additional work should not be treated as automatically payable merely because a supplier performed it. It should follow the agreed change-control and authorization process.</w:t>
      </w:r>
    </w:p>
    <w:p>
      <w:pPr>
        <w:pStyle w:val="Heading2"/>
      </w:pPr>
      <w:r>
        <w:t>17. Payment Milestones, Warranty, and Defect Liability</w:t>
      </w:r>
    </w:p>
    <w:p>
      <w:r>
        <w:t>Payment acceptance and warranty coverage are related but separate matters.</w:t>
      </w:r>
    </w:p>
    <w:p>
      <w:r>
        <w:t>The contract should clarify:</w:t>
      </w:r>
    </w:p>
    <w:p>
      <w:pPr>
        <w:pStyle w:val="ListBullet"/>
      </w:pPr>
      <w:r>
        <w:t>Whether final payment requires SAT or performance acceptance.</w:t>
      </w:r>
    </w:p>
    <w:p>
      <w:pPr>
        <w:pStyle w:val="ListBullet"/>
      </w:pPr>
      <w:r>
        <w:t>Whether retention remains until defects are closed.</w:t>
      </w:r>
    </w:p>
    <w:p>
      <w:pPr>
        <w:pStyle w:val="ListBullet"/>
      </w:pPr>
      <w:r>
        <w:t>When the warranty period begins.</w:t>
      </w:r>
    </w:p>
    <w:p>
      <w:pPr>
        <w:pStyle w:val="ListBullet"/>
      </w:pPr>
      <w:r>
        <w:t>Whether warranty continues after final payment.</w:t>
      </w:r>
    </w:p>
    <w:p>
      <w:pPr>
        <w:pStyle w:val="ListBullet"/>
      </w:pPr>
      <w:r>
        <w:t>How latent defects are handled.</w:t>
      </w:r>
    </w:p>
    <w:p>
      <w:pPr>
        <w:pStyle w:val="ListBullet"/>
      </w:pPr>
      <w:r>
        <w:t>Whether a replacement or repair affects the warranty period.</w:t>
      </w:r>
    </w:p>
    <w:p>
      <w:pPr>
        <w:pStyle w:val="ListBullet"/>
      </w:pPr>
      <w:r>
        <w:t>Which obligations survive contract completion.</w:t>
      </w:r>
    </w:p>
    <w:p>
      <w:r>
        <w:t>Final payment does not automatically terminate warranty obligations if the contract provides for continuing warranty coverage. Likewise, withholding payment does not automatically extend warranty unless the agreement says so.</w:t>
      </w:r>
    </w:p>
    <w:p>
      <w:pPr>
        <w:pStyle w:val="Heading2"/>
      </w:pPr>
      <w:r>
        <w:t>18. Payment Milestones and Financial Controls</w:t>
      </w:r>
    </w:p>
    <w:p>
      <w:r>
        <w:t>A robust process separates technical confirmation, commercial validation, and payment authorization.</w:t>
      </w:r>
    </w:p>
    <w:p>
      <w:pPr>
        <w:shd w:val="clear" w:color="auto" w:fill="F4F4F4"/>
        <w:spacing w:before="0" w:after="0" w:line="240" w:lineRule="auto"/>
        <w:ind w:left="216" w:right="216"/>
        <w:jc w:val="left"/>
      </w:pPr>
      <w:r>
        <w:rPr>
          <w:rFonts w:ascii="Consolas" w:hAnsi="Consolas"/>
          <w:color w:val="202020"/>
          <w:sz w:val="18"/>
        </w:rPr>
        <w:t>Supplier submits milestone claim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required contractual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owner confirms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Procurement checks contract and milestone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Finance validates invoice and applicable charges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Resolve discrepancies or disputed items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payment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Payment execution and record update</w:t>
      </w:r>
    </w:p>
    <w:p/>
    <w:p>
      <w:r>
        <w:t>The actual process may differ by organization, but the responsibilities should be clear enough to prevent unsupported claims, duplicate invoices, and payment against incomplete deliverables.</w:t>
      </w:r>
    </w:p>
    <w:p>
      <w:pPr>
        <w:pStyle w:val="Heading2"/>
      </w:pPr>
      <w:r>
        <w:t>19. Payment Milestone Tracking in ERP</w:t>
      </w:r>
    </w:p>
    <w:p>
      <w:r>
        <w:t>An ERP such as SAP can support milestone monitoring, invoice processing, and payment controls. The exact functions depend on the organization's SAP configuration and procurement process.</w:t>
      </w:r>
    </w:p>
    <w:p>
      <w:r>
        <w:t>Useful information includes:</w:t>
      </w:r>
    </w:p>
    <w:p>
      <w:pPr>
        <w:pStyle w:val="ListBullet"/>
      </w:pPr>
      <w:r>
        <w:t>Purchase-order number.</w:t>
      </w:r>
    </w:p>
    <w:p>
      <w:pPr>
        <w:pStyle w:val="ListBullet"/>
      </w:pPr>
      <w:r>
        <w:t>Contract value.</w:t>
      </w:r>
    </w:p>
    <w:p>
      <w:pPr>
        <w:pStyle w:val="ListBullet"/>
      </w:pPr>
      <w:r>
        <w:t>Supplier.</w:t>
      </w:r>
    </w:p>
    <w:p>
      <w:pPr>
        <w:pStyle w:val="ListBullet"/>
      </w:pPr>
      <w:r>
        <w:t>Milestone description.</w:t>
      </w:r>
    </w:p>
    <w:p>
      <w:pPr>
        <w:pStyle w:val="ListBullet"/>
      </w:pPr>
      <w:r>
        <w:t>Milestone percentage and amount.</w:t>
      </w:r>
    </w:p>
    <w:p>
      <w:pPr>
        <w:pStyle w:val="ListBullet"/>
      </w:pPr>
      <w:r>
        <w:t>Planned completion date.</w:t>
      </w:r>
    </w:p>
    <w:p>
      <w:pPr>
        <w:pStyle w:val="ListBullet"/>
      </w:pPr>
      <w:r>
        <w:t>Actual completion date.</w:t>
      </w:r>
    </w:p>
    <w:p>
      <w:pPr>
        <w:pStyle w:val="ListBullet"/>
      </w:pPr>
      <w:r>
        <w:t>Technical approval status.</w:t>
      </w:r>
    </w:p>
    <w:p>
      <w:pPr>
        <w:pStyle w:val="ListBullet"/>
      </w:pPr>
      <w:r>
        <w:t>Invoice reference.</w:t>
      </w:r>
    </w:p>
    <w:p>
      <w:pPr>
        <w:pStyle w:val="ListBullet"/>
      </w:pPr>
      <w:r>
        <w:t>Invoice date.</w:t>
      </w:r>
    </w:p>
    <w:p>
      <w:pPr>
        <w:pStyle w:val="ListBullet"/>
      </w:pPr>
      <w:r>
        <w:t>Due date.</w:t>
      </w:r>
    </w:p>
    <w:p>
      <w:pPr>
        <w:pStyle w:val="ListBullet"/>
      </w:pPr>
      <w:r>
        <w:t>Advance paid and recovered.</w:t>
      </w:r>
    </w:p>
    <w:p>
      <w:pPr>
        <w:pStyle w:val="ListBullet"/>
      </w:pPr>
      <w:r>
        <w:t>Retention held and released.</w:t>
      </w:r>
    </w:p>
    <w:p>
      <w:pPr>
        <w:pStyle w:val="ListBullet"/>
      </w:pPr>
      <w:r>
        <w:t>Amount paid.</w:t>
      </w:r>
    </w:p>
    <w:p>
      <w:pPr>
        <w:pStyle w:val="ListBullet"/>
      </w:pPr>
      <w:r>
        <w:t>Outstanding amount.</w:t>
      </w:r>
    </w:p>
    <w:p>
      <w:pPr>
        <w:pStyle w:val="ListBullet"/>
      </w:pPr>
      <w:r>
        <w:t>Disputed amount.</w:t>
      </w:r>
    </w:p>
    <w:p>
      <w:pPr>
        <w:pStyle w:val="ListBullet"/>
      </w:pPr>
      <w:r>
        <w:t>Supporting documents.</w:t>
      </w:r>
    </w:p>
    <w:p>
      <w:pPr>
        <w:pStyle w:val="Heading3"/>
      </w:pPr>
      <w:r>
        <w:t>Example tracking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Milestone</w:t>
            </w:r>
          </w:p>
        </w:tc>
        <w:tc>
          <w:tcPr>
            <w:tcW w:type="dxa" w:w="2160"/>
            <w:shd w:val="clear" w:color="auto" w:fill="EEF2F7"/>
          </w:tcPr>
          <w:p>
            <w:pPr>
              <w:spacing w:after="0" w:before="0" w:line="240" w:lineRule="auto"/>
              <w:jc w:val="left"/>
            </w:pPr>
            <w:r>
              <w:rPr>
                <w:b/>
                <w:color w:val="1A2E4A"/>
              </w:rPr>
              <w:t>Planned date</w:t>
            </w:r>
          </w:p>
        </w:tc>
        <w:tc>
          <w:tcPr>
            <w:tcW w:type="dxa" w:w="2160"/>
            <w:shd w:val="clear" w:color="auto" w:fill="EEF2F7"/>
          </w:tcPr>
          <w:p>
            <w:pPr>
              <w:spacing w:after="0" w:before="0" w:line="240" w:lineRule="auto"/>
              <w:jc w:val="left"/>
            </w:pPr>
            <w:r>
              <w:rPr>
                <w:b/>
                <w:color w:val="1A2E4A"/>
              </w:rPr>
              <w:t>Status</w:t>
            </w:r>
          </w:p>
        </w:tc>
        <w:tc>
          <w:tcPr>
            <w:tcW w:type="dxa" w:w="2160"/>
            <w:shd w:val="clear" w:color="auto" w:fill="EEF2F7"/>
          </w:tcPr>
          <w:p>
            <w:pPr>
              <w:spacing w:after="0" w:before="0" w:line="240" w:lineRule="auto"/>
              <w:jc w:val="left"/>
            </w:pPr>
            <w:r>
              <w:rPr>
                <w:b/>
                <w:color w:val="1A2E4A"/>
              </w:rPr>
              <w:t>Contract value percentage</w:t>
            </w:r>
          </w:p>
        </w:tc>
        <w:tc>
          <w:tcPr>
            <w:tcW w:type="dxa" w:w="2160"/>
            <w:shd w:val="clear" w:color="auto" w:fill="EEF2F7"/>
          </w:tcPr>
          <w:p>
            <w:pPr>
              <w:spacing w:after="0" w:before="0" w:line="240" w:lineRule="auto"/>
              <w:jc w:val="left"/>
            </w:pPr>
            <w:r>
              <w:rPr>
                <w:b/>
                <w:color w:val="1A2E4A"/>
              </w:rPr>
              <w:t>Payment status</w:t>
            </w:r>
          </w:p>
        </w:tc>
      </w:tr>
      <w:tr>
        <w:tc>
          <w:tcPr>
            <w:tcW w:type="dxa" w:w="2160"/>
          </w:tcPr>
          <w:p>
            <w:pPr>
              <w:spacing w:after="0" w:before="0" w:line="240" w:lineRule="auto"/>
              <w:jc w:val="left"/>
            </w:pPr>
            <w:r>
              <w:t>Engineering approval</w:t>
            </w:r>
          </w:p>
        </w:tc>
        <w:tc>
          <w:tcPr>
            <w:tcW w:type="dxa" w:w="2160"/>
          </w:tcPr>
          <w:p>
            <w:pPr>
              <w:spacing w:after="0" w:before="0" w:line="240" w:lineRule="auto"/>
              <w:jc w:val="left"/>
            </w:pPr>
            <w:r>
              <w:t>10 January</w:t>
            </w:r>
          </w:p>
        </w:tc>
        <w:tc>
          <w:tcPr>
            <w:tcW w:type="dxa" w:w="2160"/>
          </w:tcPr>
          <w:p>
            <w:pPr>
              <w:spacing w:after="0" w:before="0" w:line="240" w:lineRule="auto"/>
              <w:jc w:val="left"/>
            </w:pPr>
            <w:r>
              <w:t>Approved</w:t>
            </w:r>
          </w:p>
        </w:tc>
        <w:tc>
          <w:tcPr>
            <w:tcW w:type="dxa" w:w="2160"/>
          </w:tcPr>
          <w:p>
            <w:pPr>
              <w:spacing w:after="0" w:before="0" w:line="240" w:lineRule="auto"/>
              <w:jc w:val="left"/>
            </w:pPr>
            <w:r>
              <w:t>15%</w:t>
            </w:r>
          </w:p>
        </w:tc>
        <w:tc>
          <w:tcPr>
            <w:tcW w:type="dxa" w:w="2160"/>
          </w:tcPr>
          <w:p>
            <w:pPr>
              <w:spacing w:after="0" w:before="0" w:line="240" w:lineRule="auto"/>
              <w:jc w:val="left"/>
            </w:pPr>
            <w:r>
              <w:t>Paid</w:t>
            </w:r>
          </w:p>
        </w:tc>
      </w:tr>
      <w:tr>
        <w:tc>
          <w:tcPr>
            <w:tcW w:type="dxa" w:w="2160"/>
          </w:tcPr>
          <w:p>
            <w:pPr>
              <w:spacing w:after="0" w:before="0" w:line="240" w:lineRule="auto"/>
              <w:jc w:val="left"/>
            </w:pPr>
            <w:r>
              <w:t>Manufacturing progress</w:t>
            </w:r>
          </w:p>
        </w:tc>
        <w:tc>
          <w:tcPr>
            <w:tcW w:type="dxa" w:w="2160"/>
          </w:tcPr>
          <w:p>
            <w:pPr>
              <w:spacing w:after="0" w:before="0" w:line="240" w:lineRule="auto"/>
              <w:jc w:val="left"/>
            </w:pPr>
            <w:r>
              <w:t>15 February</w:t>
            </w:r>
          </w:p>
        </w:tc>
        <w:tc>
          <w:tcPr>
            <w:tcW w:type="dxa" w:w="2160"/>
          </w:tcPr>
          <w:p>
            <w:pPr>
              <w:spacing w:after="0" w:before="0" w:line="240" w:lineRule="auto"/>
              <w:jc w:val="left"/>
            </w:pPr>
            <w:r>
              <w:t>Approved</w:t>
            </w:r>
          </w:p>
        </w:tc>
        <w:tc>
          <w:tcPr>
            <w:tcW w:type="dxa" w:w="2160"/>
          </w:tcPr>
          <w:p>
            <w:pPr>
              <w:spacing w:after="0" w:before="0" w:line="240" w:lineRule="auto"/>
              <w:jc w:val="left"/>
            </w:pPr>
            <w:r>
              <w:t>25%</w:t>
            </w:r>
          </w:p>
        </w:tc>
        <w:tc>
          <w:tcPr>
            <w:tcW w:type="dxa" w:w="2160"/>
          </w:tcPr>
          <w:p>
            <w:pPr>
              <w:spacing w:after="0" w:before="0" w:line="240" w:lineRule="auto"/>
              <w:jc w:val="left"/>
            </w:pPr>
            <w:r>
              <w:t>Paid</w:t>
            </w:r>
          </w:p>
        </w:tc>
      </w:tr>
      <w:tr>
        <w:tc>
          <w:tcPr>
            <w:tcW w:type="dxa" w:w="2160"/>
          </w:tcPr>
          <w:p>
            <w:pPr>
              <w:spacing w:after="0" w:before="0" w:line="240" w:lineRule="auto"/>
              <w:jc w:val="left"/>
            </w:pPr>
            <w:r>
              <w:t>FAT</w:t>
            </w:r>
          </w:p>
        </w:tc>
        <w:tc>
          <w:tcPr>
            <w:tcW w:type="dxa" w:w="2160"/>
          </w:tcPr>
          <w:p>
            <w:pPr>
              <w:spacing w:after="0" w:before="0" w:line="240" w:lineRule="auto"/>
              <w:jc w:val="left"/>
            </w:pPr>
            <w:r>
              <w:t>15 March</w:t>
            </w:r>
          </w:p>
        </w:tc>
        <w:tc>
          <w:tcPr>
            <w:tcW w:type="dxa" w:w="2160"/>
          </w:tcPr>
          <w:p>
            <w:pPr>
              <w:spacing w:after="0" w:before="0" w:line="240" w:lineRule="auto"/>
              <w:jc w:val="left"/>
            </w:pPr>
            <w:r>
              <w:t>Pending retest</w:t>
            </w:r>
          </w:p>
        </w:tc>
        <w:tc>
          <w:tcPr>
            <w:tcW w:type="dxa" w:w="2160"/>
          </w:tcPr>
          <w:p>
            <w:pPr>
              <w:spacing w:after="0" w:before="0" w:line="240" w:lineRule="auto"/>
              <w:jc w:val="left"/>
            </w:pPr>
            <w:r>
              <w:t>20%</w:t>
            </w:r>
          </w:p>
        </w:tc>
        <w:tc>
          <w:tcPr>
            <w:tcW w:type="dxa" w:w="2160"/>
          </w:tcPr>
          <w:p>
            <w:pPr>
              <w:spacing w:after="0" w:before="0" w:line="240" w:lineRule="auto"/>
              <w:jc w:val="left"/>
            </w:pPr>
            <w:r>
              <w:t>Not approved</w:t>
            </w:r>
          </w:p>
        </w:tc>
      </w:tr>
      <w:tr>
        <w:tc>
          <w:tcPr>
            <w:tcW w:type="dxa" w:w="2160"/>
          </w:tcPr>
          <w:p>
            <w:pPr>
              <w:spacing w:after="0" w:before="0" w:line="240" w:lineRule="auto"/>
              <w:jc w:val="left"/>
            </w:pPr>
            <w:r>
              <w:t>Site delivery</w:t>
            </w:r>
          </w:p>
        </w:tc>
        <w:tc>
          <w:tcPr>
            <w:tcW w:type="dxa" w:w="2160"/>
          </w:tcPr>
          <w:p>
            <w:pPr>
              <w:spacing w:after="0" w:before="0" w:line="240" w:lineRule="auto"/>
              <w:jc w:val="left"/>
            </w:pPr>
            <w:r>
              <w:t>10 April</w:t>
            </w:r>
          </w:p>
        </w:tc>
        <w:tc>
          <w:tcPr>
            <w:tcW w:type="dxa" w:w="2160"/>
          </w:tcPr>
          <w:p>
            <w:pPr>
              <w:spacing w:after="0" w:before="0" w:line="240" w:lineRule="auto"/>
              <w:jc w:val="left"/>
            </w:pPr>
            <w:r>
              <w:t>Not due</w:t>
            </w:r>
          </w:p>
        </w:tc>
        <w:tc>
          <w:tcPr>
            <w:tcW w:type="dxa" w:w="2160"/>
          </w:tcPr>
          <w:p>
            <w:pPr>
              <w:spacing w:after="0" w:before="0" w:line="240" w:lineRule="auto"/>
              <w:jc w:val="left"/>
            </w:pPr>
            <w:r>
              <w:t>15%</w:t>
            </w:r>
          </w:p>
        </w:tc>
        <w:tc>
          <w:tcPr>
            <w:tcW w:type="dxa" w:w="2160"/>
          </w:tcPr>
          <w:p>
            <w:pPr>
              <w:spacing w:after="0" w:before="0" w:line="240" w:lineRule="auto"/>
              <w:jc w:val="left"/>
            </w:pPr>
            <w:r>
              <w:t>Not due</w:t>
            </w:r>
          </w:p>
        </w:tc>
      </w:tr>
      <w:tr>
        <w:tc>
          <w:tcPr>
            <w:tcW w:type="dxa" w:w="2160"/>
          </w:tcPr>
          <w:p>
            <w:pPr>
              <w:spacing w:after="0" w:before="0" w:line="240" w:lineRule="auto"/>
              <w:jc w:val="left"/>
            </w:pPr>
            <w:r>
              <w:t>SAT</w:t>
            </w:r>
          </w:p>
        </w:tc>
        <w:tc>
          <w:tcPr>
            <w:tcW w:type="dxa" w:w="2160"/>
          </w:tcPr>
          <w:p>
            <w:pPr>
              <w:spacing w:after="0" w:before="0" w:line="240" w:lineRule="auto"/>
              <w:jc w:val="left"/>
            </w:pPr>
            <w:r>
              <w:t>30 April</w:t>
            </w:r>
          </w:p>
        </w:tc>
        <w:tc>
          <w:tcPr>
            <w:tcW w:type="dxa" w:w="2160"/>
          </w:tcPr>
          <w:p>
            <w:pPr>
              <w:spacing w:after="0" w:before="0" w:line="240" w:lineRule="auto"/>
              <w:jc w:val="left"/>
            </w:pPr>
            <w:r>
              <w:t>Not due</w:t>
            </w:r>
          </w:p>
        </w:tc>
        <w:tc>
          <w:tcPr>
            <w:tcW w:type="dxa" w:w="2160"/>
          </w:tcPr>
          <w:p>
            <w:pPr>
              <w:spacing w:after="0" w:before="0" w:line="240" w:lineRule="auto"/>
              <w:jc w:val="left"/>
            </w:pPr>
            <w:r>
              <w:t>10%</w:t>
            </w:r>
          </w:p>
        </w:tc>
        <w:tc>
          <w:tcPr>
            <w:tcW w:type="dxa" w:w="2160"/>
          </w:tcPr>
          <w:p>
            <w:pPr>
              <w:spacing w:after="0" w:before="0" w:line="240" w:lineRule="auto"/>
              <w:jc w:val="left"/>
            </w:pPr>
            <w:r>
              <w:t>Not due</w:t>
            </w:r>
          </w:p>
        </w:tc>
      </w:tr>
      <w:tr>
        <w:tc>
          <w:tcPr>
            <w:tcW w:type="dxa" w:w="2160"/>
          </w:tcPr>
          <w:p>
            <w:pPr>
              <w:spacing w:after="0" w:before="0" w:line="240" w:lineRule="auto"/>
              <w:jc w:val="left"/>
            </w:pPr>
            <w:r>
              <w:t>Retention release</w:t>
            </w:r>
          </w:p>
        </w:tc>
        <w:tc>
          <w:tcPr>
            <w:tcW w:type="dxa" w:w="2160"/>
          </w:tcPr>
          <w:p>
            <w:pPr>
              <w:spacing w:after="0" w:before="0" w:line="240" w:lineRule="auto"/>
              <w:jc w:val="left"/>
            </w:pPr>
            <w:r>
              <w:t>Contract-defined date</w:t>
            </w:r>
          </w:p>
        </w:tc>
        <w:tc>
          <w:tcPr>
            <w:tcW w:type="dxa" w:w="2160"/>
          </w:tcPr>
          <w:p>
            <w:pPr>
              <w:spacing w:after="0" w:before="0" w:line="240" w:lineRule="auto"/>
              <w:jc w:val="left"/>
            </w:pPr>
            <w:r>
              <w:t>Not due</w:t>
            </w:r>
          </w:p>
        </w:tc>
        <w:tc>
          <w:tcPr>
            <w:tcW w:type="dxa" w:w="2160"/>
          </w:tcPr>
          <w:p>
            <w:pPr>
              <w:spacing w:after="0" w:before="0" w:line="240" w:lineRule="auto"/>
              <w:jc w:val="left"/>
            </w:pPr>
            <w:r>
              <w:t>5%</w:t>
            </w:r>
          </w:p>
        </w:tc>
        <w:tc>
          <w:tcPr>
            <w:tcW w:type="dxa" w:w="2160"/>
          </w:tcPr>
          <w:p>
            <w:pPr>
              <w:spacing w:after="0" w:before="0" w:line="240" w:lineRule="auto"/>
              <w:jc w:val="left"/>
            </w:pPr>
            <w:r>
              <w:t>Not due</w:t>
            </w:r>
          </w:p>
        </w:tc>
      </w:tr>
    </w:tbl>
    <w:p/>
    <w:p>
      <w:r>
        <w:t>The dates and percentages are illustrative. Payment status must reflect actual contractual completion and approval, not simply the passage of the planned date.</w:t>
      </w:r>
    </w:p>
    <w:p>
      <w:pPr>
        <w:pStyle w:val="Heading2"/>
      </w:pPr>
      <w:r>
        <w:t>20. Payment Milestone Negotiation Checklist</w:t>
      </w:r>
    </w:p>
    <w:p>
      <w:pPr>
        <w:pStyle w:val="Heading3"/>
      </w:pPr>
      <w:r>
        <w:t>Technical and project conditions</w:t>
      </w:r>
    </w:p>
    <w:p>
      <w:pPr>
        <w:pStyle w:val="ListBullet"/>
      </w:pPr>
      <w:r>
        <w:t>Each milestone has a precise completion definition.</w:t>
      </w:r>
    </w:p>
    <w:p>
      <w:pPr>
        <w:pStyle w:val="ListBullet"/>
      </w:pPr>
      <w:r>
        <w:t>FAT and SAT procedures are approved.</w:t>
      </w:r>
    </w:p>
    <w:p>
      <w:pPr>
        <w:pStyle w:val="ListBullet"/>
      </w:pPr>
      <w:r>
        <w:t>Performance requirements are measurable.</w:t>
      </w:r>
    </w:p>
    <w:p>
      <w:pPr>
        <w:pStyle w:val="ListBullet"/>
      </w:pPr>
      <w:r>
        <w:t>Documentation deliverables are listed.</w:t>
      </w:r>
    </w:p>
    <w:p>
      <w:pPr>
        <w:pStyle w:val="ListBullet"/>
      </w:pPr>
      <w:r>
        <w:t>Defect correction and retesting obligations are defined.</w:t>
      </w:r>
    </w:p>
    <w:p>
      <w:pPr>
        <w:pStyle w:val="ListBullet"/>
      </w:pPr>
      <w:r>
        <w:t>Site-readiness responsibilities are clear.</w:t>
      </w:r>
    </w:p>
    <w:p>
      <w:pPr>
        <w:pStyle w:val="ListBullet"/>
      </w:pPr>
      <w:r>
        <w:t>Changes require formal approval.</w:t>
      </w:r>
    </w:p>
    <w:p>
      <w:pPr>
        <w:pStyle w:val="Heading3"/>
      </w:pPr>
      <w:r>
        <w:t>Commercial protection</w:t>
      </w:r>
    </w:p>
    <w:p>
      <w:pPr>
        <w:pStyle w:val="ListBullet"/>
      </w:pPr>
      <w:r>
        <w:t>Advance payment is proportionate and appropriately secured.</w:t>
      </w:r>
    </w:p>
    <w:p>
      <w:pPr>
        <w:pStyle w:val="ListBullet"/>
      </w:pPr>
      <w:r>
        <w:t>Advance recovery is defined.</w:t>
      </w:r>
    </w:p>
    <w:p>
      <w:pPr>
        <w:pStyle w:val="ListBullet"/>
      </w:pPr>
      <w:r>
        <w:t>Progress payments require verifiable evidence.</w:t>
      </w:r>
    </w:p>
    <w:p>
      <w:pPr>
        <w:pStyle w:val="ListBullet"/>
      </w:pPr>
      <w:r>
        <w:t>Payment percentages add up to the agreed contract base.</w:t>
      </w:r>
    </w:p>
    <w:p>
      <w:pPr>
        <w:pStyle w:val="ListBullet"/>
      </w:pPr>
      <w:r>
        <w:t>Taxes and invoice treatment are specified.</w:t>
      </w:r>
    </w:p>
    <w:p>
      <w:pPr>
        <w:pStyle w:val="ListBullet"/>
      </w:pPr>
      <w:r>
        <w:t>Retention and release conditions are clear.</w:t>
      </w:r>
    </w:p>
    <w:p>
      <w:pPr>
        <w:pStyle w:val="ListBullet"/>
      </w:pPr>
      <w:r>
        <w:t>Payment due dates are defined.</w:t>
      </w:r>
    </w:p>
    <w:p>
      <w:pPr>
        <w:pStyle w:val="ListBullet"/>
      </w:pPr>
      <w:r>
        <w:t>Disputed amounts have a documented resolution process.</w:t>
      </w:r>
    </w:p>
    <w:p>
      <w:pPr>
        <w:pStyle w:val="ListBullet"/>
      </w:pPr>
      <w:r>
        <w:t>Delay and non-performance remedies are specified.</w:t>
      </w:r>
    </w:p>
    <w:p>
      <w:pPr>
        <w:pStyle w:val="ListBullet"/>
      </w:pPr>
      <w:r>
        <w:t>Contract termination and recovery of payments are addressed.</w:t>
      </w:r>
    </w:p>
    <w:p>
      <w:pPr>
        <w:pStyle w:val="Heading3"/>
      </w:pPr>
      <w:r>
        <w:t>Administration</w:t>
      </w:r>
    </w:p>
    <w:p>
      <w:pPr>
        <w:pStyle w:val="ListBullet"/>
      </w:pPr>
      <w:r>
        <w:t>Authorized milestone approvers are identified.</w:t>
      </w:r>
    </w:p>
    <w:p>
      <w:pPr>
        <w:pStyle w:val="ListBullet"/>
      </w:pPr>
      <w:r>
        <w:t>Invoice requirements are documented.</w:t>
      </w:r>
    </w:p>
    <w:p>
      <w:pPr>
        <w:pStyle w:val="ListBullet"/>
      </w:pPr>
      <w:r>
        <w:t>Purchase-order and contract terms are aligned.</w:t>
      </w:r>
    </w:p>
    <w:p>
      <w:pPr>
        <w:pStyle w:val="ListBullet"/>
      </w:pPr>
      <w:r>
        <w:t>Milestone dates are tracked.</w:t>
      </w:r>
    </w:p>
    <w:p>
      <w:pPr>
        <w:pStyle w:val="ListBullet"/>
      </w:pPr>
      <w:r>
        <w:t>Payment records are reconciled with contract value.</w:t>
      </w:r>
    </w:p>
    <w:p>
      <w:pPr>
        <w:pStyle w:val="ListBullet"/>
      </w:pPr>
      <w:r>
        <w:t>Open claims and outstanding obligations are monitored.</w:t>
      </w:r>
    </w:p>
    <w:p>
      <w:pPr>
        <w:pStyle w:val="Heading2"/>
      </w:pPr>
      <w:r>
        <w:t>21. Interview Questions and Answers</w:t>
      </w:r>
    </w:p>
    <w:p>
      <w:r>
        <w:t>Q1. What are payment milestones?</w:t>
      </w:r>
    </w:p>
    <w:p>
      <w:r>
        <w:t>Payment milestones are defined contractual events or deliverables that trigger payment to a supplier according to an agreed schedule.</w:t>
      </w:r>
    </w:p>
    <w:p>
      <w:r>
        <w:t>Q2. Why are milestone payments used for industrial equipment?</w:t>
      </w:r>
    </w:p>
    <w:p>
      <w:r>
        <w:t>They align payment with project progress, support supplier cash flow, reduce premature payment exposure, and provide measurable checkpoints for delivery and acceptance.</w:t>
      </w:r>
    </w:p>
    <w:p>
      <w:r>
        <w:t>Q3. What is the difference between a payment milestone and payment terms?</w:t>
      </w:r>
    </w:p>
    <w:p>
      <w:r>
        <w:t>The milestone defines the event that creates a payment entitlement. Payment terms define when payment is due after the applicable contractual and invoice conditions are satisfied.</w:t>
      </w:r>
    </w:p>
    <w:p>
      <w:r>
        <w:t>Q4. Why is an advance-payment bank guarantee used?</w:t>
      </w:r>
    </w:p>
    <w:p>
      <w:r>
        <w:t>Where agreed, it provides security for the buyer against specified risks associated with an advance paid before equivalent goods or services have been completed.</w:t>
      </w:r>
    </w:p>
    <w:p>
      <w:r>
        <w:t>Q5. What is retention money?</w:t>
      </w:r>
    </w:p>
    <w:p>
      <w:r>
        <w:t>Retention is an agreed portion of payment withheld until specified conditions, such as final acceptance or closure of defined defects, have been met.</w:t>
      </w:r>
    </w:p>
    <w:p>
      <w:r>
        <w:t>Q6. Should FAT completion trigger payment automatically?</w:t>
      </w:r>
    </w:p>
    <w:p>
      <w:r>
        <w:t>Only when the contract's FAT acceptance conditions have been satisfied and the required evidence and approvals are complete.</w:t>
      </w:r>
    </w:p>
    <w:p>
      <w:r>
        <w:t>Q7. How should manufacturing progress be verified?</w:t>
      </w:r>
    </w:p>
    <w:p>
      <w:r>
        <w:t>Use an agreed baseline, measurable deliverables, inspection records, material identification, and approval by the designated representative.</w:t>
      </w:r>
    </w:p>
    <w:p>
      <w:r>
        <w:t>Q8. What happens if SAT fails?</w:t>
      </w:r>
    </w:p>
    <w:p>
      <w:r>
        <w:t>The contract should define corrective actions, retesting, delay consequences, additional costs, and payment entitlement. A failed test should be managed according to the agreed acceptance and remedy provisions.</w:t>
      </w:r>
    </w:p>
    <w:p>
      <w:r>
        <w:t>Q9. Can final payment be released while warranty continues?</w:t>
      </w:r>
    </w:p>
    <w:p>
      <w:r>
        <w:t>Yes. Final payment and warranty obligations can operate independently if the contract defines them that way.</w:t>
      </w:r>
    </w:p>
    <w:p>
      <w:r>
        <w:t>Q10. How do payment milestones help project management?</w:t>
      </w:r>
    </w:p>
    <w:p>
      <w:r>
        <w:t>They provide financial checkpoints tied to engineering, manufacturing, testing, delivery, installation, and acceptance, making progress and unresolved obligations easier to monitor.</w:t>
      </w:r>
    </w:p>
    <w:p>
      <w:r>
        <w:t>Q11. What are the main risks of paying too much too early?</w:t>
      </w:r>
    </w:p>
    <w:p>
      <w:r>
        <w:t>The buyer may face financial loss or reduced leverage if the supplier delays, defaults, delivers defective equipment, or fails acceptance.</w:t>
      </w:r>
    </w:p>
    <w:p>
      <w:r>
        <w:t>Q12. How do you evaluate a proposed milestone schedule?</w:t>
      </w:r>
    </w:p>
    <w:p>
      <w:r>
        <w:t>Check the milestone definitions, evidence, cash-flow profile, advance security, progress verification, acceptance criteria, retention, warranty obligations, and consequences of delay or non-performance.</w:t>
      </w:r>
    </w:p>
    <w:p>
      <w:pPr>
        <w:pStyle w:val="Heading2"/>
      </w:pPr>
      <w:r>
        <w:t>22. Final Engineering and Procurement Principle</w:t>
      </w:r>
    </w:p>
    <w:p>
      <w:r>
        <w:t>Payment milestones should create a fair connection between financial commitments and verifiable project progress. The buyer must protect against premature payment, while the supplier needs a realistic payment schedule that supports execution.</w:t>
      </w:r>
    </w:p>
    <w:p>
      <w:r>
        <w:t>For industrial automation projects, the strongest payment structures define clear deliverables, objective FAT and SAT criteria, documented approvals, controlled variations, appropriate advance security, and explicit final-payment conditions.</w:t>
      </w:r>
    </w:p>
    <w:p>
      <w:r>
        <w:t>A well-designed milestone schedule is not merely an accounts-payable arrangement. It is a project-risk control mechanism.</w:t>
      </w:r>
    </w:p>
    <w:p>
      <w:pPr>
        <w:pStyle w:val="Heading2"/>
      </w:pPr>
      <w:r>
        <w:t>NEXT TOPIC</w:t>
      </w:r>
    </w:p>
    <w:p>
      <w:r>
        <w:rPr>
          <w:rFonts w:ascii="Consolas" w:hAnsi="Consolas"/>
          <w:color w:val="333333"/>
          <w:sz w:val="19"/>
          <w:shd w:val="clear" w:color="auto" w:fill="EFEFEF"/>
        </w:rPr>
        <w:t>02_PLAN_WISE_2026\02_INDUSTRY3_0\10_Detail_Eng\01_Detailed_Electrical - Detailed electrical design &amp; Control architecture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02_PLAN_WISE_2026\02_INDUSTRY3_0\09_Procurement\03_Commercial_Awareness\09_Payment_Milestones - Payment milestones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