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02_PLAN_WISE_2026\02_INDUSTRY3_0\10_Detail_Eng\03_Panel_Design - Panel design</w:t>
      </w:r>
    </w:p>
    <w:p>
      <w:pPr>
        <w:pStyle w:val="Heading2"/>
      </w:pPr>
      <w:r>
        <w:t>1. Purpose and scope of industrial panel design</w:t>
      </w:r>
    </w:p>
    <w:p>
      <w:r>
        <w:t>An industrial control panel is an engineered enclosure that houses electrical power distribution, protection devices, control equipment, communication hardware, terminals, and associated wiring. Its purpose is to provide a safe, maintainable, reliable, and clearly organized interface between the machine's electrical system and its field devices.</w:t>
      </w:r>
    </w:p>
    <w:p>
      <w:r>
        <w:t>Panel design is not simply the process of fitting components into a metal box. It combines electrical calculations, mechanical layout, thermal management, fault protection, electromagnetic compatibility (EMC), wiring practices, safety requirements, maintainability, and documentation.</w:t>
      </w:r>
    </w:p>
    <w:p>
      <w:r>
        <w:t>A panel can be electrically functional and still be poorly designed if it overheats, becomes difficult to troubleshoot, suffers from electrical noise, lacks safe isolation, or cannot accommodate a future component replacement.</w:t>
      </w:r>
    </w:p>
    <w:p>
      <w:r>
        <w:t>The design should support the complete equipment lifecycle:</w:t>
      </w:r>
    </w:p>
    <w:p>
      <w:pPr>
        <w:pStyle w:val="ListBullet"/>
      </w:pPr>
      <w:r>
        <w:t>Installation and commissioning.</w:t>
      </w:r>
    </w:p>
    <w:p>
      <w:pPr>
        <w:pStyle w:val="ListBullet"/>
      </w:pPr>
      <w:r>
        <w:t>Normal production operation.</w:t>
      </w:r>
    </w:p>
    <w:p>
      <w:pPr>
        <w:pStyle w:val="ListBullet"/>
      </w:pPr>
      <w:r>
        <w:t>Fault diagnosis and repair.</w:t>
      </w:r>
    </w:p>
    <w:p>
      <w:pPr>
        <w:pStyle w:val="ListBullet"/>
      </w:pPr>
      <w:r>
        <w:t>Preventive and predictive maintenance.</w:t>
      </w:r>
    </w:p>
    <w:p>
      <w:pPr>
        <w:pStyle w:val="ListBullet"/>
      </w:pPr>
      <w:r>
        <w:t>Component replacement and obsolescence management.</w:t>
      </w:r>
    </w:p>
    <w:p>
      <w:pPr>
        <w:pStyle w:val="ListBullet"/>
      </w:pPr>
      <w:r>
        <w:t>Future modification and expansion.</w:t>
      </w:r>
    </w:p>
    <w:p>
      <w:pPr>
        <w:pStyle w:val="ListBullet"/>
      </w:pPr>
      <w:r>
        <w:t>Safe decommissioning.</w:t>
      </w:r>
    </w:p>
    <w:p>
      <w:pPr>
        <w:pStyle w:val="Heading2"/>
      </w:pPr>
      <w:r>
        <w:t>2. Panel types and their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Panel type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components</w:t>
            </w:r>
          </w:p>
        </w:tc>
      </w:tr>
      <w:tr>
        <w:tc>
          <w:tcPr>
            <w:tcW w:type="dxa" w:w="3600"/>
          </w:tcPr>
          <w:p>
            <w:pPr>
              <w:spacing w:after="0" w:before="0" w:line="240" w:lineRule="auto"/>
              <w:jc w:val="left"/>
            </w:pPr>
            <w:r>
              <w:t>PLC control panel</w:t>
            </w:r>
          </w:p>
        </w:tc>
        <w:tc>
          <w:tcPr>
            <w:tcW w:type="dxa" w:w="3600"/>
          </w:tcPr>
          <w:p>
            <w:pPr>
              <w:spacing w:after="0" w:before="0" w:line="240" w:lineRule="auto"/>
              <w:jc w:val="left"/>
            </w:pPr>
            <w:r>
              <w:t>Machine sequencing and control</w:t>
            </w:r>
          </w:p>
        </w:tc>
        <w:tc>
          <w:tcPr>
            <w:tcW w:type="dxa" w:w="3600"/>
          </w:tcPr>
          <w:p>
            <w:pPr>
              <w:spacing w:after="0" w:before="0" w:line="240" w:lineRule="auto"/>
              <w:jc w:val="left"/>
            </w:pPr>
            <w:r>
              <w:t>PLC, I/O modules, relays, power supplies</w:t>
            </w:r>
          </w:p>
        </w:tc>
      </w:tr>
      <w:tr>
        <w:tc>
          <w:tcPr>
            <w:tcW w:type="dxa" w:w="3600"/>
          </w:tcPr>
          <w:p>
            <w:pPr>
              <w:spacing w:after="0" w:before="0" w:line="240" w:lineRule="auto"/>
              <w:jc w:val="left"/>
            </w:pPr>
            <w:r>
              <w:t>MCC panel</w:t>
            </w:r>
          </w:p>
        </w:tc>
        <w:tc>
          <w:tcPr>
            <w:tcW w:type="dxa" w:w="3600"/>
          </w:tcPr>
          <w:p>
            <w:pPr>
              <w:spacing w:after="0" w:before="0" w:line="240" w:lineRule="auto"/>
              <w:jc w:val="left"/>
            </w:pPr>
            <w:r>
              <w:t>Motor power distribution and control</w:t>
            </w:r>
          </w:p>
        </w:tc>
        <w:tc>
          <w:tcPr>
            <w:tcW w:type="dxa" w:w="3600"/>
          </w:tcPr>
          <w:p>
            <w:pPr>
              <w:spacing w:after="0" w:before="0" w:line="240" w:lineRule="auto"/>
              <w:jc w:val="left"/>
            </w:pPr>
            <w:r>
              <w:t>Breakers, contactors, overload relays, starters</w:t>
            </w:r>
          </w:p>
        </w:tc>
      </w:tr>
      <w:tr>
        <w:tc>
          <w:tcPr>
            <w:tcW w:type="dxa" w:w="3600"/>
          </w:tcPr>
          <w:p>
            <w:pPr>
              <w:spacing w:after="0" w:before="0" w:line="240" w:lineRule="auto"/>
              <w:jc w:val="left"/>
            </w:pPr>
            <w:r>
              <w:t>VFD panel</w:t>
            </w:r>
          </w:p>
        </w:tc>
        <w:tc>
          <w:tcPr>
            <w:tcW w:type="dxa" w:w="3600"/>
          </w:tcPr>
          <w:p>
            <w:pPr>
              <w:spacing w:after="0" w:before="0" w:line="240" w:lineRule="auto"/>
              <w:jc w:val="left"/>
            </w:pPr>
            <w:r>
              <w:t>Variable-speed motor control</w:t>
            </w:r>
          </w:p>
        </w:tc>
        <w:tc>
          <w:tcPr>
            <w:tcW w:type="dxa" w:w="3600"/>
          </w:tcPr>
          <w:p>
            <w:pPr>
              <w:spacing w:after="0" w:before="0" w:line="240" w:lineRule="auto"/>
              <w:jc w:val="left"/>
            </w:pPr>
            <w:r>
              <w:t>VFDs, input protection, reactors, filters</w:t>
            </w:r>
          </w:p>
        </w:tc>
      </w:tr>
      <w:tr>
        <w:tc>
          <w:tcPr>
            <w:tcW w:type="dxa" w:w="3600"/>
          </w:tcPr>
          <w:p>
            <w:pPr>
              <w:spacing w:after="0" w:before="0" w:line="240" w:lineRule="auto"/>
              <w:jc w:val="left"/>
            </w:pPr>
            <w:r>
              <w:t>Servo panel</w:t>
            </w:r>
          </w:p>
        </w:tc>
        <w:tc>
          <w:tcPr>
            <w:tcW w:type="dxa" w:w="3600"/>
          </w:tcPr>
          <w:p>
            <w:pPr>
              <w:spacing w:after="0" w:before="0" w:line="240" w:lineRule="auto"/>
              <w:jc w:val="left"/>
            </w:pPr>
            <w:r>
              <w:t>Precise motion control</w:t>
            </w:r>
          </w:p>
        </w:tc>
        <w:tc>
          <w:tcPr>
            <w:tcW w:type="dxa" w:w="3600"/>
          </w:tcPr>
          <w:p>
            <w:pPr>
              <w:spacing w:after="0" w:before="0" w:line="240" w:lineRule="auto"/>
              <w:jc w:val="left"/>
            </w:pPr>
            <w:r>
              <w:t>Servo drives, power supplies, braking components</w:t>
            </w:r>
          </w:p>
        </w:tc>
      </w:tr>
      <w:tr>
        <w:tc>
          <w:tcPr>
            <w:tcW w:type="dxa" w:w="3600"/>
          </w:tcPr>
          <w:p>
            <w:pPr>
              <w:spacing w:after="0" w:before="0" w:line="240" w:lineRule="auto"/>
              <w:jc w:val="left"/>
            </w:pPr>
            <w:r>
              <w:t>Safety panel</w:t>
            </w:r>
          </w:p>
        </w:tc>
        <w:tc>
          <w:tcPr>
            <w:tcW w:type="dxa" w:w="3600"/>
          </w:tcPr>
          <w:p>
            <w:pPr>
              <w:spacing w:after="0" w:before="0" w:line="240" w:lineRule="auto"/>
              <w:jc w:val="left"/>
            </w:pPr>
            <w:r>
              <w:t>Safety-related machine functions</w:t>
            </w:r>
          </w:p>
        </w:tc>
        <w:tc>
          <w:tcPr>
            <w:tcW w:type="dxa" w:w="3600"/>
          </w:tcPr>
          <w:p>
            <w:pPr>
              <w:spacing w:after="0" w:before="0" w:line="240" w:lineRule="auto"/>
              <w:jc w:val="left"/>
            </w:pPr>
            <w:r>
              <w:t>Safety relays, safety PLC, contactors</w:t>
            </w:r>
          </w:p>
        </w:tc>
      </w:tr>
      <w:tr>
        <w:tc>
          <w:tcPr>
            <w:tcW w:type="dxa" w:w="3600"/>
          </w:tcPr>
          <w:p>
            <w:pPr>
              <w:spacing w:after="0" w:before="0" w:line="240" w:lineRule="auto"/>
              <w:jc w:val="left"/>
            </w:pPr>
            <w:r>
              <w:t>Remote I/O panel</w:t>
            </w:r>
          </w:p>
        </w:tc>
        <w:tc>
          <w:tcPr>
            <w:tcW w:type="dxa" w:w="3600"/>
          </w:tcPr>
          <w:p>
            <w:pPr>
              <w:spacing w:after="0" w:before="0" w:line="240" w:lineRule="auto"/>
              <w:jc w:val="left"/>
            </w:pPr>
            <w:r>
              <w:t>Distributed field signal collection</w:t>
            </w:r>
          </w:p>
        </w:tc>
        <w:tc>
          <w:tcPr>
            <w:tcW w:type="dxa" w:w="3600"/>
          </w:tcPr>
          <w:p>
            <w:pPr>
              <w:spacing w:after="0" w:before="0" w:line="240" w:lineRule="auto"/>
              <w:jc w:val="left"/>
            </w:pPr>
            <w:r>
              <w:t>Remote I/O modules, network adapters, terminals</w:t>
            </w:r>
          </w:p>
        </w:tc>
      </w:tr>
      <w:tr>
        <w:tc>
          <w:tcPr>
            <w:tcW w:type="dxa" w:w="3600"/>
          </w:tcPr>
          <w:p>
            <w:pPr>
              <w:spacing w:after="0" w:before="0" w:line="240" w:lineRule="auto"/>
              <w:jc w:val="left"/>
            </w:pPr>
            <w:r>
              <w:t>Junction box</w:t>
            </w:r>
          </w:p>
        </w:tc>
        <w:tc>
          <w:tcPr>
            <w:tcW w:type="dxa" w:w="3600"/>
          </w:tcPr>
          <w:p>
            <w:pPr>
              <w:spacing w:after="0" w:before="0" w:line="240" w:lineRule="auto"/>
              <w:jc w:val="left"/>
            </w:pPr>
            <w:r>
              <w:t>Field wiring consolidation</w:t>
            </w:r>
          </w:p>
        </w:tc>
        <w:tc>
          <w:tcPr>
            <w:tcW w:type="dxa" w:w="3600"/>
          </w:tcPr>
          <w:p>
            <w:pPr>
              <w:spacing w:after="0" w:before="0" w:line="240" w:lineRule="auto"/>
              <w:jc w:val="left"/>
            </w:pPr>
            <w:r>
              <w:t>Terminal blocks, connectors, glands</w:t>
            </w:r>
          </w:p>
        </w:tc>
      </w:tr>
      <w:tr>
        <w:tc>
          <w:tcPr>
            <w:tcW w:type="dxa" w:w="3600"/>
          </w:tcPr>
          <w:p>
            <w:pPr>
              <w:spacing w:after="0" w:before="0" w:line="240" w:lineRule="auto"/>
              <w:jc w:val="left"/>
            </w:pPr>
            <w:r>
              <w:t>Operator panel</w:t>
            </w:r>
          </w:p>
        </w:tc>
        <w:tc>
          <w:tcPr>
            <w:tcW w:type="dxa" w:w="3600"/>
          </w:tcPr>
          <w:p>
            <w:pPr>
              <w:spacing w:after="0" w:before="0" w:line="240" w:lineRule="auto"/>
              <w:jc w:val="left"/>
            </w:pPr>
            <w:r>
              <w:t>Local operator interaction</w:t>
            </w:r>
          </w:p>
        </w:tc>
        <w:tc>
          <w:tcPr>
            <w:tcW w:type="dxa" w:w="3600"/>
          </w:tcPr>
          <w:p>
            <w:pPr>
              <w:spacing w:after="0" w:before="0" w:line="240" w:lineRule="auto"/>
              <w:jc w:val="left"/>
            </w:pPr>
            <w:r>
              <w:t>HMI, push buttons, selectors, indicators</w:t>
            </w:r>
          </w:p>
        </w:tc>
      </w:tr>
      <w:tr>
        <w:tc>
          <w:tcPr>
            <w:tcW w:type="dxa" w:w="3600"/>
          </w:tcPr>
          <w:p>
            <w:pPr>
              <w:spacing w:after="0" w:before="0" w:line="240" w:lineRule="auto"/>
              <w:jc w:val="left"/>
            </w:pPr>
            <w:r>
              <w:t>Power distribution panel</w:t>
            </w:r>
          </w:p>
        </w:tc>
        <w:tc>
          <w:tcPr>
            <w:tcW w:type="dxa" w:w="3600"/>
          </w:tcPr>
          <w:p>
            <w:pPr>
              <w:spacing w:after="0" w:before="0" w:line="240" w:lineRule="auto"/>
              <w:jc w:val="left"/>
            </w:pPr>
            <w:r>
              <w:t>Distribution of incoming power</w:t>
            </w:r>
          </w:p>
        </w:tc>
        <w:tc>
          <w:tcPr>
            <w:tcW w:type="dxa" w:w="3600"/>
          </w:tcPr>
          <w:p>
            <w:pPr>
              <w:spacing w:after="0" w:before="0" w:line="240" w:lineRule="auto"/>
              <w:jc w:val="left"/>
            </w:pPr>
            <w:r>
              <w:t>Incomer, busbars, branch protection</w:t>
            </w:r>
          </w:p>
        </w:tc>
      </w:tr>
      <w:tr>
        <w:tc>
          <w:tcPr>
            <w:tcW w:type="dxa" w:w="3600"/>
          </w:tcPr>
          <w:p>
            <w:pPr>
              <w:spacing w:after="0" w:before="0" w:line="240" w:lineRule="auto"/>
              <w:jc w:val="left"/>
            </w:pPr>
            <w:r>
              <w:t>Network panel</w:t>
            </w:r>
          </w:p>
        </w:tc>
        <w:tc>
          <w:tcPr>
            <w:tcW w:type="dxa" w:w="3600"/>
          </w:tcPr>
          <w:p>
            <w:pPr>
              <w:spacing w:after="0" w:before="0" w:line="240" w:lineRule="auto"/>
              <w:jc w:val="left"/>
            </w:pPr>
            <w:r>
              <w:t>Industrial communication infrastructure</w:t>
            </w:r>
          </w:p>
        </w:tc>
        <w:tc>
          <w:tcPr>
            <w:tcW w:type="dxa" w:w="3600"/>
          </w:tcPr>
          <w:p>
            <w:pPr>
              <w:spacing w:after="0" w:before="0" w:line="240" w:lineRule="auto"/>
              <w:jc w:val="left"/>
            </w:pPr>
            <w:r>
              <w:t>Ethernet switches, patch panels, fiber equipment</w:t>
            </w:r>
          </w:p>
        </w:tc>
      </w:tr>
    </w:tbl>
    <w:p/>
    <w:p>
      <w:r>
        <w:t>One enclosure may combine several functions when appropriate. Separate enclosures can be preferable when high heat, high current, EMC interference, safety segregation, environmental conditions, or maintenance access make a combined design unsuitable.</w:t>
      </w:r>
    </w:p>
    <w:p>
      <w:pPr>
        <w:pStyle w:val="Heading2"/>
      </w:pPr>
      <w:r>
        <w:t>3. Design inputs and engineering workflow</w:t>
      </w:r>
    </w:p>
    <w:p>
      <w:r>
        <w:t>Panel design begins with verified requirements rather than component selection.</w:t>
      </w:r>
    </w:p>
    <w:p>
      <w:pPr>
        <w:pStyle w:val="Heading3"/>
      </w:pPr>
      <w:r>
        <w:t>Required design inputs</w:t>
      </w:r>
    </w:p>
    <w:p>
      <w:pPr>
        <w:pStyle w:val="ListBullet"/>
      </w:pPr>
      <w:r>
        <w:t>Supply voltage, frequency, phase configuration, available fault current, and earthing arrangement.</w:t>
      </w:r>
    </w:p>
    <w:p>
      <w:pPr>
        <w:pStyle w:val="ListBullet"/>
      </w:pPr>
      <w:r>
        <w:t>Machine electrical load list and motor ratings.</w:t>
      </w:r>
    </w:p>
    <w:p>
      <w:pPr>
        <w:pStyle w:val="ListBullet"/>
      </w:pPr>
      <w:r>
        <w:t>PLC, HMI, I/O, drive, safety, and communication architecture.</w:t>
      </w:r>
    </w:p>
    <w:p>
      <w:pPr>
        <w:pStyle w:val="ListBullet"/>
      </w:pPr>
      <w:r>
        <w:t>Digital and analog field signal types.</w:t>
      </w:r>
    </w:p>
    <w:p>
      <w:pPr>
        <w:pStyle w:val="ListBullet"/>
      </w:pPr>
      <w:r>
        <w:t>Required enclosure protection and installation environment.</w:t>
      </w:r>
    </w:p>
    <w:p>
      <w:pPr>
        <w:pStyle w:val="ListBullet"/>
      </w:pPr>
      <w:r>
        <w:t>Ambient temperature, humidity, dust, oil mist, vibration, corrosion, and washdown exposure.</w:t>
      </w:r>
    </w:p>
    <w:p>
      <w:pPr>
        <w:pStyle w:val="ListBullet"/>
      </w:pPr>
      <w:r>
        <w:t>Applicable electrical standards, legislation, customer specifications, and company standards.</w:t>
      </w:r>
    </w:p>
    <w:p>
      <w:pPr>
        <w:pStyle w:val="ListBullet"/>
      </w:pPr>
      <w:r>
        <w:t>Required short-circuit withstand capability and protective-device coordination.</w:t>
      </w:r>
    </w:p>
    <w:p>
      <w:pPr>
        <w:pStyle w:val="ListBullet"/>
      </w:pPr>
      <w:r>
        <w:t>Available floor space, mounting arrangement, cable entry direction, and service access.</w:t>
      </w:r>
    </w:p>
    <w:p>
      <w:pPr>
        <w:pStyle w:val="ListBullet"/>
      </w:pPr>
      <w:r>
        <w:t>Future expansion requirements, spare capacity, and preferred component makes.</w:t>
      </w:r>
    </w:p>
    <w:p>
      <w:pPr>
        <w:pStyle w:val="ListBullet"/>
      </w:pPr>
      <w:r>
        <w:t>Required drawings, inspection records, FAT documents, and handover files.</w:t>
      </w:r>
    </w:p>
    <w:p>
      <w:pPr>
        <w:pStyle w:val="Heading3"/>
      </w:pPr>
      <w:r>
        <w:t>Typical workflow</w:t>
      </w:r>
    </w:p>
    <w:p>
      <w:pPr>
        <w:shd w:val="clear" w:color="auto" w:fill="F4F4F4"/>
        <w:spacing w:before="0" w:after="0" w:line="240" w:lineRule="auto"/>
        <w:ind w:left="216" w:right="216"/>
        <w:jc w:val="left"/>
      </w:pPr>
      <w:r>
        <w:rPr>
          <w:rFonts w:ascii="Consolas" w:hAnsi="Consolas"/>
          <w:color w:val="202020"/>
          <w:sz w:val="18"/>
        </w:rPr>
        <w:t>Requirements and design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list and electrical calculations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architecture and protection philosophy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Enclosure selection and thermal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General arrangement and component layout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control, safety and terminal schematics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BOM, wire sizing and manufacturing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fabrication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electrical tests and functional FAT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SAT and as-built handover</w:t>
      </w:r>
    </w:p>
    <w:p/>
    <w:p>
      <w:r>
        <w:t>Changes made after manufacturing release must be controlled. A drawing that no longer matches the physical panel is a maintenance hazard disguised as documentation.</w:t>
      </w:r>
    </w:p>
    <w:p>
      <w:pPr>
        <w:pStyle w:val="Heading2"/>
      </w:pPr>
      <w:r>
        <w:t>4. Standards and compliance</w:t>
      </w:r>
    </w:p>
    <w:p>
      <w:r>
        <w:t>The applicable standards depend on the equipment type, jurisdiction, customer contract, and the edition adopted for the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Main relevance</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IEC 61439 series</w:t>
            </w:r>
          </w:p>
        </w:tc>
        <w:tc>
          <w:tcPr>
            <w:tcW w:type="dxa" w:w="5400"/>
          </w:tcPr>
          <w:p>
            <w:pPr>
              <w:spacing w:after="0" w:before="0" w:line="240" w:lineRule="auto"/>
              <w:jc w:val="left"/>
            </w:pPr>
            <w:r>
              <w:t>Low-voltage switchgear and controlgear assemblies within its scope</w:t>
            </w:r>
          </w:p>
        </w:tc>
      </w:tr>
      <w:tr>
        <w:tc>
          <w:tcPr>
            <w:tcW w:type="dxa" w:w="5400"/>
          </w:tcPr>
          <w:p>
            <w:pPr>
              <w:spacing w:after="0" w:before="0" w:line="240" w:lineRule="auto"/>
              <w:jc w:val="left"/>
            </w:pPr>
            <w:r>
              <w:t>IEC 60529</w:t>
            </w:r>
          </w:p>
        </w:tc>
        <w:tc>
          <w:tcPr>
            <w:tcW w:type="dxa" w:w="5400"/>
          </w:tcPr>
          <w:p>
            <w:pPr>
              <w:spacing w:after="0" w:before="0" w:line="240" w:lineRule="auto"/>
              <w:jc w:val="left"/>
            </w:pPr>
            <w:r>
              <w:t>IP enclosure ingress-protection classification</w:t>
            </w:r>
          </w:p>
        </w:tc>
      </w:tr>
      <w:tr>
        <w:tc>
          <w:tcPr>
            <w:tcW w:type="dxa" w:w="5400"/>
          </w:tcPr>
          <w:p>
            <w:pPr>
              <w:spacing w:after="0" w:before="0" w:line="240" w:lineRule="auto"/>
              <w:jc w:val="left"/>
            </w:pPr>
            <w:r>
              <w:t>IEC 60947 series</w:t>
            </w:r>
          </w:p>
        </w:tc>
        <w:tc>
          <w:tcPr>
            <w:tcW w:type="dxa" w:w="5400"/>
          </w:tcPr>
          <w:p>
            <w:pPr>
              <w:spacing w:after="0" w:before="0" w:line="240" w:lineRule="auto"/>
              <w:jc w:val="left"/>
            </w:pPr>
            <w:r>
              <w:t>Low-voltage switchgear and controlgear components</w:t>
            </w:r>
          </w:p>
        </w:tc>
      </w:tr>
      <w:tr>
        <w:tc>
          <w:tcPr>
            <w:tcW w:type="dxa" w:w="5400"/>
          </w:tcPr>
          <w:p>
            <w:pPr>
              <w:spacing w:after="0" w:before="0" w:line="240" w:lineRule="auto"/>
              <w:jc w:val="left"/>
            </w:pPr>
            <w:r>
              <w:t>IEC 61000 series</w:t>
            </w:r>
          </w:p>
        </w:tc>
        <w:tc>
          <w:tcPr>
            <w:tcW w:type="dxa" w:w="5400"/>
          </w:tcPr>
          <w:p>
            <w:pPr>
              <w:spacing w:after="0" w:before="0" w:line="240" w:lineRule="auto"/>
              <w:jc w:val="left"/>
            </w:pPr>
            <w:r>
              <w:t>Electromagnetic compatibility and related immunity/emission requirements</w:t>
            </w:r>
          </w:p>
        </w:tc>
      </w:tr>
      <w:tr>
        <w:tc>
          <w:tcPr>
            <w:tcW w:type="dxa" w:w="5400"/>
          </w:tcPr>
          <w:p>
            <w:pPr>
              <w:spacing w:after="0" w:before="0" w:line="240" w:lineRule="auto"/>
              <w:jc w:val="left"/>
            </w:pPr>
            <w:r>
              <w:t>IEC 61800 series</w:t>
            </w:r>
          </w:p>
        </w:tc>
        <w:tc>
          <w:tcPr>
            <w:tcW w:type="dxa" w:w="5400"/>
          </w:tcPr>
          <w:p>
            <w:pPr>
              <w:spacing w:after="0" w:before="0" w:line="240" w:lineRule="auto"/>
              <w:jc w:val="left"/>
            </w:pPr>
            <w:r>
              <w:t>Adjustable-speed electrical power drive systems</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 where applicable</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 where applicable</w:t>
            </w:r>
          </w:p>
        </w:tc>
      </w:tr>
    </w:tbl>
    <w:p/>
    <w:p>
      <w:r>
        <w:t>The design engineer should establish a compliance matrix identifying each applicable requirement, its evidence, and who is responsible for verification.</w:t>
      </w:r>
    </w:p>
    <w:p>
      <w:r>
        <w:t>Do not assume that using components carrying individual conformity markings automatically makes the completed panel compliant. Assembly-level requirements, fault ratings, temperature-rise limits, protective bonding, clearances, and verification may also apply.</w:t>
      </w:r>
    </w:p>
    <w:p>
      <w:pPr>
        <w:pStyle w:val="Heading2"/>
      </w:pPr>
      <w:r>
        <w:t>5. Enclosure selection</w:t>
      </w:r>
    </w:p>
    <w:p>
      <w:pPr>
        <w:pStyle w:val="Heading3"/>
      </w:pPr>
      <w:r>
        <w:t>5.1 Material and construction</w:t>
      </w:r>
    </w:p>
    <w:p>
      <w:r>
        <w:t>Common enclosure materials include:</w:t>
      </w:r>
    </w:p>
    <w:p>
      <w:pPr>
        <w:pStyle w:val="ListBullet"/>
      </w:pPr>
      <w:r>
        <w:t>Painted mild steel: common for indoor industrial panels.</w:t>
      </w:r>
    </w:p>
    <w:p>
      <w:pPr>
        <w:pStyle w:val="ListBullet"/>
      </w:pPr>
      <w:r>
        <w:t>Stainless steel: useful for corrosive or washdown environments when the selected grade and construction are suitable.</w:t>
      </w:r>
    </w:p>
    <w:p>
      <w:pPr>
        <w:pStyle w:val="ListBullet"/>
      </w:pPr>
      <w:r>
        <w:t>Aluminium: useful where lower weight or corrosion characteristics are beneficial.</w:t>
      </w:r>
    </w:p>
    <w:p>
      <w:pPr>
        <w:pStyle w:val="ListBullet"/>
      </w:pPr>
      <w:r>
        <w:t>Non-metallic materials: useful in selected corrosive environments, subject to mechanical, thermal, fire, and electrical requirements.</w:t>
      </w:r>
    </w:p>
    <w:p>
      <w:r>
        <w:t>Selection must consider strength, door stiffness, corrosion, grounding or bonding requirements, heat transfer, mounting method, and expected service life.</w:t>
      </w:r>
    </w:p>
    <w:p>
      <w:pPr>
        <w:pStyle w:val="Heading3"/>
      </w:pPr>
      <w:r>
        <w:t>5.2 IP rating and environmental suitability</w:t>
      </w:r>
    </w:p>
    <w:p>
      <w:r>
        <w:t>The IP rating defined by IEC 60529 indicates protection against access to hazardous parts and ingress of solids and water under specified test conditions. It does not by itself establish resistance to corrosion, condensation, chemicals, UV exposure, or every form of washdown.</w:t>
      </w:r>
    </w:p>
    <w:p>
      <w:r>
        <w:t>A high IP rating is not automatically the best choice. It may reduce natural ventilation and increase internal temperature, so thermal management must be assessed alongside ingress protection.</w:t>
      </w:r>
    </w:p>
    <w:p>
      <w:r>
        <w:t>NEMA enclosure classifications are a separate system. Do not treat an IP rating and a NEMA type as automatically interchangeable.</w:t>
      </w:r>
    </w:p>
    <w:p>
      <w:pPr>
        <w:pStyle w:val="Heading3"/>
      </w:pPr>
      <w:r>
        <w:t>5.3 Installation considerations</w:t>
      </w:r>
    </w:p>
    <w:p>
      <w:r>
        <w:t>Before releasing the enclosure specification, verify:</w:t>
      </w:r>
    </w:p>
    <w:p>
      <w:pPr>
        <w:pStyle w:val="ListBullet"/>
      </w:pPr>
      <w:r>
        <w:t>Indoor or outdoor mounting.</w:t>
      </w:r>
    </w:p>
    <w:p>
      <w:pPr>
        <w:pStyle w:val="ListBullet"/>
      </w:pPr>
      <w:r>
        <w:t>Direct sunlight and solar heating.</w:t>
      </w:r>
    </w:p>
    <w:p>
      <w:pPr>
        <w:pStyle w:val="ListBullet"/>
      </w:pPr>
      <w:r>
        <w:t>Dust, metal particles, coolant, oil mist, and water exposure.</w:t>
      </w:r>
    </w:p>
    <w:p>
      <w:pPr>
        <w:pStyle w:val="ListBullet"/>
      </w:pPr>
      <w:r>
        <w:t>Ambient temperature and humidity range.</w:t>
      </w:r>
    </w:p>
    <w:p>
      <w:pPr>
        <w:pStyle w:val="ListBullet"/>
      </w:pPr>
      <w:r>
        <w:t>Corrosive gases or cleaning chemicals.</w:t>
      </w:r>
    </w:p>
    <w:p>
      <w:pPr>
        <w:pStyle w:val="ListBullet"/>
      </w:pPr>
      <w:r>
        <w:t>Cable entry location and gland-plate accessibility.</w:t>
      </w:r>
    </w:p>
    <w:p>
      <w:pPr>
        <w:pStyle w:val="ListBullet"/>
      </w:pPr>
      <w:r>
        <w:t>Door opening clearance and maintenance working space.</w:t>
      </w:r>
    </w:p>
    <w:p>
      <w:pPr>
        <w:pStyle w:val="ListBullet"/>
      </w:pPr>
      <w:r>
        <w:t>Wall, floor, machine-frame, or pedestal mounting strength.</w:t>
      </w:r>
    </w:p>
    <w:p>
      <w:pPr>
        <w:pStyle w:val="ListBullet"/>
      </w:pPr>
      <w:r>
        <w:t>Safe separation from hot surfaces, moving equipment, and vehicle routes.</w:t>
      </w:r>
    </w:p>
    <w:p>
      <w:pPr>
        <w:pStyle w:val="ListBullet"/>
      </w:pPr>
      <w:r>
        <w:t>Condensation risk during shutdown and temperature changes.</w:t>
      </w:r>
    </w:p>
    <w:p>
      <w:r>
        <w:t>Where hazardous-area requirements apply, ordinary industrial enclosure selection is insufficient. The complete equipment and installation must meet the relevant hazardous-area requirements.</w:t>
      </w:r>
    </w:p>
    <w:p>
      <w:pPr>
        <w:pStyle w:val="Heading2"/>
      </w:pPr>
      <w:r>
        <w:t>6. Physical layout and component zoning</w:t>
      </w:r>
    </w:p>
    <w:p>
      <w:r>
        <w:t>The general arrangement (GA) drawing defines the physical positions of components, wiring ducts, terminals, mounting plates, cable entry areas, and service clearances.</w:t>
      </w:r>
    </w:p>
    <w:p>
      <w:r>
        <w:t>A typical zoning concept is: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INCOMING POWER AND MAIN ISOLATOR                 |</w:t>
      </w:r>
    </w:p>
    <w:p>
      <w:pPr>
        <w:shd w:val="clear" w:color="auto" w:fill="F4F4F4"/>
        <w:spacing w:before="0" w:after="0" w:line="240" w:lineRule="auto"/>
        <w:ind w:left="216" w:right="216"/>
        <w:jc w:val="left"/>
      </w:pPr>
      <w:r>
        <w:rPr>
          <w:rFonts w:ascii="Consolas" w:hAnsi="Consolas"/>
          <w:color w:val="202020"/>
          <w:sz w:val="18"/>
        </w:rPr>
        <w:t>| Breakers, fuses, distribution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MOTOR POWER / VFD / CONTACTOR ZONE               |</w:t>
      </w:r>
    </w:p>
    <w:p>
      <w:pPr>
        <w:shd w:val="clear" w:color="auto" w:fill="F4F4F4"/>
        <w:spacing w:before="0" w:after="0" w:line="240" w:lineRule="auto"/>
        <w:ind w:left="216" w:right="216"/>
        <w:jc w:val="left"/>
      </w:pPr>
      <w:r>
        <w:rPr>
          <w:rFonts w:ascii="Consolas" w:hAnsi="Consolas"/>
          <w:color w:val="202020"/>
          <w:sz w:val="18"/>
        </w:rPr>
        <w:t>| Drives, reactors, braking components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CONTROL POWER                                    |</w:t>
      </w:r>
    </w:p>
    <w:p>
      <w:pPr>
        <w:shd w:val="clear" w:color="auto" w:fill="F4F4F4"/>
        <w:spacing w:before="0" w:after="0" w:line="240" w:lineRule="auto"/>
        <w:ind w:left="216" w:right="216"/>
        <w:jc w:val="left"/>
      </w:pPr>
      <w:r>
        <w:rPr>
          <w:rFonts w:ascii="Consolas" w:hAnsi="Consolas"/>
          <w:color w:val="202020"/>
          <w:sz w:val="18"/>
        </w:rPr>
        <w:t>| 24 VDC supplies, control protection, relays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CONTROL AND COMMUNICATION                        |</w:t>
      </w:r>
    </w:p>
    <w:p>
      <w:pPr>
        <w:shd w:val="clear" w:color="auto" w:fill="F4F4F4"/>
        <w:spacing w:before="0" w:after="0" w:line="240" w:lineRule="auto"/>
        <w:ind w:left="216" w:right="216"/>
        <w:jc w:val="left"/>
      </w:pPr>
      <w:r>
        <w:rPr>
          <w:rFonts w:ascii="Consolas" w:hAnsi="Consolas"/>
          <w:color w:val="202020"/>
          <w:sz w:val="18"/>
        </w:rPr>
        <w:t>| PLC, I/O, Ethernet switches, interface modules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FIELD TERMINALS                                  |</w:t>
      </w:r>
    </w:p>
    <w:p>
      <w:pPr>
        <w:shd w:val="clear" w:color="auto" w:fill="F4F4F4"/>
        <w:spacing w:before="0" w:after="0" w:line="240" w:lineRule="auto"/>
        <w:ind w:left="216" w:right="216"/>
        <w:jc w:val="left"/>
      </w:pPr>
      <w:r>
        <w:rPr>
          <w:rFonts w:ascii="Consolas" w:hAnsi="Consolas"/>
          <w:color w:val="202020"/>
          <w:sz w:val="18"/>
        </w:rPr>
        <w:t>| Sensors, actuators, analog signals, cable exits   |</w:t>
      </w:r>
    </w:p>
    <w:p>
      <w:pPr>
        <w:shd w:val="clear" w:color="auto" w:fill="F4F4F4"/>
        <w:spacing w:before="0" w:after="0" w:line="240" w:lineRule="auto"/>
        <w:ind w:left="216" w:right="216"/>
        <w:jc w:val="left"/>
      </w:pPr>
      <w:r>
        <w:rPr>
          <w:rFonts w:ascii="Consolas" w:hAnsi="Consolas"/>
          <w:color w:val="202020"/>
          <w:sz w:val="18"/>
        </w:rPr>
        <w:t>+--------------------------------------------------+</w:t>
      </w:r>
    </w:p>
    <w:p/>
    <w:p>
      <w:r>
        <w:t>This is a conceptual arrangement, not a universal physical template. Actual placement depends on heat flow, cable routing, manufacturer instructions, voltage clearances, segregation rules, access, and the enclosure's dimensions.</w:t>
      </w:r>
    </w:p>
    <w:p>
      <w:pPr>
        <w:pStyle w:val="Heading3"/>
      </w:pPr>
      <w:r>
        <w:t>Layout principles</w:t>
      </w:r>
    </w:p>
    <w:p>
      <w:pPr>
        <w:pStyle w:val="ListBullet"/>
      </w:pPr>
      <w:r>
        <w:t>Place frequently operated devices where they are safely accessible.</w:t>
      </w:r>
    </w:p>
    <w:p>
      <w:pPr>
        <w:pStyle w:val="ListBullet"/>
      </w:pPr>
      <w:r>
        <w:t>Ensure the main isolator and relevant operating controls can be reached as intended.</w:t>
      </w:r>
    </w:p>
    <w:p>
      <w:pPr>
        <w:pStyle w:val="ListBullet"/>
      </w:pPr>
      <w:r>
        <w:t>Maintain the manufacturer's required clearances around drives, power supplies, and other heat-producing equipment.</w:t>
      </w:r>
    </w:p>
    <w:p>
      <w:pPr>
        <w:pStyle w:val="ListBullet"/>
      </w:pPr>
      <w:r>
        <w:t>Keep high-current and noisy power circuits separated from low-level analog and communication wiring.</w:t>
      </w:r>
    </w:p>
    <w:p>
      <w:pPr>
        <w:pStyle w:val="ListBullet"/>
      </w:pPr>
      <w:r>
        <w:t>Avoid placing sensitive electronics directly above components that release substantial heat unless the thermal design supports it.</w:t>
      </w:r>
    </w:p>
    <w:p>
      <w:pPr>
        <w:pStyle w:val="ListBullet"/>
      </w:pPr>
      <w:r>
        <w:t>Leave space to remove components without dismantling unrelated equipment.</w:t>
      </w:r>
    </w:p>
    <w:p>
      <w:pPr>
        <w:pStyle w:val="ListBullet"/>
      </w:pPr>
      <w:r>
        <w:t>Position terminals and ducts so that field wiring can be dressed and replaced.</w:t>
      </w:r>
    </w:p>
    <w:p>
      <w:pPr>
        <w:pStyle w:val="ListBullet"/>
      </w:pPr>
      <w:r>
        <w:t>Preserve access to fuses, circuit breakers, diagnostic LEDs, communication ports, and adjustment points.</w:t>
      </w:r>
    </w:p>
    <w:p>
      <w:pPr>
        <w:pStyle w:val="ListBullet"/>
      </w:pPr>
      <w:r>
        <w:t>Provide a documented expansion allowance rather than filling every available mounting position.</w:t>
      </w:r>
    </w:p>
    <w:p>
      <w:pPr>
        <w:pStyle w:val="ListBullet"/>
      </w:pPr>
      <w:r>
        <w:t>Avoid obstructing ventilation openings, heat exchangers, or air-conditioning return paths.</w:t>
      </w:r>
    </w:p>
    <w:p>
      <w:pPr>
        <w:pStyle w:val="Heading2"/>
      </w:pPr>
      <w:r>
        <w:t>7. Power distribution and protective devices</w:t>
      </w:r>
    </w:p>
    <w:p>
      <w:r>
        <w:t>The incoming supply should pass through a suitable means of isolation and a correctly engineered protection and distribution arrangement.</w:t>
      </w:r>
    </w:p>
    <w:p>
      <w:r>
        <w:t>A typical conceptual power path is:</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protective device,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distribution</w:t>
      </w:r>
    </w:p>
    <w:p>
      <w:pPr>
        <w:shd w:val="clear" w:color="auto" w:fill="F4F4F4"/>
        <w:spacing w:before="0" w:after="0" w:line="240" w:lineRule="auto"/>
        <w:ind w:left="216" w:right="216"/>
        <w:jc w:val="left"/>
      </w:pPr>
      <w:r>
        <w:rPr>
          <w:rFonts w:ascii="Consolas" w:hAnsi="Consolas"/>
          <w:color w:val="202020"/>
          <w:sz w:val="18"/>
        </w:rPr>
        <w:t xml:space="preserve">      ├── Motor branch protection → Contactor / overload → Motor</w:t>
      </w:r>
    </w:p>
    <w:p>
      <w:pPr>
        <w:shd w:val="clear" w:color="auto" w:fill="F4F4F4"/>
        <w:spacing w:before="0" w:after="0" w:line="240" w:lineRule="auto"/>
        <w:ind w:left="216" w:right="216"/>
        <w:jc w:val="left"/>
      </w:pPr>
      <w:r>
        <w:rPr>
          <w:rFonts w:ascii="Consolas" w:hAnsi="Consolas"/>
          <w:color w:val="202020"/>
          <w:sz w:val="18"/>
        </w:rPr>
        <w:t xml:space="preserve">      ├── VFD branch protection → VFD → Motor</w:t>
      </w:r>
    </w:p>
    <w:p>
      <w:pPr>
        <w:shd w:val="clear" w:color="auto" w:fill="F4F4F4"/>
        <w:spacing w:before="0" w:after="0" w:line="240" w:lineRule="auto"/>
        <w:ind w:left="216" w:right="216"/>
        <w:jc w:val="left"/>
      </w:pPr>
      <w:r>
        <w:rPr>
          <w:rFonts w:ascii="Consolas" w:hAnsi="Consolas"/>
          <w:color w:val="202020"/>
          <w:sz w:val="18"/>
        </w:rPr>
        <w:t xml:space="preserve">      └── Control transformer or PSU → Control circuits</w:t>
      </w:r>
    </w:p>
    <w:p/>
    <w:p>
      <w:r>
        <w:t>The actual arrangement depends on the supply system, applicable standards, device coordination, and equipment architecture. The main isolator, overcurrent protection, and emergency-stop functions serve different purposes and must not be treated as interchangeable.</w:t>
      </w:r>
    </w:p>
    <w:p>
      <w:pPr>
        <w:pStyle w:val="Heading3"/>
      </w:pPr>
      <w:r>
        <w:t>7.1 Main isolator</w:t>
      </w:r>
    </w:p>
    <w:p>
      <w:r>
        <w:t>The main isolator provides the intended means of disconnecting the panel supply. Its rating, utilization category where relevant, number of poles, handle arrangement, door interlocking, and lockout capability must suit the installation.</w:t>
      </w:r>
    </w:p>
    <w:p>
      <w:r>
        <w:t>Identify all energy sources. A panel may contain external 24 VDC supplies, UPS-backed circuits, separate incoming feeds, stored energy in drives, or power entering through external equipment. Isolation instructions must account for them.</w:t>
      </w:r>
    </w:p>
    <w:p>
      <w:pPr>
        <w:pStyle w:val="Heading3"/>
      </w:pPr>
      <w:r>
        <w:t>7.2 Circuit breakers and fuses</w:t>
      </w:r>
    </w:p>
    <w:p>
      <w:r>
        <w:t>Selection should consider:</w:t>
      </w:r>
    </w:p>
    <w:p>
      <w:pPr>
        <w:pStyle w:val="ListBullet"/>
      </w:pPr>
      <w:r>
        <w:t>Continuous load current.</w:t>
      </w:r>
    </w:p>
    <w:p>
      <w:pPr>
        <w:pStyle w:val="ListBullet"/>
      </w:pPr>
      <w:r>
        <w:t>Inrush and transient current.</w:t>
      </w:r>
    </w:p>
    <w:p>
      <w:pPr>
        <w:pStyle w:val="ListBullet"/>
      </w:pPr>
      <w:r>
        <w:t>Cable and component current-carrying capacity.</w:t>
      </w:r>
    </w:p>
    <w:p>
      <w:pPr>
        <w:pStyle w:val="ListBullet"/>
      </w:pPr>
      <w:r>
        <w:t>Prospective short-circuit current.</w:t>
      </w:r>
    </w:p>
    <w:p>
      <w:pPr>
        <w:pStyle w:val="ListBullet"/>
      </w:pPr>
      <w:r>
        <w:t>Breaking capacity at the installation voltage.</w:t>
      </w:r>
    </w:p>
    <w:p>
      <w:pPr>
        <w:pStyle w:val="ListBullet"/>
      </w:pPr>
      <w:r>
        <w:t>Ambient-temperature and enclosure derating.</w:t>
      </w:r>
    </w:p>
    <w:p>
      <w:pPr>
        <w:pStyle w:val="ListBullet"/>
      </w:pPr>
      <w:r>
        <w:t>Selectivity or discrimination with upstream protection.</w:t>
      </w:r>
    </w:p>
    <w:p>
      <w:pPr>
        <w:pStyle w:val="ListBullet"/>
      </w:pPr>
      <w:r>
        <w:t>Manufacturer coordination requirements for starters and drives.</w:t>
      </w:r>
    </w:p>
    <w:p>
      <w:r>
        <w:t>A breaker with a current rating above the load is not necessarily suitable. Its breaking capacity and the protection of downstream conductors and components must also be verified.</w:t>
      </w:r>
    </w:p>
    <w:p>
      <w:pPr>
        <w:pStyle w:val="Heading3"/>
      </w:pPr>
      <w:r>
        <w:t>7.3 Contactors and overload protection</w:t>
      </w:r>
    </w:p>
    <w:p>
      <w:r>
        <w:t>Contactors must be selected for the actual load and utilization category, not simply the motor's nameplate current. Switching frequency, reversing duty, braking, and duty cycle can materially affect selection.</w:t>
      </w:r>
    </w:p>
    <w:p>
      <w:r>
        <w:t>Overload protection addresses motor overcurrent conditions within its intended protection scope. It does not replace short-circuit protection. The overload setting should follow the motor nameplate, application, and manufacturer's instructions.</w:t>
      </w:r>
    </w:p>
    <w:p>
      <w:pPr>
        <w:pStyle w:val="Heading3"/>
      </w:pPr>
      <w:r>
        <w:t>7.4 Short-circuit ratings and coordination</w:t>
      </w:r>
    </w:p>
    <w:p>
      <w:r>
        <w:t>The assembly's short-circuit capability must be suitable for the available fault current at its installation point. Depending on the applicable standard and equipment, this may involve rated short-time withstand current, conditional short-circuit ratings, or short-circuit current rating (SCCR).</w:t>
      </w:r>
    </w:p>
    <w:p>
      <w:r>
        <w:t>Do not assume that the panel's rating equals the breaking capacity printed on its largest breaker. The complete combination of enclosure assembly, busbars, protective devices, drives, starters, and other components must be evaluated using the relevant standard and manufacturer coordination data.</w:t>
      </w:r>
    </w:p>
    <w:p>
      <w:pPr>
        <w:pStyle w:val="Heading2"/>
      </w:pPr>
      <w:r>
        <w:t>8. Component selection and sizing</w:t>
      </w:r>
    </w:p>
    <w:p>
      <w:r>
        <w:t>Each component must be selected for its electrical duty, environment, mounting conditions, fault exposure, and expected lifecycle.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Main selection considerations</w:t>
            </w:r>
          </w:p>
        </w:tc>
      </w:tr>
      <w:tr>
        <w:tc>
          <w:tcPr>
            <w:tcW w:type="dxa" w:w="5400"/>
          </w:tcPr>
          <w:p>
            <w:pPr>
              <w:spacing w:after="0" w:before="0" w:line="240" w:lineRule="auto"/>
              <w:jc w:val="left"/>
            </w:pPr>
            <w:r>
              <w:t>MCB/MCCB</w:t>
            </w:r>
          </w:p>
        </w:tc>
        <w:tc>
          <w:tcPr>
            <w:tcW w:type="dxa" w:w="5400"/>
          </w:tcPr>
          <w:p>
            <w:pPr>
              <w:spacing w:after="0" w:before="0" w:line="240" w:lineRule="auto"/>
              <w:jc w:val="left"/>
            </w:pPr>
            <w:r>
              <w:t>Load, cable protection, breaking capacity, coordination, derating</w:t>
            </w:r>
          </w:p>
        </w:tc>
      </w:tr>
      <w:tr>
        <w:tc>
          <w:tcPr>
            <w:tcW w:type="dxa" w:w="5400"/>
          </w:tcPr>
          <w:p>
            <w:pPr>
              <w:spacing w:after="0" w:before="0" w:line="240" w:lineRule="auto"/>
              <w:jc w:val="left"/>
            </w:pPr>
            <w:r>
              <w:t>Fuse</w:t>
            </w:r>
          </w:p>
        </w:tc>
        <w:tc>
          <w:tcPr>
            <w:tcW w:type="dxa" w:w="5400"/>
          </w:tcPr>
          <w:p>
            <w:pPr>
              <w:spacing w:after="0" w:before="0" w:line="240" w:lineRule="auto"/>
              <w:jc w:val="left"/>
            </w:pPr>
            <w:r>
              <w:t>Fuse class, voltage, current, fault interruption and manufacturer requirements</w:t>
            </w:r>
          </w:p>
        </w:tc>
      </w:tr>
      <w:tr>
        <w:tc>
          <w:tcPr>
            <w:tcW w:type="dxa" w:w="5400"/>
          </w:tcPr>
          <w:p>
            <w:pPr>
              <w:spacing w:after="0" w:before="0" w:line="240" w:lineRule="auto"/>
              <w:jc w:val="left"/>
            </w:pPr>
            <w:r>
              <w:t>Contactor</w:t>
            </w:r>
          </w:p>
        </w:tc>
        <w:tc>
          <w:tcPr>
            <w:tcW w:type="dxa" w:w="5400"/>
          </w:tcPr>
          <w:p>
            <w:pPr>
              <w:spacing w:after="0" w:before="0" w:line="240" w:lineRule="auto"/>
              <w:jc w:val="left"/>
            </w:pPr>
            <w:r>
              <w:t>Load current, utilization category, switching frequency, coil voltage</w:t>
            </w:r>
          </w:p>
        </w:tc>
      </w:tr>
      <w:tr>
        <w:tc>
          <w:tcPr>
            <w:tcW w:type="dxa" w:w="5400"/>
          </w:tcPr>
          <w:p>
            <w:pPr>
              <w:spacing w:after="0" w:before="0" w:line="240" w:lineRule="auto"/>
              <w:jc w:val="left"/>
            </w:pPr>
            <w:r>
              <w:t>Overload relay</w:t>
            </w:r>
          </w:p>
        </w:tc>
        <w:tc>
          <w:tcPr>
            <w:tcW w:type="dxa" w:w="5400"/>
          </w:tcPr>
          <w:p>
            <w:pPr>
              <w:spacing w:after="0" w:before="0" w:line="240" w:lineRule="auto"/>
              <w:jc w:val="left"/>
            </w:pPr>
            <w:r>
              <w:t>Motor rating, trip class, starting conditions, protection scheme</w:t>
            </w:r>
          </w:p>
        </w:tc>
      </w:tr>
      <w:tr>
        <w:tc>
          <w:tcPr>
            <w:tcW w:type="dxa" w:w="5400"/>
          </w:tcPr>
          <w:p>
            <w:pPr>
              <w:spacing w:after="0" w:before="0" w:line="240" w:lineRule="auto"/>
              <w:jc w:val="left"/>
            </w:pPr>
            <w:r>
              <w:t>VFD</w:t>
            </w:r>
          </w:p>
        </w:tc>
        <w:tc>
          <w:tcPr>
            <w:tcW w:type="dxa" w:w="5400"/>
          </w:tcPr>
          <w:p>
            <w:pPr>
              <w:spacing w:after="0" w:before="0" w:line="240" w:lineRule="auto"/>
              <w:jc w:val="left"/>
            </w:pPr>
            <w:r>
              <w:t>Motor data, overload duty, load profile, supply, altitude, ambient and EMC</w:t>
            </w:r>
          </w:p>
        </w:tc>
      </w:tr>
      <w:tr>
        <w:tc>
          <w:tcPr>
            <w:tcW w:type="dxa" w:w="5400"/>
          </w:tcPr>
          <w:p>
            <w:pPr>
              <w:spacing w:after="0" w:before="0" w:line="240" w:lineRule="auto"/>
              <w:jc w:val="left"/>
            </w:pPr>
            <w:r>
              <w:t>24 VDC PSU</w:t>
            </w:r>
          </w:p>
        </w:tc>
        <w:tc>
          <w:tcPr>
            <w:tcW w:type="dxa" w:w="5400"/>
          </w:tcPr>
          <w:p>
            <w:pPr>
              <w:spacing w:after="0" w:before="0" w:line="240" w:lineRule="auto"/>
              <w:jc w:val="left"/>
            </w:pPr>
            <w:r>
              <w:t>Continuous load, transient demand, derating, redundancy, fault behavior</w:t>
            </w:r>
          </w:p>
        </w:tc>
      </w:tr>
      <w:tr>
        <w:tc>
          <w:tcPr>
            <w:tcW w:type="dxa" w:w="5400"/>
          </w:tcPr>
          <w:p>
            <w:pPr>
              <w:spacing w:after="0" w:before="0" w:line="240" w:lineRule="auto"/>
              <w:jc w:val="left"/>
            </w:pPr>
            <w:r>
              <w:t>Transformer</w:t>
            </w:r>
          </w:p>
        </w:tc>
        <w:tc>
          <w:tcPr>
            <w:tcW w:type="dxa" w:w="5400"/>
          </w:tcPr>
          <w:p>
            <w:pPr>
              <w:spacing w:after="0" w:before="0" w:line="240" w:lineRule="auto"/>
              <w:jc w:val="left"/>
            </w:pPr>
            <w:r>
              <w:t>Primary/secondary voltage, VA rating, inrush, duty and protection</w:t>
            </w:r>
          </w:p>
        </w:tc>
      </w:tr>
      <w:tr>
        <w:tc>
          <w:tcPr>
            <w:tcW w:type="dxa" w:w="5400"/>
          </w:tcPr>
          <w:p>
            <w:pPr>
              <w:spacing w:after="0" w:before="0" w:line="240" w:lineRule="auto"/>
              <w:jc w:val="left"/>
            </w:pPr>
            <w:r>
              <w:t>Relay/interface module</w:t>
            </w:r>
          </w:p>
        </w:tc>
        <w:tc>
          <w:tcPr>
            <w:tcW w:type="dxa" w:w="5400"/>
          </w:tcPr>
          <w:p>
            <w:pPr>
              <w:spacing w:after="0" w:before="0" w:line="240" w:lineRule="auto"/>
              <w:jc w:val="left"/>
            </w:pPr>
            <w:r>
              <w:t>Coil voltage, contact rating, switching category, isolation</w:t>
            </w:r>
          </w:p>
        </w:tc>
      </w:tr>
      <w:tr>
        <w:tc>
          <w:tcPr>
            <w:tcW w:type="dxa" w:w="5400"/>
          </w:tcPr>
          <w:p>
            <w:pPr>
              <w:spacing w:after="0" w:before="0" w:line="240" w:lineRule="auto"/>
              <w:jc w:val="left"/>
            </w:pPr>
            <w:r>
              <w:t>Terminal block</w:t>
            </w:r>
          </w:p>
        </w:tc>
        <w:tc>
          <w:tcPr>
            <w:tcW w:type="dxa" w:w="5400"/>
          </w:tcPr>
          <w:p>
            <w:pPr>
              <w:spacing w:after="0" w:before="0" w:line="240" w:lineRule="auto"/>
              <w:jc w:val="left"/>
            </w:pPr>
            <w:r>
              <w:t>Voltage, current, conductor range, short-circuit conditions, accessories</w:t>
            </w:r>
          </w:p>
        </w:tc>
      </w:tr>
      <w:tr>
        <w:tc>
          <w:tcPr>
            <w:tcW w:type="dxa" w:w="5400"/>
          </w:tcPr>
          <w:p>
            <w:pPr>
              <w:spacing w:after="0" w:before="0" w:line="240" w:lineRule="auto"/>
              <w:jc w:val="left"/>
            </w:pPr>
            <w:r>
              <w:t>Wire and cable</w:t>
            </w:r>
          </w:p>
        </w:tc>
        <w:tc>
          <w:tcPr>
            <w:tcW w:type="dxa" w:w="5400"/>
          </w:tcPr>
          <w:p>
            <w:pPr>
              <w:spacing w:after="0" w:before="0" w:line="240" w:lineRule="auto"/>
              <w:jc w:val="left"/>
            </w:pPr>
            <w:r>
              <w:t>Current capacity, insulation rating, ambient, installation method, voltage drop</w:t>
            </w:r>
          </w:p>
        </w:tc>
      </w:tr>
      <w:tr>
        <w:tc>
          <w:tcPr>
            <w:tcW w:type="dxa" w:w="5400"/>
          </w:tcPr>
          <w:p>
            <w:pPr>
              <w:spacing w:after="0" w:before="0" w:line="240" w:lineRule="auto"/>
              <w:jc w:val="left"/>
            </w:pPr>
            <w:r>
              <w:t>Ethernet switch</w:t>
            </w:r>
          </w:p>
        </w:tc>
        <w:tc>
          <w:tcPr>
            <w:tcW w:type="dxa" w:w="5400"/>
          </w:tcPr>
          <w:p>
            <w:pPr>
              <w:spacing w:after="0" w:before="0" w:line="240" w:lineRule="auto"/>
              <w:jc w:val="left"/>
            </w:pPr>
            <w:r>
              <w:t>Port count, speed, environmental rating, power, redundancy and diagnostics</w:t>
            </w:r>
          </w:p>
        </w:tc>
      </w:tr>
      <w:tr>
        <w:tc>
          <w:tcPr>
            <w:tcW w:type="dxa" w:w="5400"/>
          </w:tcPr>
          <w:p>
            <w:pPr>
              <w:spacing w:after="0" w:before="0" w:line="240" w:lineRule="auto"/>
              <w:jc w:val="left"/>
            </w:pPr>
            <w:r>
              <w:t>Enclosure fan/cooling unit</w:t>
            </w:r>
          </w:p>
        </w:tc>
        <w:tc>
          <w:tcPr>
            <w:tcW w:type="dxa" w:w="5400"/>
          </w:tcPr>
          <w:p>
            <w:pPr>
              <w:spacing w:after="0" w:before="0" w:line="240" w:lineRule="auto"/>
              <w:jc w:val="left"/>
            </w:pPr>
            <w:r>
              <w:t>Heat load, ambient conditions, required ingress protection and maintenance</w:t>
            </w:r>
          </w:p>
        </w:tc>
      </w:tr>
    </w:tbl>
    <w:p/>
    <w:p>
      <w:r>
        <w:t>Use the current manufacturer's data for the exact part number. Similar-looking products can have different derating rules, terminal limits, fault ratings, and installation clearances.</w:t>
      </w:r>
    </w:p>
    <w:p>
      <w:pPr>
        <w:pStyle w:val="Heading2"/>
      </w:pPr>
      <w:r>
        <w:t>9. Control power and 24 VDC load budget</w:t>
      </w:r>
    </w:p>
    <w:p>
      <w:r>
        <w:t>The 24 VDC supply often powers PLCs, sensors, communication modules, relays, valve coils, and other control devices. Its capacity must be calculated from the actual connected loads.</w:t>
      </w:r>
    </w:p>
    <w:p>
      <w:r>
        <w:t>A practical load budget should include:</w:t>
      </w:r>
    </w:p>
    <w:p>
      <w:pPr>
        <w:pStyle w:val="ListBullet"/>
      </w:pPr>
      <w:r>
        <w:t>PLC CPU and I/O module consumption.</w:t>
      </w:r>
    </w:p>
    <w:p>
      <w:pPr>
        <w:pStyle w:val="ListBullet"/>
      </w:pPr>
      <w:r>
        <w:t>Sensors and measurement transmitters.</w:t>
      </w:r>
    </w:p>
    <w:p>
      <w:pPr>
        <w:pStyle w:val="ListBullet"/>
      </w:pPr>
      <w:r>
        <w:t>Communication devices and switches.</w:t>
      </w:r>
    </w:p>
    <w:p>
      <w:pPr>
        <w:pStyle w:val="ListBullet"/>
      </w:pPr>
      <w:r>
        <w:t>Interface relays and contactor coils.</w:t>
      </w:r>
    </w:p>
    <w:p>
      <w:pPr>
        <w:pStyle w:val="ListBullet"/>
      </w:pPr>
      <w:r>
        <w:t>Solenoid valves and other actuators.</w:t>
      </w:r>
    </w:p>
    <w:p>
      <w:pPr>
        <w:pStyle w:val="ListBullet"/>
      </w:pPr>
      <w:r>
        <w:t>HMI or other devices powered from the control supply.</w:t>
      </w:r>
    </w:p>
    <w:p>
      <w:pPr>
        <w:pStyle w:val="ListBullet"/>
      </w:pPr>
      <w:r>
        <w:t>Simultaneous switching and transient loads.</w:t>
      </w:r>
    </w:p>
    <w:p>
      <w:pPr>
        <w:pStyle w:val="ListBullet"/>
      </w:pPr>
      <w:r>
        <w:t>Manufacturer-required design margin and environmental derating.</w:t>
      </w:r>
    </w:p>
    <w:p>
      <w:r>
        <w:t>The basic current estimate is:</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The corresponding nominal DC power estimate is:</w:t>
      </w:r>
    </w:p>
    <w:p>
      <w:pPr>
        <w:spacing w:before="120" w:after="160"/>
        <w:jc w:val="center"/>
      </w:pPr>
      <m:oMathPara>
        <m:oMath>
          <m:sSub>
            <m:e>
              <m:r>
                <m:t>P</m:t>
              </m:r>
            </m:e>
            <m:sub>
              <m:r>
                <m:rPr>
                  <m:nor/>
                </m:rPr>
                <m:t>DC</m:t>
              </m:r>
            </m:sub>
          </m:sSub>
          <m:r>
            <m:t>=</m:t>
          </m:r>
          <m:sSub>
            <m:e>
              <m:r>
                <m:t>V</m:t>
              </m:r>
            </m:e>
            <m:sub>
              <m:r>
                <m:rPr>
                  <m:nor/>
                </m:rPr>
                <m:t>DC</m:t>
              </m:r>
            </m:sub>
          </m:sSub>
          <m:r>
            <m:t>×</m:t>
          </m:r>
          <m:sSub>
            <m:e>
              <m:r>
                <m:t>I</m:t>
              </m:r>
            </m:e>
            <m:sub>
              <m:r>
                <m:rPr>
                  <m:nor/>
                </m:rPr>
                <m:t>total</m:t>
              </m:r>
            </m:sub>
          </m:sSub>
        </m:oMath>
      </m:oMathPara>
    </w:p>
    <w:p>
      <w:r>
        <w:t>For example, if the calculated steady-state load is 5 A at 24 VDC, the nominal output power required for that load is:</w:t>
      </w:r>
    </w:p>
    <w:p>
      <w:pPr>
        <w:spacing w:before="120" w:after="160"/>
        <w:jc w:val="center"/>
      </w:pPr>
      <m:oMathPara>
        <m:oMath>
          <m:r>
            <m:t>P=24×5=120</m:t>
          </m:r>
          <m:r>
            <m:rPr>
              <m:nor/>
            </m:rPr>
            <m:t> W</m:t>
          </m:r>
        </m:oMath>
      </m:oMathPara>
    </w:p>
    <w:p>
      <w:r>
        <w:t>This does not automatically mean that a 120 W supply is suitable. Allow for starting transients, load peaks, ambient derating, output characteristics, and required reserve capacity. Use the PSU manufacturer's sizing method.</w:t>
      </w:r>
    </w:p>
    <w:p>
      <w:r>
        <w:t>Separate supplies or protected branches may be appropriate for PLC electronics, field sensors, and high-transient loads. This can reduce nuisance trips and make faults easier to isolate. However, the grounding, reference potentials, and commoning arrangement must be designed deliberately.</w:t>
      </w:r>
    </w:p>
    <w:p>
      <w:pPr>
        <w:pStyle w:val="Heading2"/>
      </w:pPr>
      <w:r>
        <w:t>10. Wire sizing, voltage drop, and terminal selection</w:t>
      </w:r>
    </w:p>
    <w:p>
      <w:r>
        <w:t>Wire sizing must account for conductor material, cross-sectional area, current, insulation temperature rating, ambient temperature, grouping, installation method, terminal limits, protective-device rating, and short-circuit withstand.</w:t>
      </w:r>
    </w:p>
    <w:p>
      <w:r>
        <w:t>The voltage drop for a simple DC circuit can be estimated as:</w:t>
      </w:r>
    </w:p>
    <w:p>
      <w:pPr>
        <w:spacing w:before="120" w:after="160"/>
        <w:jc w:val="center"/>
      </w:pPr>
      <m:oMathPara>
        <m:oMath>
          <m:r>
            <m:t>ΔV=I×</m:t>
          </m:r>
          <m:sSub>
            <m:e>
              <m:r>
                <m:t>R</m:t>
              </m:r>
            </m:e>
            <m:sub>
              <m:r>
                <m:rPr>
                  <m:nor/>
                </m:rPr>
                <m:t>loop</m:t>
              </m:r>
            </m:sub>
          </m:sSub>
        </m:oMath>
      </m:oMathPara>
    </w:p>
    <w:p>
      <w:r>
        <w:t>For a conductor with uniform cross-section:</w:t>
      </w:r>
    </w:p>
    <w:p>
      <w:pPr>
        <w:spacing w:before="120" w:after="160"/>
        <w:jc w:val="center"/>
      </w:pPr>
      <m:oMathPara>
        <m:oMath>
          <m:r>
            <m:t>R=ρ</m:t>
          </m:r>
          <m:f>
            <m:fPr>
              <m:type m:val="bar"/>
            </m:fPr>
            <m:num>
              <m:r>
                <m:t>L</m:t>
              </m:r>
            </m:num>
            <m:den>
              <m:r>
                <m:t>A</m:t>
              </m:r>
            </m:den>
          </m:f>
        </m:oMath>
      </m:oMathPara>
    </w:p>
    <w:p>
      <w:r>
        <w:t xml:space="preserve">where </w:t>
      </w:r>
      <m:oMath>
        <m:r>
          <m:t>L</m:t>
        </m:r>
      </m:oMath>
      <w:r>
        <w:t xml:space="preserve"> is conductor length, </w:t>
      </w:r>
      <m:oMath>
        <m:r>
          <m:t>A</m:t>
        </m:r>
      </m:oMath>
      <w:r>
        <w:t xml:space="preserve"> is conductor cross-sectional area, and </w:t>
      </w:r>
      <m:oMath>
        <m:r>
          <m:t>ρ</m:t>
        </m:r>
      </m:oMath>
      <w:r>
        <w:t xml:space="preserve"> is the material resistivity at the relevant temperature. For a two-wire DC circuit, the loop resistance must account for both outgoing and return conductors.</w:t>
      </w:r>
    </w:p>
    <w:p>
      <w:r>
        <w:t>For AC circuits, voltage-drop calculation must account for the applicable circuit arrangement, power factor, conductor impedance, and phase configuration.</w:t>
      </w:r>
    </w:p>
    <w:p>
      <w:pPr>
        <w:pStyle w:val="Heading3"/>
      </w:pPr>
      <w:r>
        <w:t>Wiring practices</w:t>
      </w:r>
    </w:p>
    <w:p>
      <w:pPr>
        <w:pStyle w:val="ListBullet"/>
      </w:pPr>
      <w:r>
        <w:t>Use ferrules or approved conductor termination methods where required by the terminal design and company standard.</w:t>
      </w:r>
    </w:p>
    <w:p>
      <w:pPr>
        <w:pStyle w:val="ListBullet"/>
      </w:pPr>
      <w:r>
        <w:t>Apply consistent wire identification at both ends.</w:t>
      </w:r>
    </w:p>
    <w:p>
      <w:pPr>
        <w:pStyle w:val="ListBullet"/>
      </w:pPr>
      <w:r>
        <w:t>Follow the applicable color and marking conventions.</w:t>
      </w:r>
    </w:p>
    <w:p>
      <w:pPr>
        <w:pStyle w:val="ListBullet"/>
      </w:pPr>
      <w:r>
        <w:t>Keep wire routing orderly, with adequate bending radius and no mechanical strain on terminals.</w:t>
      </w:r>
    </w:p>
    <w:p>
      <w:pPr>
        <w:pStyle w:val="ListBullet"/>
      </w:pPr>
      <w:r>
        <w:t>Avoid excessive wiring-duct fill that makes installation and future maintenance difficult.</w:t>
      </w:r>
    </w:p>
    <w:p>
      <w:pPr>
        <w:pStyle w:val="ListBullet"/>
      </w:pPr>
      <w:r>
        <w:t>Use the specified terminal torque from the manufacturer.</w:t>
      </w:r>
    </w:p>
    <w:p>
      <w:pPr>
        <w:pStyle w:val="ListBullet"/>
      </w:pPr>
      <w:r>
        <w:t>Do not place multiple conductors under a terminal unless that terminal is explicitly approved for the arrangement.</w:t>
      </w:r>
    </w:p>
    <w:p>
      <w:pPr>
        <w:pStyle w:val="ListBullet"/>
      </w:pPr>
      <w:r>
        <w:t>Select terminals for the conductor size, voltage, current, accessories, and required separation.</w:t>
      </w:r>
    </w:p>
    <w:p>
      <w:pPr>
        <w:pStyle w:val="ListBullet"/>
      </w:pPr>
      <w:r>
        <w:t>Provide appropriate end plates, jumpers, separators, test points, and protective covers.</w:t>
      </w:r>
    </w:p>
    <w:p>
      <w:pPr>
        <w:pStyle w:val="ListBullet"/>
      </w:pPr>
      <w:r>
        <w:t>Verify that field terminals can accommodate the actual incoming cable sizes and shield termination method.</w:t>
      </w:r>
    </w:p>
    <w:p>
      <w:r>
        <w:t>Do not select wire size using current alone. Voltage drop, short-circuit protection, installation conditions, mechanical robustness, and applicable requirements must all be considered.</w:t>
      </w:r>
    </w:p>
    <w:p>
      <w:pPr>
        <w:pStyle w:val="Heading2"/>
      </w:pPr>
      <w:r>
        <w:t>11. Wiring segregation and EMC</w:t>
      </w:r>
    </w:p>
    <w:p>
      <w:r>
        <w:t>Electromagnetic compatibility is especially important in panels containing VFDs, servo drives, switching power supplies, high-speed digital signals, encoders, load cells, and analog measurement circuits.</w:t>
      </w:r>
    </w:p>
    <w:p>
      <w:r>
        <w:t>Poor routing can create intermittent faults that are difficult to reproduce and may be incorrectly blamed on PLC software or faulty sensors.</w:t>
      </w:r>
    </w:p>
    <w:p>
      <w:pPr>
        <w:pStyle w:val="Heading3"/>
      </w:pPr>
      <w:r>
        <w:t>11.1 Segregation principles</w:t>
      </w:r>
    </w:p>
    <w:p>
      <w:pPr>
        <w:pStyle w:val="ListBullet"/>
      </w:pPr>
      <w:r>
        <w:t>Route motor output cables separately from PLC I/O and analog signal cables.</w:t>
      </w:r>
    </w:p>
    <w:p>
      <w:pPr>
        <w:pStyle w:val="ListBullet"/>
      </w:pPr>
      <w:r>
        <w:t>Separate drive input and output wiring as required by the drive manufacturer.</w:t>
      </w:r>
    </w:p>
    <w:p>
      <w:pPr>
        <w:pStyle w:val="ListBullet"/>
      </w:pPr>
      <w:r>
        <w:t>Avoid running encoder, thermocouple, load-cell, or low-level analog wiring parallel to high-current switching conductors.</w:t>
      </w:r>
    </w:p>
    <w:p>
      <w:pPr>
        <w:pStyle w:val="ListBullet"/>
      </w:pPr>
      <w:r>
        <w:t>Use separate ducts or suitable physical barriers where required.</w:t>
      </w:r>
    </w:p>
    <w:p>
      <w:pPr>
        <w:pStyle w:val="ListBullet"/>
      </w:pPr>
      <w:r>
        <w:t>Cross power and signal cables at approximately right angles where practical.</w:t>
      </w:r>
    </w:p>
    <w:p>
      <w:pPr>
        <w:pStyle w:val="ListBullet"/>
      </w:pPr>
      <w:r>
        <w:t>Maintain separation distances specified by the equipment manufacturers and applicable standards.</w:t>
      </w:r>
    </w:p>
    <w:p>
      <w:pPr>
        <w:pStyle w:val="ListBullet"/>
      </w:pPr>
      <w:r>
        <w:t>Terminate cable shields using a deliberate EMC design, not arbitrary grounding at whichever end is convenient.</w:t>
      </w:r>
    </w:p>
    <w:p>
      <w:pPr>
        <w:pStyle w:val="ListBullet"/>
      </w:pPr>
      <w:r>
        <w:t>Bond metallic enclosure parts, mounting plates, doors, gland plates, and cable screens as required by the design.</w:t>
      </w:r>
    </w:p>
    <w:p>
      <w:pPr>
        <w:pStyle w:val="ListBullet"/>
      </w:pPr>
      <w:r>
        <w:t>Keep protective earth conductors distinct from ordinary functional signal returns.</w:t>
      </w:r>
    </w:p>
    <w:p>
      <w:pPr>
        <w:pStyle w:val="ListBullet"/>
      </w:pPr>
      <w:r>
        <w:t>Use suitable EMC glands, clamps, filters, and reactors where the application requires them.</w:t>
      </w:r>
    </w:p>
    <w:p>
      <w:r>
        <w:t>Shield termination depends on the signal type, frequency, equipment design, and equipotential bonding arrangement. High-frequency drive interference often benefits from low-impedance, circumferential shield bonding, whereas sensitive measurement circuits may have different requirements. Follow the relevant equipment documentation.</w:t>
      </w:r>
    </w:p>
    <w:p>
      <w:pPr>
        <w:pStyle w:val="Heading3"/>
      </w:pPr>
      <w:r>
        <w:t>11.2 Protective earth and bonding</w:t>
      </w:r>
    </w:p>
    <w:p>
      <w:r>
        <w:t>Protective earth (PE) provides a fault-current path intended to support automatic disconnection and reduce electric-shock risk.</w:t>
      </w:r>
    </w:p>
    <w:p>
      <w:r>
        <w:t>The design should identify:</w:t>
      </w:r>
    </w:p>
    <w:p>
      <w:pPr>
        <w:pStyle w:val="ListBullet"/>
      </w:pPr>
      <w:r>
        <w:t>Incoming PE termination.</w:t>
      </w:r>
    </w:p>
    <w:p>
      <w:pPr>
        <w:pStyle w:val="ListBullet"/>
      </w:pPr>
      <w:r>
        <w:t>Protective bonding of exposed conductive parts.</w:t>
      </w:r>
    </w:p>
    <w:p>
      <w:pPr>
        <w:pStyle w:val="ListBullet"/>
      </w:pPr>
      <w:r>
        <w:t>Door bonding where required.</w:t>
      </w:r>
    </w:p>
    <w:p>
      <w:pPr>
        <w:pStyle w:val="ListBullet"/>
      </w:pPr>
      <w:r>
        <w:t>Bonding of removable gland plates and conductive mounting structures.</w:t>
      </w:r>
    </w:p>
    <w:p>
      <w:pPr>
        <w:pStyle w:val="ListBullet"/>
      </w:pPr>
      <w:r>
        <w:t>PE terminal sizing and identification.</w:t>
      </w:r>
    </w:p>
    <w:p>
      <w:pPr>
        <w:pStyle w:val="ListBullet"/>
      </w:pPr>
      <w:r>
        <w:t>Shield bonding and functional earth connections, where applicable.</w:t>
      </w:r>
    </w:p>
    <w:p>
      <w:pPr>
        <w:pStyle w:val="ListBullet"/>
      </w:pPr>
      <w:r>
        <w:t>Continuity-test points and verification records.</w:t>
      </w:r>
    </w:p>
    <w:p>
      <w:r>
        <w:t>A painted hinge is not a substitute for a properly engineered protective bonding connection.</w:t>
      </w:r>
    </w:p>
    <w:p>
      <w:pPr>
        <w:pStyle w:val="Heading2"/>
      </w:pPr>
      <w:r>
        <w:t>12. Thermal management and heat dissipation</w:t>
      </w:r>
    </w:p>
    <w:p>
      <w:r>
        <w:t>Heat is a major factor in panel reliability. Excessive internal temperature can reduce the service life of power supplies, drives, capacitors, relays, batteries, and electronic modules.</w:t>
      </w:r>
    </w:p>
    <w:p>
      <w:pPr>
        <w:pStyle w:val="Heading3"/>
      </w:pPr>
      <w:r>
        <w:t>12.1 Identify heat sources</w:t>
      </w:r>
    </w:p>
    <w:p>
      <w:r>
        <w:t>Typical sources include:</w:t>
      </w:r>
    </w:p>
    <w:p>
      <w:pPr>
        <w:pStyle w:val="ListBullet"/>
      </w:pPr>
      <w:r>
        <w:t>VFDs and servo drives.</w:t>
      </w:r>
    </w:p>
    <w:p>
      <w:pPr>
        <w:pStyle w:val="ListBullet"/>
      </w:pPr>
      <w:r>
        <w:t>Transformers and power supplies.</w:t>
      </w:r>
    </w:p>
    <w:p>
      <w:pPr>
        <w:pStyle w:val="ListBullet"/>
      </w:pPr>
      <w:r>
        <w:t>Contactors and relays.</w:t>
      </w:r>
    </w:p>
    <w:p>
      <w:pPr>
        <w:pStyle w:val="ListBullet"/>
      </w:pPr>
      <w:r>
        <w:t>Braking resistors and reactors.</w:t>
      </w:r>
    </w:p>
    <w:p>
      <w:pPr>
        <w:pStyle w:val="ListBullet"/>
      </w:pPr>
      <w:r>
        <w:t>PLC and network equipment.</w:t>
      </w:r>
    </w:p>
    <w:p>
      <w:pPr>
        <w:pStyle w:val="ListBullet"/>
      </w:pPr>
      <w:r>
        <w:t>Busbars and high-current connections.</w:t>
      </w:r>
    </w:p>
    <w:p>
      <w:pPr>
        <w:pStyle w:val="ListBullet"/>
      </w:pPr>
      <w:r>
        <w:t>Internal wiring losses.</w:t>
      </w:r>
    </w:p>
    <w:p>
      <w:r>
        <w:t>Use manufacturer-published power-loss data whenever available. Do not estimate a drive's heat generation by assuming that all of its electrical input power becomes heat inside the panel.</w:t>
      </w:r>
    </w:p>
    <w:p>
      <w:pPr>
        <w:pStyle w:val="Heading3"/>
      </w:pPr>
      <w:r>
        <w:t>12.2 Estimate total heat load</w:t>
      </w:r>
    </w:p>
    <w:p>
      <w:r>
        <w:t>The total internal heat load can be estimated by summing the relevant component losses:</w:t>
      </w:r>
    </w:p>
    <w:p>
      <w:pPr>
        <w:spacing w:before="120" w:after="160"/>
        <w:jc w:val="center"/>
      </w:pPr>
      <m:oMathPara>
        <m:oMath>
          <m:sSub>
            <m:e>
              <m:r>
                <m:t>Q</m:t>
              </m:r>
            </m:e>
            <m:sub>
              <m:r>
                <m:rPr>
                  <m:nor/>
                </m:rPr>
                <m:t>total</m:t>
              </m:r>
            </m:sub>
          </m:sSub>
          <m:r>
            <m:t>=</m:t>
          </m:r>
          <m:nary>
            <m:naryPr>
              <m:chr m:val="∑"/>
              <m:limLoc m:val="subSup"/>
              <m:grow m:val="1"/>
              <m:subHide m:val="off"/>
              <m:supHide m:val="off"/>
            </m:naryPr>
            <m:sub>
              <m:r>
                <m:t>i=1</m:t>
              </m:r>
            </m:sub>
            <m:sup>
              <m:r>
                <m:t>n</m:t>
              </m:r>
            </m:sup>
            <m:e>
              <m:sSub>
                <m:e>
                  <m:r>
                    <m:t>Q</m:t>
                  </m:r>
                </m:e>
                <m:sub>
                  <m:r>
                    <m:t>i</m:t>
                  </m:r>
                </m:sub>
              </m:sSub>
            </m:e>
          </m:nary>
        </m:oMath>
      </m:oMathPara>
    </w:p>
    <w:p>
      <w:r>
        <w:t xml:space="preserve">where </w:t>
      </w:r>
      <m:oMath>
        <m:sSub>
          <m:e>
            <m:r>
              <m:t>Q</m:t>
            </m:r>
          </m:e>
          <m:sub>
            <m:r>
              <m:t>i</m:t>
            </m:r>
          </m:sub>
        </m:sSub>
      </m:oMath>
      <w:r>
        <w:t xml:space="preserve"> is the heat dissipated inside the enclosure by component </w:t>
      </w:r>
      <m:oMath>
        <m:r>
          <m:t>i</m:t>
        </m:r>
      </m:oMath>
      <w:r>
        <w:t>, expressed in watts.</w:t>
      </w:r>
    </w:p>
    <w:p>
      <w:r>
        <w:t>For example, if a panel contains components dissipating 120 W, 85 W, 35 W, and 20 W:</w:t>
      </w:r>
    </w:p>
    <w:p>
      <w:pPr>
        <w:spacing w:before="120" w:after="160"/>
        <w:jc w:val="center"/>
      </w:pPr>
      <m:oMathPara>
        <m:oMath>
          <m:sSub>
            <m:e>
              <m:r>
                <m:t>Q</m:t>
              </m:r>
            </m:e>
            <m:sub>
              <m:r>
                <m:rPr>
                  <m:nor/>
                </m:rPr>
                <m:t>total</m:t>
              </m:r>
            </m:sub>
          </m:sSub>
          <m:r>
            <m:t>=120+85+35+20=260</m:t>
          </m:r>
          <m:r>
            <m:rPr>
              <m:nor/>
            </m:rPr>
            <m:t> W</m:t>
          </m:r>
        </m:oMath>
      </m:oMathPara>
    </w:p>
    <w:p>
      <w:r>
        <w:t>This is an illustrative estimate. The final design must account for actual operating conditions, simultaneous loading, heat transfer through the enclosure, ambient temperature, solar exposure, and cooling equipment.</w:t>
      </w:r>
    </w:p>
    <w:p>
      <w:pPr>
        <w:pStyle w:val="Heading3"/>
      </w:pPr>
      <w:r>
        <w:t>12.3 Cooling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Suitable conditions</w:t>
            </w:r>
          </w:p>
        </w:tc>
        <w:tc>
          <w:tcPr>
            <w:tcW w:type="dxa" w:w="3600"/>
            <w:shd w:val="clear" w:color="auto" w:fill="EEF2F7"/>
          </w:tcPr>
          <w:p>
            <w:pPr>
              <w:spacing w:after="0" w:before="0" w:line="240" w:lineRule="auto"/>
              <w:jc w:val="left"/>
            </w:pPr>
            <w:r>
              <w:rPr>
                <w:b/>
                <w:color w:val="1A2E4A"/>
              </w:rPr>
              <w:t>Main limitation</w:t>
            </w:r>
          </w:p>
        </w:tc>
      </w:tr>
      <w:tr>
        <w:tc>
          <w:tcPr>
            <w:tcW w:type="dxa" w:w="3600"/>
          </w:tcPr>
          <w:p>
            <w:pPr>
              <w:spacing w:after="0" w:before="0" w:line="240" w:lineRule="auto"/>
              <w:jc w:val="left"/>
            </w:pPr>
            <w:r>
              <w:t>Natural convection</w:t>
            </w:r>
          </w:p>
        </w:tc>
        <w:tc>
          <w:tcPr>
            <w:tcW w:type="dxa" w:w="3600"/>
          </w:tcPr>
          <w:p>
            <w:pPr>
              <w:spacing w:after="0" w:before="0" w:line="240" w:lineRule="auto"/>
              <w:jc w:val="left"/>
            </w:pPr>
            <w:r>
              <w:t>Low internal heat and favorable ambient conditions</w:t>
            </w:r>
          </w:p>
        </w:tc>
        <w:tc>
          <w:tcPr>
            <w:tcW w:type="dxa" w:w="3600"/>
          </w:tcPr>
          <w:p>
            <w:pPr>
              <w:spacing w:after="0" w:before="0" w:line="240" w:lineRule="auto"/>
              <w:jc w:val="left"/>
            </w:pPr>
            <w:r>
              <w:t>Limited heat-removal capacity</w:t>
            </w:r>
          </w:p>
        </w:tc>
      </w:tr>
      <w:tr>
        <w:tc>
          <w:tcPr>
            <w:tcW w:type="dxa" w:w="3600"/>
          </w:tcPr>
          <w:p>
            <w:pPr>
              <w:spacing w:after="0" w:before="0" w:line="240" w:lineRule="auto"/>
              <w:jc w:val="left"/>
            </w:pPr>
            <w:r>
              <w:t>Filtered fan ventilation</w:t>
            </w:r>
          </w:p>
        </w:tc>
        <w:tc>
          <w:tcPr>
            <w:tcW w:type="dxa" w:w="3600"/>
          </w:tcPr>
          <w:p>
            <w:pPr>
              <w:spacing w:after="0" w:before="0" w:line="240" w:lineRule="auto"/>
              <w:jc w:val="left"/>
            </w:pPr>
            <w:r>
              <w:t>Ambient air is sufficiently clean and cool</w:t>
            </w:r>
          </w:p>
        </w:tc>
        <w:tc>
          <w:tcPr>
            <w:tcW w:type="dxa" w:w="3600"/>
          </w:tcPr>
          <w:p>
            <w:pPr>
              <w:spacing w:after="0" w:before="0" w:line="240" w:lineRule="auto"/>
              <w:jc w:val="left"/>
            </w:pPr>
            <w:r>
              <w:t>Introduces air and contaminants into the enclosure</w:t>
            </w:r>
          </w:p>
        </w:tc>
      </w:tr>
      <w:tr>
        <w:tc>
          <w:tcPr>
            <w:tcW w:type="dxa" w:w="3600"/>
          </w:tcPr>
          <w:p>
            <w:pPr>
              <w:spacing w:after="0" w:before="0" w:line="240" w:lineRule="auto"/>
              <w:jc w:val="left"/>
            </w:pPr>
            <w:r>
              <w:t>Air-to-air heat exchanger</w:t>
            </w:r>
          </w:p>
        </w:tc>
        <w:tc>
          <w:tcPr>
            <w:tcW w:type="dxa" w:w="3600"/>
          </w:tcPr>
          <w:p>
            <w:pPr>
              <w:spacing w:after="0" w:before="0" w:line="240" w:lineRule="auto"/>
              <w:jc w:val="left"/>
            </w:pPr>
            <w:r>
              <w:t>Internal air must remain separated from ambient air</w:t>
            </w:r>
          </w:p>
        </w:tc>
        <w:tc>
          <w:tcPr>
            <w:tcW w:type="dxa" w:w="3600"/>
          </w:tcPr>
          <w:p>
            <w:pPr>
              <w:spacing w:after="0" w:before="0" w:line="240" w:lineRule="auto"/>
              <w:jc w:val="left"/>
            </w:pPr>
            <w:r>
              <w:t>Cooling depends on the temperature difference</w:t>
            </w:r>
          </w:p>
        </w:tc>
      </w:tr>
      <w:tr>
        <w:tc>
          <w:tcPr>
            <w:tcW w:type="dxa" w:w="3600"/>
          </w:tcPr>
          <w:p>
            <w:pPr>
              <w:spacing w:after="0" w:before="0" w:line="240" w:lineRule="auto"/>
              <w:jc w:val="left"/>
            </w:pPr>
            <w:r>
              <w:t>Panel air conditioner</w:t>
            </w:r>
          </w:p>
        </w:tc>
        <w:tc>
          <w:tcPr>
            <w:tcW w:type="dxa" w:w="3600"/>
          </w:tcPr>
          <w:p>
            <w:pPr>
              <w:spacing w:after="0" w:before="0" w:line="240" w:lineRule="auto"/>
              <w:jc w:val="left"/>
            </w:pPr>
            <w:r>
              <w:t>Internal temperature must remain below a defined limit</w:t>
            </w:r>
          </w:p>
        </w:tc>
        <w:tc>
          <w:tcPr>
            <w:tcW w:type="dxa" w:w="3600"/>
          </w:tcPr>
          <w:p>
            <w:pPr>
              <w:spacing w:after="0" w:before="0" w:line="240" w:lineRule="auto"/>
              <w:jc w:val="left"/>
            </w:pPr>
            <w:r>
              <w:t>Requires maintenance, power, drainage and space</w:t>
            </w:r>
          </w:p>
        </w:tc>
      </w:tr>
      <w:tr>
        <w:tc>
          <w:tcPr>
            <w:tcW w:type="dxa" w:w="3600"/>
          </w:tcPr>
          <w:p>
            <w:pPr>
              <w:spacing w:after="0" w:before="0" w:line="240" w:lineRule="auto"/>
              <w:jc w:val="left"/>
            </w:pPr>
            <w:r>
              <w:t>Liquid cooling</w:t>
            </w:r>
          </w:p>
        </w:tc>
        <w:tc>
          <w:tcPr>
            <w:tcW w:type="dxa" w:w="3600"/>
          </w:tcPr>
          <w:p>
            <w:pPr>
              <w:spacing w:after="0" w:before="0" w:line="240" w:lineRule="auto"/>
              <w:jc w:val="left"/>
            </w:pPr>
            <w:r>
              <w:t>High heat load or specialized applications</w:t>
            </w:r>
          </w:p>
        </w:tc>
        <w:tc>
          <w:tcPr>
            <w:tcW w:type="dxa" w:w="3600"/>
          </w:tcPr>
          <w:p>
            <w:pPr>
              <w:spacing w:after="0" w:before="0" w:line="240" w:lineRule="auto"/>
              <w:jc w:val="left"/>
            </w:pPr>
            <w:r>
              <w:t>Requires engineered coolant circuits and leak management</w:t>
            </w:r>
          </w:p>
        </w:tc>
      </w:tr>
    </w:tbl>
    <w:p/>
    <w:p>
      <w:r>
        <w:t>Cooling equipment must be selected for the actual heat load and worst-case ambient conditions. A fan does not solve an overheating problem if the incoming air is already too hot or the filters are clogged.</w:t>
      </w:r>
    </w:p>
    <w:p>
      <w:pPr>
        <w:pStyle w:val="Heading3"/>
      </w:pPr>
      <w:r>
        <w:t>12.4 Thermal design checks</w:t>
      </w:r>
    </w:p>
    <w:p>
      <w:pPr>
        <w:pStyle w:val="ListBullet"/>
      </w:pPr>
      <w:r>
        <w:t>Verify maximum permitted component ambient temperature.</w:t>
      </w:r>
    </w:p>
    <w:p>
      <w:pPr>
        <w:pStyle w:val="ListBullet"/>
      </w:pPr>
      <w:r>
        <w:t>Apply manufacturer derating for temperature and altitude.</w:t>
      </w:r>
    </w:p>
    <w:p>
      <w:pPr>
        <w:pStyle w:val="ListBullet"/>
      </w:pPr>
      <w:r>
        <w:t>Maintain required clearances around heat-producing equipment.</w:t>
      </w:r>
    </w:p>
    <w:p>
      <w:pPr>
        <w:pStyle w:val="ListBullet"/>
      </w:pPr>
      <w:r>
        <w:t>Avoid recirculation of hot exhaust air.</w:t>
      </w:r>
    </w:p>
    <w:p>
      <w:pPr>
        <w:pStyle w:val="ListBullet"/>
      </w:pPr>
      <w:r>
        <w:t>Consider condensation and humidity control.</w:t>
      </w:r>
    </w:p>
    <w:p>
      <w:pPr>
        <w:pStyle w:val="ListBullet"/>
      </w:pPr>
      <w:r>
        <w:t>Provide filter inspection and replacement access.</w:t>
      </w:r>
    </w:p>
    <w:p>
      <w:pPr>
        <w:pStyle w:val="ListBullet"/>
      </w:pPr>
      <w:r>
        <w:t>Confirm that cooling failure produces an appropriate alarm or controlled response where required.</w:t>
      </w:r>
    </w:p>
    <w:p>
      <w:pPr>
        <w:pStyle w:val="ListBullet"/>
      </w:pPr>
      <w:r>
        <w:t>Perform thermal inspection during representative operating conditions.</w:t>
      </w:r>
    </w:p>
    <w:p>
      <w:pPr>
        <w:pStyle w:val="Heading2"/>
      </w:pPr>
      <w:r>
        <w:t>13. Panel drawings and design documentation</w:t>
      </w:r>
    </w:p>
    <w:p>
      <w:r>
        <w:t>The panel should be buildable and maintainable using controlled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General arrangement drawing</w:t>
            </w:r>
          </w:p>
        </w:tc>
        <w:tc>
          <w:tcPr>
            <w:tcW w:type="dxa" w:w="5400"/>
          </w:tcPr>
          <w:p>
            <w:pPr>
              <w:spacing w:after="0" w:before="0" w:line="240" w:lineRule="auto"/>
              <w:jc w:val="left"/>
            </w:pPr>
            <w:r>
              <w:t>Shows enclosure dimensions and physical component positions</w:t>
            </w:r>
          </w:p>
        </w:tc>
      </w:tr>
      <w:tr>
        <w:tc>
          <w:tcPr>
            <w:tcW w:type="dxa" w:w="5400"/>
          </w:tcPr>
          <w:p>
            <w:pPr>
              <w:spacing w:after="0" w:before="0" w:line="240" w:lineRule="auto"/>
              <w:jc w:val="left"/>
            </w:pPr>
            <w:r>
              <w:t>Single-line diagram</w:t>
            </w:r>
          </w:p>
        </w:tc>
        <w:tc>
          <w:tcPr>
            <w:tcW w:type="dxa" w:w="5400"/>
          </w:tcPr>
          <w:p>
            <w:pPr>
              <w:spacing w:after="0" w:before="0" w:line="240" w:lineRule="auto"/>
              <w:jc w:val="left"/>
            </w:pPr>
            <w:r>
              <w:t>Shows incoming supply and power distribution concept</w:t>
            </w:r>
          </w:p>
        </w:tc>
      </w:tr>
      <w:tr>
        <w:tc>
          <w:tcPr>
            <w:tcW w:type="dxa" w:w="5400"/>
          </w:tcPr>
          <w:p>
            <w:pPr>
              <w:spacing w:after="0" w:before="0" w:line="240" w:lineRule="auto"/>
              <w:jc w:val="left"/>
            </w:pPr>
            <w:r>
              <w:t>Power schematic</w:t>
            </w:r>
          </w:p>
        </w:tc>
        <w:tc>
          <w:tcPr>
            <w:tcW w:type="dxa" w:w="5400"/>
          </w:tcPr>
          <w:p>
            <w:pPr>
              <w:spacing w:after="0" w:before="0" w:line="240" w:lineRule="auto"/>
              <w:jc w:val="left"/>
            </w:pPr>
            <w:r>
              <w:t>Shows power circuits, protection and load connections</w:t>
            </w:r>
          </w:p>
        </w:tc>
      </w:tr>
      <w:tr>
        <w:tc>
          <w:tcPr>
            <w:tcW w:type="dxa" w:w="5400"/>
          </w:tcPr>
          <w:p>
            <w:pPr>
              <w:spacing w:after="0" w:before="0" w:line="240" w:lineRule="auto"/>
              <w:jc w:val="left"/>
            </w:pPr>
            <w:r>
              <w:t>Control schematic</w:t>
            </w:r>
          </w:p>
        </w:tc>
        <w:tc>
          <w:tcPr>
            <w:tcW w:type="dxa" w:w="5400"/>
          </w:tcPr>
          <w:p>
            <w:pPr>
              <w:spacing w:after="0" w:before="0" w:line="240" w:lineRule="auto"/>
              <w:jc w:val="left"/>
            </w:pPr>
            <w:r>
              <w:t>Shows control logic wiring and electrical interfaces</w:t>
            </w:r>
          </w:p>
        </w:tc>
      </w:tr>
      <w:tr>
        <w:tc>
          <w:tcPr>
            <w:tcW w:type="dxa" w:w="5400"/>
          </w:tcPr>
          <w:p>
            <w:pPr>
              <w:spacing w:after="0" w:before="0" w:line="240" w:lineRule="auto"/>
              <w:jc w:val="left"/>
            </w:pPr>
            <w:r>
              <w:t>Terminal plan</w:t>
            </w:r>
          </w:p>
        </w:tc>
        <w:tc>
          <w:tcPr>
            <w:tcW w:type="dxa" w:w="5400"/>
          </w:tcPr>
          <w:p>
            <w:pPr>
              <w:spacing w:after="0" w:before="0" w:line="240" w:lineRule="auto"/>
              <w:jc w:val="left"/>
            </w:pPr>
            <w:r>
              <w:t>Defines terminal numbers and field connections</w:t>
            </w:r>
          </w:p>
        </w:tc>
      </w:tr>
      <w:tr>
        <w:tc>
          <w:tcPr>
            <w:tcW w:type="dxa" w:w="5400"/>
          </w:tcPr>
          <w:p>
            <w:pPr>
              <w:spacing w:after="0" w:before="0" w:line="240" w:lineRule="auto"/>
              <w:jc w:val="left"/>
            </w:pPr>
            <w:r>
              <w:t>I/O list</w:t>
            </w:r>
          </w:p>
        </w:tc>
        <w:tc>
          <w:tcPr>
            <w:tcW w:type="dxa" w:w="5400"/>
          </w:tcPr>
          <w:p>
            <w:pPr>
              <w:spacing w:after="0" w:before="0" w:line="240" w:lineRule="auto"/>
              <w:jc w:val="left"/>
            </w:pPr>
            <w:r>
              <w:t>Maps field signals to controller channels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Defines cables between equipment and termination points</w:t>
            </w:r>
          </w:p>
        </w:tc>
      </w:tr>
      <w:tr>
        <w:tc>
          <w:tcPr>
            <w:tcW w:type="dxa" w:w="5400"/>
          </w:tcPr>
          <w:p>
            <w:pPr>
              <w:spacing w:after="0" w:before="0" w:line="240" w:lineRule="auto"/>
              <w:jc w:val="left"/>
            </w:pPr>
            <w:r>
              <w:t>Bill of materials</w:t>
            </w:r>
          </w:p>
        </w:tc>
        <w:tc>
          <w:tcPr>
            <w:tcW w:type="dxa" w:w="5400"/>
          </w:tcPr>
          <w:p>
            <w:pPr>
              <w:spacing w:after="0" w:before="0" w:line="240" w:lineRule="auto"/>
              <w:jc w:val="left"/>
            </w:pPr>
            <w:r>
              <w:t>Lists approved parts, quantities and identifiers</w:t>
            </w:r>
          </w:p>
        </w:tc>
      </w:tr>
      <w:tr>
        <w:tc>
          <w:tcPr>
            <w:tcW w:type="dxa" w:w="5400"/>
          </w:tcPr>
          <w:p>
            <w:pPr>
              <w:spacing w:after="0" w:before="0" w:line="240" w:lineRule="auto"/>
              <w:jc w:val="left"/>
            </w:pPr>
            <w:r>
              <w:t>Network diagram</w:t>
            </w:r>
          </w:p>
        </w:tc>
        <w:tc>
          <w:tcPr>
            <w:tcW w:type="dxa" w:w="5400"/>
          </w:tcPr>
          <w:p>
            <w:pPr>
              <w:spacing w:after="0" w:before="0" w:line="240" w:lineRule="auto"/>
              <w:jc w:val="left"/>
            </w:pPr>
            <w:r>
              <w:t>Shows industrial communication connections</w:t>
            </w:r>
          </w:p>
        </w:tc>
      </w:tr>
      <w:tr>
        <w:tc>
          <w:tcPr>
            <w:tcW w:type="dxa" w:w="5400"/>
          </w:tcPr>
          <w:p>
            <w:pPr>
              <w:spacing w:after="0" w:before="0" w:line="240" w:lineRule="auto"/>
              <w:jc w:val="left"/>
            </w:pPr>
            <w:r>
              <w:t>Earthing and bonding drawing</w:t>
            </w:r>
          </w:p>
        </w:tc>
        <w:tc>
          <w:tcPr>
            <w:tcW w:type="dxa" w:w="5400"/>
          </w:tcPr>
          <w:p>
            <w:pPr>
              <w:spacing w:after="0" w:before="0" w:line="240" w:lineRule="auto"/>
              <w:jc w:val="left"/>
            </w:pPr>
            <w:r>
              <w:t>Identifies PE and bonding arrangements</w:t>
            </w:r>
          </w:p>
        </w:tc>
      </w:tr>
      <w:tr>
        <w:tc>
          <w:tcPr>
            <w:tcW w:type="dxa" w:w="5400"/>
          </w:tcPr>
          <w:p>
            <w:pPr>
              <w:spacing w:after="0" w:before="0" w:line="240" w:lineRule="auto"/>
              <w:jc w:val="left"/>
            </w:pPr>
            <w:r>
              <w:t>Heat calculation</w:t>
            </w:r>
          </w:p>
        </w:tc>
        <w:tc>
          <w:tcPr>
            <w:tcW w:type="dxa" w:w="5400"/>
          </w:tcPr>
          <w:p>
            <w:pPr>
              <w:spacing w:after="0" w:before="0" w:line="240" w:lineRule="auto"/>
              <w:jc w:val="left"/>
            </w:pPr>
            <w:r>
              <w:t>Records component losses and thermal design assumptions</w:t>
            </w:r>
          </w:p>
        </w:tc>
      </w:tr>
      <w:tr>
        <w:tc>
          <w:tcPr>
            <w:tcW w:type="dxa" w:w="5400"/>
          </w:tcPr>
          <w:p>
            <w:pPr>
              <w:spacing w:after="0" w:before="0" w:line="240" w:lineRule="auto"/>
              <w:jc w:val="left"/>
            </w:pPr>
            <w:r>
              <w:t>Nameplate schedule</w:t>
            </w:r>
          </w:p>
        </w:tc>
        <w:tc>
          <w:tcPr>
            <w:tcW w:type="dxa" w:w="5400"/>
          </w:tcPr>
          <w:p>
            <w:pPr>
              <w:spacing w:after="0" w:before="0" w:line="240" w:lineRule="auto"/>
              <w:jc w:val="left"/>
            </w:pPr>
            <w:r>
              <w:t>Defines panel and equipment identification</w:t>
            </w:r>
          </w:p>
        </w:tc>
      </w:tr>
      <w:tr>
        <w:tc>
          <w:tcPr>
            <w:tcW w:type="dxa" w:w="5400"/>
          </w:tcPr>
          <w:p>
            <w:pPr>
              <w:spacing w:after="0" w:before="0" w:line="240" w:lineRule="auto"/>
              <w:jc w:val="left"/>
            </w:pPr>
            <w:r>
              <w:t>Inspection and test records</w:t>
            </w:r>
          </w:p>
        </w:tc>
        <w:tc>
          <w:tcPr>
            <w:tcW w:type="dxa" w:w="5400"/>
          </w:tcPr>
          <w:p>
            <w:pPr>
              <w:spacing w:after="0" w:before="0" w:line="240" w:lineRule="auto"/>
              <w:jc w:val="left"/>
            </w:pPr>
            <w:r>
              <w:t>Demonstrates required checks and results</w:t>
            </w:r>
          </w:p>
        </w:tc>
      </w:tr>
      <w:tr>
        <w:tc>
          <w:tcPr>
            <w:tcW w:type="dxa" w:w="5400"/>
          </w:tcPr>
          <w:p>
            <w:pPr>
              <w:spacing w:after="0" w:before="0" w:line="240" w:lineRule="auto"/>
              <w:jc w:val="left"/>
            </w:pPr>
            <w:r>
              <w:t>As-built drawing set</w:t>
            </w:r>
          </w:p>
        </w:tc>
        <w:tc>
          <w:tcPr>
            <w:tcW w:type="dxa" w:w="5400"/>
          </w:tcPr>
          <w:p>
            <w:pPr>
              <w:spacing w:after="0" w:before="0" w:line="240" w:lineRule="auto"/>
              <w:jc w:val="left"/>
            </w:pPr>
            <w:r>
              <w:t>Records the final installed configuration</w:t>
            </w:r>
          </w:p>
        </w:tc>
      </w:tr>
    </w:tbl>
    <w:p/>
    <w:p>
      <w:r>
        <w:t>The cable schedule is the next study topic. Here, it is sufficient to recognize that panel terminal numbering, cable identifiers, core assignments, and external equipment references must remain consistent across the drawings.</w:t>
      </w:r>
    </w:p>
    <w:p>
      <w:pPr>
        <w:pStyle w:val="Heading3"/>
      </w:pPr>
      <w:r>
        <w:t>Revision control</w:t>
      </w:r>
    </w:p>
    <w:p>
      <w:r>
        <w:t>Every released document should have a document number, revision, date, and approval status according to the project procedure. Field changes must be assessed for safety and technical impact, then reflected in the controlled as-built documentation.</w:t>
      </w:r>
    </w:p>
    <w:p>
      <w:pPr>
        <w:pStyle w:val="Heading2"/>
      </w:pPr>
      <w:r>
        <w:t>14. Bill of materials and component identification</w:t>
      </w:r>
    </w:p>
    <w:p>
      <w:r>
        <w:t>A useful BOM includes more than a component name and quantity.</w:t>
      </w:r>
    </w:p>
    <w:p>
      <w:r>
        <w:t>Recommended fields include:</w:t>
      </w:r>
    </w:p>
    <w:p>
      <w:pPr>
        <w:pStyle w:val="ListBullet"/>
      </w:pPr>
      <w:r>
        <w:t>Item number and tag designation.</w:t>
      </w:r>
    </w:p>
    <w:p>
      <w:pPr>
        <w:pStyle w:val="ListBullet"/>
      </w:pPr>
      <w:r>
        <w:t>Manufacturer and exact part number.</w:t>
      </w:r>
    </w:p>
    <w:p>
      <w:pPr>
        <w:pStyle w:val="ListBullet"/>
      </w:pPr>
      <w:r>
        <w:t>Description and technical rating.</w:t>
      </w:r>
    </w:p>
    <w:p>
      <w:pPr>
        <w:pStyle w:val="ListBullet"/>
      </w:pPr>
      <w:r>
        <w:t>Quantity and unit of measure.</w:t>
      </w:r>
    </w:p>
    <w:p>
      <w:pPr>
        <w:pStyle w:val="ListBullet"/>
      </w:pPr>
      <w:r>
        <w:t>Approved alternative or successor part, where authorized.</w:t>
      </w:r>
    </w:p>
    <w:p>
      <w:pPr>
        <w:pStyle w:val="ListBullet"/>
      </w:pPr>
      <w:r>
        <w:t>Mounting and accessory requirements.</w:t>
      </w:r>
    </w:p>
    <w:p>
      <w:pPr>
        <w:pStyle w:val="ListBullet"/>
      </w:pPr>
      <w:r>
        <w:t>Critical spare classification.</w:t>
      </w:r>
    </w:p>
    <w:p>
      <w:pPr>
        <w:pStyle w:val="ListBullet"/>
      </w:pPr>
      <w:r>
        <w:t>Procurement status and lifecycle status.</w:t>
      </w:r>
    </w:p>
    <w:p>
      <w:pPr>
        <w:pStyle w:val="ListBullet"/>
      </w:pPr>
      <w:r>
        <w:t>Datasheet reference and revision.</w:t>
      </w:r>
    </w:p>
    <w:p>
      <w:r>
        <w:t xml:space="preserve">Component tags should correspond to the electrical drawings and physical labels. For example, </w:t>
      </w:r>
      <w:r>
        <w:rPr>
          <w:rFonts w:ascii="Consolas" w:hAnsi="Consolas"/>
          <w:color w:val="333333"/>
          <w:sz w:val="19"/>
          <w:shd w:val="clear" w:color="auto" w:fill="EFEFEF"/>
        </w:rPr>
        <w:t>-QF1</w:t>
      </w:r>
      <w:r>
        <w:t xml:space="preserve"> may identify a protective device and </w:t>
      </w:r>
      <w:r>
        <w:rPr>
          <w:rFonts w:ascii="Consolas" w:hAnsi="Consolas"/>
          <w:color w:val="333333"/>
          <w:sz w:val="19"/>
          <w:shd w:val="clear" w:color="auto" w:fill="EFEFEF"/>
        </w:rPr>
        <w:t>-PS1</w:t>
      </w:r>
      <w:r>
        <w:t xml:space="preserve"> a power supply, but the actual designation scheme must follow the project's chosen standard.</w:t>
      </w:r>
    </w:p>
    <w:p>
      <w:r>
        <w:t>Never silently substitute an apparently equivalent component. Confirm its electrical ratings, dimensions, terminal arrangement, approvals, fault coordination, software compatibility, and effect on the documentation.</w:t>
      </w:r>
    </w:p>
    <w:p>
      <w:pPr>
        <w:pStyle w:val="Heading2"/>
      </w:pPr>
      <w:r>
        <w:t>15. Panel assembly and workmanship</w:t>
      </w:r>
    </w:p>
    <w:p>
      <w:r>
        <w:t>A sound design can still fail through poor fabrication or wiring.</w:t>
      </w:r>
    </w:p>
    <w:p>
      <w:pPr>
        <w:pStyle w:val="Heading3"/>
      </w:pPr>
      <w:r>
        <w:t>Assembly controls</w:t>
      </w:r>
    </w:p>
    <w:p>
      <w:pPr>
        <w:pStyle w:val="ListBullet"/>
      </w:pPr>
      <w:r>
        <w:t>Verify the enclosure and mounting plate against the released GA drawing.</w:t>
      </w:r>
    </w:p>
    <w:p>
      <w:pPr>
        <w:pStyle w:val="ListBullet"/>
      </w:pPr>
      <w:r>
        <w:t>Confirm component part numbers before installation.</w:t>
      </w:r>
    </w:p>
    <w:p>
      <w:pPr>
        <w:pStyle w:val="ListBullet"/>
      </w:pPr>
      <w:r>
        <w:t>Inspect cut-outs, gland plates, and mounting hardware for damage and contamination.</w:t>
      </w:r>
    </w:p>
    <w:p>
      <w:pPr>
        <w:pStyle w:val="ListBullet"/>
      </w:pPr>
      <w:r>
        <w:t>Fit ducts, DIN rails, mounting plates, and bonding connections correctly.</w:t>
      </w:r>
    </w:p>
    <w:p>
      <w:pPr>
        <w:pStyle w:val="ListBullet"/>
      </w:pPr>
      <w:r>
        <w:t>Keep power, control, safety, and communication wiring organized according to the design.</w:t>
      </w:r>
    </w:p>
    <w:p>
      <w:pPr>
        <w:pStyle w:val="ListBullet"/>
      </w:pPr>
      <w:r>
        <w:t>Use the specified wire size, insulation rating, ferrules, terminals, and accessories.</w:t>
      </w:r>
    </w:p>
    <w:p>
      <w:pPr>
        <w:pStyle w:val="ListBullet"/>
      </w:pPr>
      <w:r>
        <w:t>Tighten connections to the manufacturer's specified torque using suitable tools.</w:t>
      </w:r>
    </w:p>
    <w:p>
      <w:pPr>
        <w:pStyle w:val="ListBullet"/>
      </w:pPr>
      <w:r>
        <w:t>Record critical torque checks when required by the quality plan.</w:t>
      </w:r>
    </w:p>
    <w:p>
      <w:pPr>
        <w:pStyle w:val="ListBullet"/>
      </w:pPr>
      <w:r>
        <w:t>Label components, wires, terminals, and external interfaces.</w:t>
      </w:r>
    </w:p>
    <w:p>
      <w:pPr>
        <w:pStyle w:val="ListBullet"/>
      </w:pPr>
      <w:r>
        <w:t>Remove wire fragments, metal swarf, loose hardware, and other conductive debris.</w:t>
      </w:r>
    </w:p>
    <w:p>
      <w:pPr>
        <w:pStyle w:val="ListBullet"/>
      </w:pPr>
      <w:r>
        <w:t>Verify that doors, locks, interlocks, seals, fans, and filters operate correctly.</w:t>
      </w:r>
    </w:p>
    <w:p>
      <w:pPr>
        <w:pStyle w:val="ListBullet"/>
      </w:pPr>
      <w:r>
        <w:t>Ensure that wiring does not obstruct ventilation, terminal access, or component removal.</w:t>
      </w:r>
    </w:p>
    <w:p>
      <w:r>
        <w:t>Do not perform routine retightening indiscriminately. Some terminals have specific maintenance requirements, and unnecessary retightening can damage the connection.</w:t>
      </w:r>
    </w:p>
    <w:p>
      <w:pPr>
        <w:pStyle w:val="Heading2"/>
      </w:pPr>
      <w:r>
        <w:t>16. Inspection, testing, and FAT</w:t>
      </w:r>
    </w:p>
    <w:p>
      <w:r>
        <w:t>The test plan must be established before testing begins. Test methods and acceptance criteria depend on the applicable standard, assembly type, manufacturer instructions, and project specification.</w:t>
      </w:r>
    </w:p>
    <w:p>
      <w:pPr>
        <w:pStyle w:val="Heading3"/>
      </w:pPr>
      <w:r>
        <w:t>16.1 Inspection checklist</w:t>
      </w:r>
    </w:p>
    <w:p>
      <w:pPr>
        <w:pStyle w:val="ListBullet"/>
      </w:pPr>
      <w:r>
        <w:t>Enclosure dimensions, protection rating, and mounting arrangement verified.</w:t>
      </w:r>
    </w:p>
    <w:p>
      <w:pPr>
        <w:pStyle w:val="ListBullet"/>
      </w:pPr>
      <w:r>
        <w:t>Components match the approved BOM and drawings.</w:t>
      </w:r>
    </w:p>
    <w:p>
      <w:pPr>
        <w:pStyle w:val="ListBullet"/>
      </w:pPr>
      <w:r>
        <w:t>Protective devices and conductor sizes verified.</w:t>
      </w:r>
    </w:p>
    <w:p>
      <w:pPr>
        <w:pStyle w:val="ListBullet"/>
      </w:pPr>
      <w:r>
        <w:t>Wire numbers, terminal numbers, and component labels verified.</w:t>
      </w:r>
    </w:p>
    <w:p>
      <w:pPr>
        <w:pStyle w:val="ListBullet"/>
      </w:pPr>
      <w:r>
        <w:t>Wiring segregation and EMC practices checked.</w:t>
      </w:r>
    </w:p>
    <w:p>
      <w:pPr>
        <w:pStyle w:val="ListBullet"/>
      </w:pPr>
      <w:r>
        <w:t>Protective earth and bonding connections inspected.</w:t>
      </w:r>
    </w:p>
    <w:p>
      <w:pPr>
        <w:pStyle w:val="ListBullet"/>
      </w:pPr>
      <w:r>
        <w:t>Terminal tightness checked according to the specified procedure.</w:t>
      </w:r>
    </w:p>
    <w:p>
      <w:pPr>
        <w:pStyle w:val="ListBullet"/>
      </w:pPr>
      <w:r>
        <w:t>Cable glands, seals, covers, and ventilation components checked.</w:t>
      </w:r>
    </w:p>
    <w:p>
      <w:pPr>
        <w:pStyle w:val="ListBullet"/>
      </w:pPr>
      <w:r>
        <w:t>Spare terminals, channels, and expansion provisions match the design.</w:t>
      </w:r>
    </w:p>
    <w:p>
      <w:pPr>
        <w:pStyle w:val="ListBullet"/>
      </w:pPr>
      <w:r>
        <w:t>Drawing revisions correspond to the panel under inspection.</w:t>
      </w:r>
    </w:p>
    <w:p>
      <w:pPr>
        <w:pStyle w:val="Heading3"/>
      </w:pPr>
      <w:r>
        <w:t>16.2 Electrical verification</w:t>
      </w:r>
    </w:p>
    <w:p>
      <w:r>
        <w:t>Potential tests include:</w:t>
      </w:r>
    </w:p>
    <w:p>
      <w:pPr>
        <w:pStyle w:val="ListBullet"/>
      </w:pPr>
      <w:r>
        <w:t>Protective-bonding continuity.</w:t>
      </w:r>
    </w:p>
    <w:p>
      <w:pPr>
        <w:pStyle w:val="ListBullet"/>
      </w:pPr>
      <w:r>
        <w:t>Insulation resistance where required and appropriate.</w:t>
      </w:r>
    </w:p>
    <w:p>
      <w:pPr>
        <w:pStyle w:val="ListBullet"/>
      </w:pPr>
      <w:r>
        <w:t>Dielectric withstand testing where applicable.</w:t>
      </w:r>
    </w:p>
    <w:p>
      <w:pPr>
        <w:pStyle w:val="ListBullet"/>
      </w:pPr>
      <w:r>
        <w:t>Supply polarity, phase sequence, and voltage checks.</w:t>
      </w:r>
    </w:p>
    <w:p>
      <w:pPr>
        <w:pStyle w:val="ListBullet"/>
      </w:pPr>
      <w:r>
        <w:t>Protective-device and control-circuit verification.</w:t>
      </w:r>
    </w:p>
    <w:p>
      <w:pPr>
        <w:pStyle w:val="ListBullet"/>
      </w:pPr>
      <w:r>
        <w:t>Functional operation of isolators, contactors, relays, and interlocks.</w:t>
      </w:r>
    </w:p>
    <w:p>
      <w:pPr>
        <w:pStyle w:val="ListBullet"/>
      </w:pPr>
      <w:r>
        <w:t>Verification of 24 VDC supply voltage and polarity.</w:t>
      </w:r>
    </w:p>
    <w:p>
      <w:pPr>
        <w:pStyle w:val="ListBullet"/>
      </w:pPr>
      <w:r>
        <w:t>Communication and controller diagnostics.</w:t>
      </w:r>
    </w:p>
    <w:p>
      <w:pPr>
        <w:pStyle w:val="ListBullet"/>
      </w:pPr>
      <w:r>
        <w:t>Safety-function verification according to the approved validation plan.</w:t>
      </w:r>
    </w:p>
    <w:p>
      <w:r>
        <w:t>Important: Insulation-resistance and dielectric tests can damage electronic devices if applied without the required precautions. Isolate or disconnect PLCs, drives, power supplies, filters, surge protection devices, and other sensitive equipment as specified by the applicable test procedure and manufacturer. Never improvise test voltages or test connections.</w:t>
      </w:r>
    </w:p>
    <w:p>
      <w:pPr>
        <w:pStyle w:val="Heading3"/>
      </w:pPr>
      <w:r>
        <w:t>16.3 Factory Acceptance Test</w:t>
      </w:r>
    </w:p>
    <w:p>
      <w:r>
        <w:t>The FAT should verify that the panel matches the approved design and performs the required functions before shipment.</w:t>
      </w:r>
    </w:p>
    <w:p>
      <w:r>
        <w:t>A practical FAT sequence is:</w:t>
      </w:r>
    </w:p>
    <w:p>
      <w:pPr>
        <w:tabs>
          <w:tab w:pos="403" w:val="left"/>
        </w:tabs>
        <w:spacing w:after="40" w:line="276" w:lineRule="auto"/>
        <w:ind w:left="403" w:hanging="403"/>
        <w:jc w:val="left"/>
      </w:pPr>
      <w:r>
        <w:rPr>
          <w:color w:val="1A2E4A"/>
        </w:rPr>
        <w:t>1.</w:t>
        <w:tab/>
      </w:r>
      <w:r>
        <w:t>Document and visual inspection.</w:t>
      </w:r>
    </w:p>
    <w:p>
      <w:pPr>
        <w:tabs>
          <w:tab w:pos="403" w:val="left"/>
        </w:tabs>
        <w:spacing w:after="40" w:line="276" w:lineRule="auto"/>
        <w:ind w:left="403" w:hanging="403"/>
        <w:jc w:val="left"/>
      </w:pPr>
      <w:r>
        <w:rPr>
          <w:color w:val="1A2E4A"/>
        </w:rPr>
        <w:t>2.</w:t>
        <w:tab/>
      </w:r>
      <w:r>
        <w:t>Verification of electrical assembly and protective bonding.</w:t>
      </w:r>
    </w:p>
    <w:p>
      <w:pPr>
        <w:tabs>
          <w:tab w:pos="403" w:val="left"/>
        </w:tabs>
        <w:spacing w:after="40" w:line="276" w:lineRule="auto"/>
        <w:ind w:left="403" w:hanging="403"/>
        <w:jc w:val="left"/>
      </w:pPr>
      <w:r>
        <w:rPr>
          <w:color w:val="1A2E4A"/>
        </w:rPr>
        <w:t>3.</w:t>
        <w:tab/>
      </w:r>
      <w:r>
        <w:t>Approved electrical tests.</w:t>
      </w:r>
    </w:p>
    <w:p>
      <w:pPr>
        <w:tabs>
          <w:tab w:pos="403" w:val="left"/>
        </w:tabs>
        <w:spacing w:after="40" w:line="276" w:lineRule="auto"/>
        <w:ind w:left="403" w:hanging="403"/>
        <w:jc w:val="left"/>
      </w:pPr>
      <w:r>
        <w:rPr>
          <w:color w:val="1A2E4A"/>
        </w:rPr>
        <w:t>4.</w:t>
        <w:tab/>
      </w:r>
      <w:r>
        <w:t>Power-up checks and verification of supply voltages.</w:t>
      </w:r>
    </w:p>
    <w:p>
      <w:pPr>
        <w:tabs>
          <w:tab w:pos="403" w:val="left"/>
        </w:tabs>
        <w:spacing w:after="40" w:line="276" w:lineRule="auto"/>
        <w:ind w:left="403" w:hanging="403"/>
        <w:jc w:val="left"/>
      </w:pPr>
      <w:r>
        <w:rPr>
          <w:color w:val="1A2E4A"/>
        </w:rPr>
        <w:t>5.</w:t>
        <w:tab/>
      </w:r>
      <w:r>
        <w:t>PLC, HMI, network, and I/O checks using the approved test setup.</w:t>
      </w:r>
    </w:p>
    <w:p>
      <w:pPr>
        <w:tabs>
          <w:tab w:pos="403" w:val="left"/>
        </w:tabs>
        <w:spacing w:after="40" w:line="276" w:lineRule="auto"/>
        <w:ind w:left="403" w:hanging="403"/>
        <w:jc w:val="left"/>
      </w:pPr>
      <w:r>
        <w:rPr>
          <w:color w:val="1A2E4A"/>
        </w:rPr>
        <w:t>6.</w:t>
        <w:tab/>
      </w:r>
      <w:r>
        <w:t>Verification of alarms, interlocks, operating modes, and fault responses.</w:t>
      </w:r>
    </w:p>
    <w:p>
      <w:pPr>
        <w:tabs>
          <w:tab w:pos="403" w:val="left"/>
        </w:tabs>
        <w:spacing w:after="40" w:line="276" w:lineRule="auto"/>
        <w:ind w:left="403" w:hanging="403"/>
        <w:jc w:val="left"/>
      </w:pPr>
      <w:r>
        <w:rPr>
          <w:color w:val="1A2E4A"/>
        </w:rPr>
        <w:t>7.</w:t>
        <w:tab/>
      </w:r>
      <w:r>
        <w:t>Safety-function tests according to the approved safety validation procedure.</w:t>
      </w:r>
    </w:p>
    <w:p>
      <w:pPr>
        <w:tabs>
          <w:tab w:pos="403" w:val="left"/>
        </w:tabs>
        <w:spacing w:after="40" w:line="276" w:lineRule="auto"/>
        <w:ind w:left="403" w:hanging="403"/>
        <w:jc w:val="left"/>
      </w:pPr>
      <w:r>
        <w:rPr>
          <w:color w:val="1A2E4A"/>
        </w:rPr>
        <w:t>8.</w:t>
        <w:tab/>
      </w:r>
      <w:r>
        <w:t>Recording of test results, deviations, corrective actions, and approvals.</w:t>
      </w:r>
    </w:p>
    <w:p>
      <w:r>
        <w:t>A panel FAT cannot prove every function of the completed machine. Field wiring, external devices, machine mechanics, and integrated safety functions may require further testing during site acceptance testing (SAT).</w:t>
      </w:r>
    </w:p>
    <w:p>
      <w:pPr>
        <w:pStyle w:val="Heading2"/>
      </w:pPr>
      <w:r>
        <w:t>17. Commissioning and handover</w:t>
      </w:r>
    </w:p>
    <w:p>
      <w:r>
        <w:t>Before energization, verify that installation conditions match the approved design, all relevant protective measures are in place, and authorized personnel follow the site's electrical safety and isolation procedures.</w:t>
      </w:r>
    </w:p>
    <w:p>
      <w:pPr>
        <w:pStyle w:val="Heading3"/>
      </w:pPr>
      <w:r>
        <w:t>Commissioning checks</w:t>
      </w:r>
    </w:p>
    <w:p>
      <w:pPr>
        <w:pStyle w:val="ListBullet"/>
      </w:pPr>
      <w:r>
        <w:t>Confirm supply voltage, phase arrangement, and earthing.</w:t>
      </w:r>
    </w:p>
    <w:p>
      <w:pPr>
        <w:pStyle w:val="ListBullet"/>
      </w:pPr>
      <w:r>
        <w:t>Check incoming and outgoing terminations.</w:t>
      </w:r>
    </w:p>
    <w:p>
      <w:pPr>
        <w:pStyle w:val="ListBullet"/>
      </w:pPr>
      <w:r>
        <w:t>Verify protective-device settings against approved calculations.</w:t>
      </w:r>
    </w:p>
    <w:p>
      <w:pPr>
        <w:pStyle w:val="ListBullet"/>
      </w:pPr>
      <w:r>
        <w:t>Check control power and field supply voltages.</w:t>
      </w:r>
    </w:p>
    <w:p>
      <w:pPr>
        <w:pStyle w:val="ListBullet"/>
      </w:pPr>
      <w:r>
        <w:t>Confirm that field terminals match the wiring drawings.</w:t>
      </w:r>
    </w:p>
    <w:p>
      <w:pPr>
        <w:pStyle w:val="ListBullet"/>
      </w:pPr>
      <w:r>
        <w:t>Check communication links and device addressing.</w:t>
      </w:r>
    </w:p>
    <w:p>
      <w:pPr>
        <w:pStyle w:val="ListBullet"/>
      </w:pPr>
      <w:r>
        <w:t>Verify PLC and HMI program versions.</w:t>
      </w:r>
    </w:p>
    <w:p>
      <w:pPr>
        <w:pStyle w:val="ListBullet"/>
      </w:pPr>
      <w:r>
        <w:t>Confirm that alarms, interlocks, and safety functions behave as intended.</w:t>
      </w:r>
    </w:p>
    <w:p>
      <w:pPr>
        <w:pStyle w:val="ListBullet"/>
      </w:pPr>
      <w:r>
        <w:t>Record abnormal heating, vibration, noise, or nuisance trips.</w:t>
      </w:r>
    </w:p>
    <w:p>
      <w:pPr>
        <w:pStyle w:val="ListBullet"/>
      </w:pPr>
      <w:r>
        <w:t>Update the drawings and configuration backups following approved changes.</w:t>
      </w:r>
    </w:p>
    <w:p>
      <w:pPr>
        <w:pStyle w:val="Heading3"/>
      </w:pPr>
      <w:r>
        <w:t>Handover package</w:t>
      </w:r>
    </w:p>
    <w:p>
      <w:r>
        <w:t>The handover should include the approved as-built drawings, BOM, component datasheets, applicable test certificates and reports, safety-related documentation, software backups, network information, maintenance instructions, and spare-parts recommendations.</w:t>
      </w:r>
    </w:p>
    <w:p>
      <w:r>
        <w:t>Passwords and security-sensitive configuration data must be handled according to the organization's access-control and cybersecurity procedures.</w:t>
      </w:r>
    </w:p>
    <w:p>
      <w:pPr>
        <w:pStyle w:val="Heading2"/>
      </w:pPr>
      <w:r>
        <w:t>18. Maintenance and lifecycle management</w:t>
      </w:r>
    </w:p>
    <w:p>
      <w:r>
        <w:t>Panel maintenance should be risk-based and follow the equipment manufacturer's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Maintenance 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Visual inspection</w:t>
            </w:r>
          </w:p>
        </w:tc>
        <w:tc>
          <w:tcPr>
            <w:tcW w:type="dxa" w:w="5400"/>
          </w:tcPr>
          <w:p>
            <w:pPr>
              <w:spacing w:after="0" w:before="0" w:line="240" w:lineRule="auto"/>
              <w:jc w:val="left"/>
            </w:pPr>
            <w:r>
              <w:t>Detect damage, contamination, corrosion and loose covers</w:t>
            </w:r>
          </w:p>
        </w:tc>
      </w:tr>
      <w:tr>
        <w:tc>
          <w:tcPr>
            <w:tcW w:type="dxa" w:w="5400"/>
          </w:tcPr>
          <w:p>
            <w:pPr>
              <w:spacing w:after="0" w:before="0" w:line="240" w:lineRule="auto"/>
              <w:jc w:val="left"/>
            </w:pPr>
            <w:r>
              <w:t>Thermal inspection</w:t>
            </w:r>
          </w:p>
        </w:tc>
        <w:tc>
          <w:tcPr>
            <w:tcW w:type="dxa" w:w="5400"/>
          </w:tcPr>
          <w:p>
            <w:pPr>
              <w:spacing w:after="0" w:before="0" w:line="240" w:lineRule="auto"/>
              <w:jc w:val="left"/>
            </w:pPr>
            <w:r>
              <w:t>Identify abnormal heating and connection hot spots</w:t>
            </w:r>
          </w:p>
        </w:tc>
      </w:tr>
      <w:tr>
        <w:tc>
          <w:tcPr>
            <w:tcW w:type="dxa" w:w="5400"/>
          </w:tcPr>
          <w:p>
            <w:pPr>
              <w:spacing w:after="0" w:before="0" w:line="240" w:lineRule="auto"/>
              <w:jc w:val="left"/>
            </w:pPr>
            <w:r>
              <w:t>Cooling-system inspection</w:t>
            </w:r>
          </w:p>
        </w:tc>
        <w:tc>
          <w:tcPr>
            <w:tcW w:type="dxa" w:w="5400"/>
          </w:tcPr>
          <w:p>
            <w:pPr>
              <w:spacing w:after="0" w:before="0" w:line="240" w:lineRule="auto"/>
              <w:jc w:val="left"/>
            </w:pPr>
            <w:r>
              <w:t>Check filters, fans, air conditioners and heat exchangers</w:t>
            </w:r>
          </w:p>
        </w:tc>
      </w:tr>
      <w:tr>
        <w:tc>
          <w:tcPr>
            <w:tcW w:type="dxa" w:w="5400"/>
          </w:tcPr>
          <w:p>
            <w:pPr>
              <w:spacing w:after="0" w:before="0" w:line="240" w:lineRule="auto"/>
              <w:jc w:val="left"/>
            </w:pPr>
            <w:r>
              <w:t>Wiring and terminal inspection</w:t>
            </w:r>
          </w:p>
        </w:tc>
        <w:tc>
          <w:tcPr>
            <w:tcW w:type="dxa" w:w="5400"/>
          </w:tcPr>
          <w:p>
            <w:pPr>
              <w:spacing w:after="0" w:before="0" w:line="240" w:lineRule="auto"/>
              <w:jc w:val="left"/>
            </w:pPr>
            <w:r>
              <w:t>Identify damage, discoloration and mechanical strain</w:t>
            </w:r>
          </w:p>
        </w:tc>
      </w:tr>
      <w:tr>
        <w:tc>
          <w:tcPr>
            <w:tcW w:type="dxa" w:w="5400"/>
          </w:tcPr>
          <w:p>
            <w:pPr>
              <w:spacing w:after="0" w:before="0" w:line="240" w:lineRule="auto"/>
              <w:jc w:val="left"/>
            </w:pPr>
            <w:r>
              <w:t>Protective-device review</w:t>
            </w:r>
          </w:p>
        </w:tc>
        <w:tc>
          <w:tcPr>
            <w:tcW w:type="dxa" w:w="5400"/>
          </w:tcPr>
          <w:p>
            <w:pPr>
              <w:spacing w:after="0" w:before="0" w:line="240" w:lineRule="auto"/>
              <w:jc w:val="left"/>
            </w:pPr>
            <w:r>
              <w:t>Confirm settings, condition and replacement status</w:t>
            </w:r>
          </w:p>
        </w:tc>
      </w:tr>
      <w:tr>
        <w:tc>
          <w:tcPr>
            <w:tcW w:type="dxa" w:w="5400"/>
          </w:tcPr>
          <w:p>
            <w:pPr>
              <w:spacing w:after="0" w:before="0" w:line="240" w:lineRule="auto"/>
              <w:jc w:val="left"/>
            </w:pPr>
            <w:r>
              <w:t>Backup verification</w:t>
            </w:r>
          </w:p>
        </w:tc>
        <w:tc>
          <w:tcPr>
            <w:tcW w:type="dxa" w:w="5400"/>
          </w:tcPr>
          <w:p>
            <w:pPr>
              <w:spacing w:after="0" w:before="0" w:line="240" w:lineRule="auto"/>
              <w:jc w:val="left"/>
            </w:pPr>
            <w:r>
              <w:t>Ensure PLC, HMI, drive and configuration backups are usable</w:t>
            </w:r>
          </w:p>
        </w:tc>
      </w:tr>
      <w:tr>
        <w:tc>
          <w:tcPr>
            <w:tcW w:type="dxa" w:w="5400"/>
          </w:tcPr>
          <w:p>
            <w:pPr>
              <w:spacing w:after="0" w:before="0" w:line="240" w:lineRule="auto"/>
              <w:jc w:val="left"/>
            </w:pPr>
            <w:r>
              <w:t>Obsolescence review</w:t>
            </w:r>
          </w:p>
        </w:tc>
        <w:tc>
          <w:tcPr>
            <w:tcW w:type="dxa" w:w="5400"/>
          </w:tcPr>
          <w:p>
            <w:pPr>
              <w:spacing w:after="0" w:before="0" w:line="240" w:lineRule="auto"/>
              <w:jc w:val="left"/>
            </w:pPr>
            <w:r>
              <w:t>Identify discontinued components and approved migration options</w:t>
            </w:r>
          </w:p>
        </w:tc>
      </w:tr>
      <w:tr>
        <w:tc>
          <w:tcPr>
            <w:tcW w:type="dxa" w:w="5400"/>
          </w:tcPr>
          <w:p>
            <w:pPr>
              <w:spacing w:after="0" w:before="0" w:line="240" w:lineRule="auto"/>
              <w:jc w:val="left"/>
            </w:pPr>
            <w:r>
              <w:t>Drawing audit</w:t>
            </w:r>
          </w:p>
        </w:tc>
        <w:tc>
          <w:tcPr>
            <w:tcW w:type="dxa" w:w="5400"/>
          </w:tcPr>
          <w:p>
            <w:pPr>
              <w:spacing w:after="0" w:before="0" w:line="240" w:lineRule="auto"/>
              <w:jc w:val="left"/>
            </w:pPr>
            <w:r>
              <w:t>Confirm that the documents match the installed panel</w:t>
            </w:r>
          </w:p>
        </w:tc>
      </w:tr>
      <w:tr>
        <w:tc>
          <w:tcPr>
            <w:tcW w:type="dxa" w:w="5400"/>
          </w:tcPr>
          <w:p>
            <w:pPr>
              <w:spacing w:after="0" w:before="0" w:line="240" w:lineRule="auto"/>
              <w:jc w:val="left"/>
            </w:pPr>
            <w:r>
              <w:t>Spare-parts review</w:t>
            </w:r>
          </w:p>
        </w:tc>
        <w:tc>
          <w:tcPr>
            <w:tcW w:type="dxa" w:w="5400"/>
          </w:tcPr>
          <w:p>
            <w:pPr>
              <w:spacing w:after="0" w:before="0" w:line="240" w:lineRule="auto"/>
              <w:jc w:val="left"/>
            </w:pPr>
            <w:r>
              <w:t>Maintain availability of critical components</w:t>
            </w:r>
          </w:p>
        </w:tc>
      </w:tr>
    </w:tbl>
    <w:p/>
    <w:p>
      <w:r>
        <w:t>Any internal inspection or maintenance must be performed under the applicable safe isolation procedure. Thermal inspections may be performed under operating conditions only when the method, access, and risk controls make it safe.</w:t>
      </w:r>
    </w:p>
    <w:p>
      <w:r>
        <w:t>Maintain a record of component failures, replacement part numbers, firmware versions, parameter changes, and recurring faults. This data supports reliability improvement and avoids repeated diagnosis of the same problem.</w:t>
      </w:r>
    </w:p>
    <w:p>
      <w:pPr>
        <w:pStyle w:val="Heading2"/>
      </w:pPr>
      <w:r>
        <w:t>19. Common panel-design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Likely consequence</w:t>
            </w:r>
          </w:p>
        </w:tc>
        <w:tc>
          <w:tcPr>
            <w:tcW w:type="dxa" w:w="3600"/>
            <w:shd w:val="clear" w:color="auto" w:fill="EEF2F7"/>
          </w:tcPr>
          <w:p>
            <w:pPr>
              <w:spacing w:after="0" w:before="0" w:line="240" w:lineRule="auto"/>
              <w:jc w:val="left"/>
            </w:pPr>
            <w:r>
              <w:rPr>
                <w:b/>
                <w:color w:val="1A2E4A"/>
              </w:rPr>
              <w:t>Preventive measure</w:t>
            </w:r>
          </w:p>
        </w:tc>
      </w:tr>
      <w:tr>
        <w:tc>
          <w:tcPr>
            <w:tcW w:type="dxa" w:w="3600"/>
          </w:tcPr>
          <w:p>
            <w:pPr>
              <w:spacing w:after="0" w:before="0" w:line="240" w:lineRule="auto"/>
              <w:jc w:val="left"/>
            </w:pPr>
            <w:r>
              <w:t>Undersized PSU</w:t>
            </w:r>
          </w:p>
        </w:tc>
        <w:tc>
          <w:tcPr>
            <w:tcW w:type="dxa" w:w="3600"/>
          </w:tcPr>
          <w:p>
            <w:pPr>
              <w:spacing w:after="0" w:before="0" w:line="240" w:lineRule="auto"/>
              <w:jc w:val="left"/>
            </w:pPr>
            <w:r>
              <w:t>Voltage dips, PLC resets, unstable outputs</w:t>
            </w:r>
          </w:p>
        </w:tc>
        <w:tc>
          <w:tcPr>
            <w:tcW w:type="dxa" w:w="3600"/>
          </w:tcPr>
          <w:p>
            <w:pPr>
              <w:spacing w:after="0" w:before="0" w:line="240" w:lineRule="auto"/>
              <w:jc w:val="left"/>
            </w:pPr>
            <w:r>
              <w:t>Calculate load and transient demand</w:t>
            </w:r>
          </w:p>
        </w:tc>
      </w:tr>
      <w:tr>
        <w:tc>
          <w:tcPr>
            <w:tcW w:type="dxa" w:w="3600"/>
          </w:tcPr>
          <w:p>
            <w:pPr>
              <w:spacing w:after="0" w:before="0" w:line="240" w:lineRule="auto"/>
              <w:jc w:val="left"/>
            </w:pPr>
            <w:r>
              <w:t>Insufficient cooling</w:t>
            </w:r>
          </w:p>
        </w:tc>
        <w:tc>
          <w:tcPr>
            <w:tcW w:type="dxa" w:w="3600"/>
          </w:tcPr>
          <w:p>
            <w:pPr>
              <w:spacing w:after="0" w:before="0" w:line="240" w:lineRule="auto"/>
              <w:jc w:val="left"/>
            </w:pPr>
            <w:r>
              <w:t>Drive trips and shortened component life</w:t>
            </w:r>
          </w:p>
        </w:tc>
        <w:tc>
          <w:tcPr>
            <w:tcW w:type="dxa" w:w="3600"/>
          </w:tcPr>
          <w:p>
            <w:pPr>
              <w:spacing w:after="0" w:before="0" w:line="240" w:lineRule="auto"/>
              <w:jc w:val="left"/>
            </w:pPr>
            <w:r>
              <w:t>Calculate heat load and validate cooling</w:t>
            </w:r>
          </w:p>
        </w:tc>
      </w:tr>
      <w:tr>
        <w:tc>
          <w:tcPr>
            <w:tcW w:type="dxa" w:w="3600"/>
          </w:tcPr>
          <w:p>
            <w:pPr>
              <w:spacing w:after="0" w:before="0" w:line="240" w:lineRule="auto"/>
              <w:jc w:val="left"/>
            </w:pPr>
            <w:r>
              <w:t>Inadequate fault rating</w:t>
            </w:r>
          </w:p>
        </w:tc>
        <w:tc>
          <w:tcPr>
            <w:tcW w:type="dxa" w:w="3600"/>
          </w:tcPr>
          <w:p>
            <w:pPr>
              <w:spacing w:after="0" w:before="0" w:line="240" w:lineRule="auto"/>
              <w:jc w:val="left"/>
            </w:pPr>
            <w:r>
              <w:t>Dangerous failure during a short circuit</w:t>
            </w:r>
          </w:p>
        </w:tc>
        <w:tc>
          <w:tcPr>
            <w:tcW w:type="dxa" w:w="3600"/>
          </w:tcPr>
          <w:p>
            <w:pPr>
              <w:spacing w:after="0" w:before="0" w:line="240" w:lineRule="auto"/>
              <w:jc w:val="left"/>
            </w:pPr>
            <w:r>
              <w:t>Verify available fault current and assembly capability</w:t>
            </w:r>
          </w:p>
        </w:tc>
      </w:tr>
      <w:tr>
        <w:tc>
          <w:tcPr>
            <w:tcW w:type="dxa" w:w="3600"/>
          </w:tcPr>
          <w:p>
            <w:pPr>
              <w:spacing w:after="0" w:before="0" w:line="240" w:lineRule="auto"/>
              <w:jc w:val="left"/>
            </w:pPr>
            <w:r>
              <w:t>Poor power/signal segregation</w:t>
            </w:r>
          </w:p>
        </w:tc>
        <w:tc>
          <w:tcPr>
            <w:tcW w:type="dxa" w:w="3600"/>
          </w:tcPr>
          <w:p>
            <w:pPr>
              <w:spacing w:after="0" w:before="0" w:line="240" w:lineRule="auto"/>
              <w:jc w:val="left"/>
            </w:pPr>
            <w:r>
              <w:t>Noise-related faults and unstable measurements</w:t>
            </w:r>
          </w:p>
        </w:tc>
        <w:tc>
          <w:tcPr>
            <w:tcW w:type="dxa" w:w="3600"/>
          </w:tcPr>
          <w:p>
            <w:pPr>
              <w:spacing w:after="0" w:before="0" w:line="240" w:lineRule="auto"/>
              <w:jc w:val="left"/>
            </w:pPr>
            <w:r>
              <w:t>Apply EMC and routing rules</w:t>
            </w:r>
          </w:p>
        </w:tc>
      </w:tr>
      <w:tr>
        <w:tc>
          <w:tcPr>
            <w:tcW w:type="dxa" w:w="3600"/>
          </w:tcPr>
          <w:p>
            <w:pPr>
              <w:spacing w:after="0" w:before="0" w:line="240" w:lineRule="auto"/>
              <w:jc w:val="left"/>
            </w:pPr>
            <w:r>
              <w:t>Incorrect terminal selection</w:t>
            </w:r>
          </w:p>
        </w:tc>
        <w:tc>
          <w:tcPr>
            <w:tcW w:type="dxa" w:w="3600"/>
          </w:tcPr>
          <w:p>
            <w:pPr>
              <w:spacing w:after="0" w:before="0" w:line="240" w:lineRule="auto"/>
              <w:jc w:val="left"/>
            </w:pPr>
            <w:r>
              <w:t>Overheating or unreliable connections</w:t>
            </w:r>
          </w:p>
        </w:tc>
        <w:tc>
          <w:tcPr>
            <w:tcW w:type="dxa" w:w="3600"/>
          </w:tcPr>
          <w:p>
            <w:pPr>
              <w:spacing w:after="0" w:before="0" w:line="240" w:lineRule="auto"/>
              <w:jc w:val="left"/>
            </w:pPr>
            <w:r>
              <w:t>Verify current, conductor size and terminal limits</w:t>
            </w:r>
          </w:p>
        </w:tc>
      </w:tr>
      <w:tr>
        <w:tc>
          <w:tcPr>
            <w:tcW w:type="dxa" w:w="3600"/>
          </w:tcPr>
          <w:p>
            <w:pPr>
              <w:spacing w:after="0" w:before="0" w:line="240" w:lineRule="auto"/>
              <w:jc w:val="left"/>
            </w:pPr>
            <w:r>
              <w:t>Overfilled wiring ducts</w:t>
            </w:r>
          </w:p>
        </w:tc>
        <w:tc>
          <w:tcPr>
            <w:tcW w:type="dxa" w:w="3600"/>
          </w:tcPr>
          <w:p>
            <w:pPr>
              <w:spacing w:after="0" w:before="0" w:line="240" w:lineRule="auto"/>
              <w:jc w:val="left"/>
            </w:pPr>
            <w:r>
              <w:t>Difficult maintenance and damaged conductors</w:t>
            </w:r>
          </w:p>
        </w:tc>
        <w:tc>
          <w:tcPr>
            <w:tcW w:type="dxa" w:w="3600"/>
          </w:tcPr>
          <w:p>
            <w:pPr>
              <w:spacing w:after="0" w:before="0" w:line="240" w:lineRule="auto"/>
              <w:jc w:val="left"/>
            </w:pPr>
            <w:r>
              <w:t>Plan duct capacity and routing</w:t>
            </w:r>
          </w:p>
        </w:tc>
      </w:tr>
      <w:tr>
        <w:tc>
          <w:tcPr>
            <w:tcW w:type="dxa" w:w="3600"/>
          </w:tcPr>
          <w:p>
            <w:pPr>
              <w:spacing w:after="0" w:before="0" w:line="240" w:lineRule="auto"/>
              <w:jc w:val="left"/>
            </w:pPr>
            <w:r>
              <w:t>Poor grounding and bonding</w:t>
            </w:r>
          </w:p>
        </w:tc>
        <w:tc>
          <w:tcPr>
            <w:tcW w:type="dxa" w:w="3600"/>
          </w:tcPr>
          <w:p>
            <w:pPr>
              <w:spacing w:after="0" w:before="0" w:line="240" w:lineRule="auto"/>
              <w:jc w:val="left"/>
            </w:pPr>
            <w:r>
              <w:t>Shock risk and EMC problems</w:t>
            </w:r>
          </w:p>
        </w:tc>
        <w:tc>
          <w:tcPr>
            <w:tcW w:type="dxa" w:w="3600"/>
          </w:tcPr>
          <w:p>
            <w:pPr>
              <w:spacing w:after="0" w:before="0" w:line="240" w:lineRule="auto"/>
              <w:jc w:val="left"/>
            </w:pPr>
            <w:r>
              <w:t>Engineer and verify PE and bonding</w:t>
            </w:r>
          </w:p>
        </w:tc>
      </w:tr>
      <w:tr>
        <w:tc>
          <w:tcPr>
            <w:tcW w:type="dxa" w:w="3600"/>
          </w:tcPr>
          <w:p>
            <w:pPr>
              <w:spacing w:after="0" w:before="0" w:line="240" w:lineRule="auto"/>
              <w:jc w:val="left"/>
            </w:pPr>
            <w:r>
              <w:t>Inaccessible components</w:t>
            </w:r>
          </w:p>
        </w:tc>
        <w:tc>
          <w:tcPr>
            <w:tcW w:type="dxa" w:w="3600"/>
          </w:tcPr>
          <w:p>
            <w:pPr>
              <w:spacing w:after="0" w:before="0" w:line="240" w:lineRule="auto"/>
              <w:jc w:val="left"/>
            </w:pPr>
            <w:r>
              <w:t>Longer downtime and unsafe servicing</w:t>
            </w:r>
          </w:p>
        </w:tc>
        <w:tc>
          <w:tcPr>
            <w:tcW w:type="dxa" w:w="3600"/>
          </w:tcPr>
          <w:p>
            <w:pPr>
              <w:spacing w:after="0" w:before="0" w:line="240" w:lineRule="auto"/>
              <w:jc w:val="left"/>
            </w:pPr>
            <w:r>
              <w:t>Validate service clearances and removal paths</w:t>
            </w:r>
          </w:p>
        </w:tc>
      </w:tr>
      <w:tr>
        <w:tc>
          <w:tcPr>
            <w:tcW w:type="dxa" w:w="3600"/>
          </w:tcPr>
          <w:p>
            <w:pPr>
              <w:spacing w:after="0" w:before="0" w:line="240" w:lineRule="auto"/>
              <w:jc w:val="left"/>
            </w:pPr>
            <w:r>
              <w:t>Incorrect labels</w:t>
            </w:r>
          </w:p>
        </w:tc>
        <w:tc>
          <w:tcPr>
            <w:tcW w:type="dxa" w:w="3600"/>
          </w:tcPr>
          <w:p>
            <w:pPr>
              <w:spacing w:after="0" w:before="0" w:line="240" w:lineRule="auto"/>
              <w:jc w:val="left"/>
            </w:pPr>
            <w:r>
              <w:t>Troubleshooting errors and wiring mistakes</w:t>
            </w:r>
          </w:p>
        </w:tc>
        <w:tc>
          <w:tcPr>
            <w:tcW w:type="dxa" w:w="3600"/>
          </w:tcPr>
          <w:p>
            <w:pPr>
              <w:spacing w:after="0" w:before="0" w:line="240" w:lineRule="auto"/>
              <w:jc w:val="left"/>
            </w:pPr>
            <w:r>
              <w:t>Cross-check physical labels against drawings</w:t>
            </w:r>
          </w:p>
        </w:tc>
      </w:tr>
      <w:tr>
        <w:tc>
          <w:tcPr>
            <w:tcW w:type="dxa" w:w="3600"/>
          </w:tcPr>
          <w:p>
            <w:pPr>
              <w:spacing w:after="0" w:before="0" w:line="240" w:lineRule="auto"/>
              <w:jc w:val="left"/>
            </w:pPr>
            <w:r>
              <w:t>No controlled as-built drawings</w:t>
            </w:r>
          </w:p>
        </w:tc>
        <w:tc>
          <w:tcPr>
            <w:tcW w:type="dxa" w:w="3600"/>
          </w:tcPr>
          <w:p>
            <w:pPr>
              <w:spacing w:after="0" w:before="0" w:line="240" w:lineRule="auto"/>
              <w:jc w:val="left"/>
            </w:pPr>
            <w:r>
              <w:t>Incorrect future modifications</w:t>
            </w:r>
          </w:p>
        </w:tc>
        <w:tc>
          <w:tcPr>
            <w:tcW w:type="dxa" w:w="3600"/>
          </w:tcPr>
          <w:p>
            <w:pPr>
              <w:spacing w:after="0" w:before="0" w:line="240" w:lineRule="auto"/>
              <w:jc w:val="left"/>
            </w:pPr>
            <w:r>
              <w:t>Enforce revision and change control</w:t>
            </w:r>
          </w:p>
        </w:tc>
      </w:tr>
      <w:tr>
        <w:tc>
          <w:tcPr>
            <w:tcW w:type="dxa" w:w="3600"/>
          </w:tcPr>
          <w:p>
            <w:pPr>
              <w:spacing w:after="0" w:before="0" w:line="240" w:lineRule="auto"/>
              <w:jc w:val="left"/>
            </w:pPr>
            <w:r>
              <w:t>Unapproved component substitution</w:t>
            </w:r>
          </w:p>
        </w:tc>
        <w:tc>
          <w:tcPr>
            <w:tcW w:type="dxa" w:w="3600"/>
          </w:tcPr>
          <w:p>
            <w:pPr>
              <w:spacing w:after="0" w:before="0" w:line="240" w:lineRule="auto"/>
              <w:jc w:val="left"/>
            </w:pPr>
            <w:r>
              <w:t>Compatibility and compliance issues</w:t>
            </w:r>
          </w:p>
        </w:tc>
        <w:tc>
          <w:tcPr>
            <w:tcW w:type="dxa" w:w="3600"/>
          </w:tcPr>
          <w:p>
            <w:pPr>
              <w:spacing w:after="0" w:before="0" w:line="240" w:lineRule="auto"/>
              <w:jc w:val="left"/>
            </w:pPr>
            <w:r>
              <w:t>Perform a documented technical review</w:t>
            </w:r>
          </w:p>
        </w:tc>
      </w:tr>
      <w:tr>
        <w:tc>
          <w:tcPr>
            <w:tcW w:type="dxa" w:w="3600"/>
          </w:tcPr>
          <w:p>
            <w:pPr>
              <w:spacing w:after="0" w:before="0" w:line="240" w:lineRule="auto"/>
              <w:jc w:val="left"/>
            </w:pPr>
            <w:r>
              <w:t>No expansion allowance</w:t>
            </w:r>
          </w:p>
        </w:tc>
        <w:tc>
          <w:tcPr>
            <w:tcW w:type="dxa" w:w="3600"/>
          </w:tcPr>
          <w:p>
            <w:pPr>
              <w:spacing w:after="0" w:before="0" w:line="240" w:lineRule="auto"/>
              <w:jc w:val="left"/>
            </w:pPr>
            <w:r>
              <w:t>Costly redesign during future upgrades</w:t>
            </w:r>
          </w:p>
        </w:tc>
        <w:tc>
          <w:tcPr>
            <w:tcW w:type="dxa" w:w="3600"/>
          </w:tcPr>
          <w:p>
            <w:pPr>
              <w:spacing w:after="0" w:before="0" w:line="240" w:lineRule="auto"/>
              <w:jc w:val="left"/>
            </w:pPr>
            <w:r>
              <w:t>Define spare capacity and physical space</w:t>
            </w:r>
          </w:p>
        </w:tc>
      </w:tr>
    </w:tbl>
    <w:p/>
    <w:p>
      <w:pPr>
        <w:pStyle w:val="Heading2"/>
      </w:pPr>
      <w:r>
        <w:t>20. Practical design example</w:t>
      </w:r>
    </w:p>
    <w:p>
      <w:r>
        <w:t>Consider a machine panel containing a PLC, HMI, two VFD-controlled motors, digital and analog sensors, an industrial Ethernet switch, and a safety controller or safety relay arrangement.</w:t>
      </w:r>
    </w:p>
    <w:p>
      <w:r>
        <w:t>The design process should establish:</w:t>
      </w:r>
    </w:p>
    <w:p>
      <w:pPr>
        <w:tabs>
          <w:tab w:pos="403" w:val="left"/>
        </w:tabs>
        <w:spacing w:after="40" w:line="276" w:lineRule="auto"/>
        <w:ind w:left="403" w:hanging="403"/>
        <w:jc w:val="left"/>
      </w:pPr>
      <w:r>
        <w:rPr>
          <w:color w:val="1A2E4A"/>
        </w:rPr>
        <w:t>1.</w:t>
        <w:tab/>
      </w:r>
      <w:r>
        <w:t>Incoming supply characteristics and available short-circuit current.</w:t>
      </w:r>
    </w:p>
    <w:p>
      <w:pPr>
        <w:tabs>
          <w:tab w:pos="403" w:val="left"/>
        </w:tabs>
        <w:spacing w:after="40" w:line="276" w:lineRule="auto"/>
        <w:ind w:left="403" w:hanging="403"/>
        <w:jc w:val="left"/>
      </w:pPr>
      <w:r>
        <w:rPr>
          <w:color w:val="1A2E4A"/>
        </w:rPr>
        <w:t>2.</w:t>
        <w:tab/>
      </w:r>
      <w:r>
        <w:t>Motor ratings, starting requirements, drive selection, and branch protection.</w:t>
      </w:r>
    </w:p>
    <w:p>
      <w:pPr>
        <w:tabs>
          <w:tab w:pos="403" w:val="left"/>
        </w:tabs>
        <w:spacing w:after="40" w:line="276" w:lineRule="auto"/>
        <w:ind w:left="403" w:hanging="403"/>
        <w:jc w:val="left"/>
      </w:pPr>
      <w:r>
        <w:rPr>
          <w:color w:val="1A2E4A"/>
        </w:rPr>
        <w:t>3.</w:t>
        <w:tab/>
      </w:r>
      <w:r>
        <w:t>PLC and I/O capacity, including spare channels and future additions.</w:t>
      </w:r>
    </w:p>
    <w:p>
      <w:pPr>
        <w:tabs>
          <w:tab w:pos="403" w:val="left"/>
        </w:tabs>
        <w:spacing w:after="40" w:line="276" w:lineRule="auto"/>
        <w:ind w:left="403" w:hanging="403"/>
        <w:jc w:val="left"/>
      </w:pPr>
      <w:r>
        <w:rPr>
          <w:color w:val="1A2E4A"/>
        </w:rPr>
        <w:t>4.</w:t>
        <w:tab/>
      </w:r>
      <w:r>
        <w:t>A 24 VDC load budget covering electronics, sensors, interface relays, and other loads.</w:t>
      </w:r>
    </w:p>
    <w:p>
      <w:pPr>
        <w:tabs>
          <w:tab w:pos="403" w:val="left"/>
        </w:tabs>
        <w:spacing w:after="40" w:line="276" w:lineRule="auto"/>
        <w:ind w:left="403" w:hanging="403"/>
        <w:jc w:val="left"/>
      </w:pPr>
      <w:r>
        <w:rPr>
          <w:color w:val="1A2E4A"/>
        </w:rPr>
        <w:t>5.</w:t>
        <w:tab/>
      </w:r>
      <w:r>
        <w:t>Separation between drive power wiring and sensitive signal or communication wiring.</w:t>
      </w:r>
    </w:p>
    <w:p>
      <w:pPr>
        <w:tabs>
          <w:tab w:pos="403" w:val="left"/>
        </w:tabs>
        <w:spacing w:after="40" w:line="276" w:lineRule="auto"/>
        <w:ind w:left="403" w:hanging="403"/>
        <w:jc w:val="left"/>
      </w:pPr>
      <w:r>
        <w:rPr>
          <w:color w:val="1A2E4A"/>
        </w:rPr>
        <w:t>6.</w:t>
        <w:tab/>
      </w:r>
      <w:r>
        <w:t>Enclosure dimensions, ingress protection, heat load, and cooling method.</w:t>
      </w:r>
    </w:p>
    <w:p>
      <w:pPr>
        <w:tabs>
          <w:tab w:pos="403" w:val="left"/>
        </w:tabs>
        <w:spacing w:after="40" w:line="276" w:lineRule="auto"/>
        <w:ind w:left="403" w:hanging="403"/>
        <w:jc w:val="left"/>
      </w:pPr>
      <w:r>
        <w:rPr>
          <w:color w:val="1A2E4A"/>
        </w:rPr>
        <w:t>7.</w:t>
        <w:tab/>
      </w:r>
      <w:r>
        <w:t>Terminal allocations and field cable entry locations.</w:t>
      </w:r>
    </w:p>
    <w:p>
      <w:pPr>
        <w:tabs>
          <w:tab w:pos="403" w:val="left"/>
        </w:tabs>
        <w:spacing w:after="40" w:line="276" w:lineRule="auto"/>
        <w:ind w:left="403" w:hanging="403"/>
        <w:jc w:val="left"/>
      </w:pPr>
      <w:r>
        <w:rPr>
          <w:color w:val="1A2E4A"/>
        </w:rPr>
        <w:t>8.</w:t>
        <w:tab/>
      </w:r>
      <w:r>
        <w:t>Protective bonding and safety-related wiring arrangements.</w:t>
      </w:r>
    </w:p>
    <w:p>
      <w:pPr>
        <w:tabs>
          <w:tab w:pos="403" w:val="left"/>
        </w:tabs>
        <w:spacing w:after="40" w:line="276" w:lineRule="auto"/>
        <w:ind w:left="403" w:hanging="403"/>
        <w:jc w:val="left"/>
      </w:pPr>
      <w:r>
        <w:rPr>
          <w:color w:val="1A2E4A"/>
        </w:rPr>
        <w:t>9.</w:t>
        <w:tab/>
      </w:r>
      <w:r>
        <w:t>Drawings, BOM, verification procedures, and acceptance criteria.</w:t>
      </w:r>
    </w:p>
    <w:p>
      <w:pPr>
        <w:tabs>
          <w:tab w:pos="403" w:val="left"/>
        </w:tabs>
        <w:spacing w:after="40" w:line="276" w:lineRule="auto"/>
        <w:ind w:left="403" w:hanging="403"/>
        <w:jc w:val="left"/>
      </w:pPr>
      <w:r>
        <w:rPr>
          <w:color w:val="1A2E4A"/>
        </w:rPr>
        <w:t>10.</w:t>
        <w:tab/>
      </w:r>
      <w:r>
        <w:t>A commissioning plan and controlled software/documentation handover.</w:t>
      </w:r>
    </w:p>
    <w:p>
      <w:r>
        <w:t>The resulting panel must be evaluated as a complete assembly. Choosing individually suitable components does not guarantee that their combination will meet thermal, electrical, EMC, or fault-protection requirements.</w:t>
      </w:r>
    </w:p>
    <w:p>
      <w:pPr>
        <w:pStyle w:val="Heading2"/>
      </w:pPr>
      <w:r>
        <w:t>21. Panel design review checklist</w:t>
      </w:r>
    </w:p>
    <w:p>
      <w:r>
        <w:t>Before releasing a panel design for manufacture, confirm the following:</w:t>
      </w:r>
    </w:p>
    <w:p>
      <w:pPr>
        <w:pStyle w:val="ListBullet"/>
      </w:pPr>
      <w:r>
        <w:t>Design inputs and applicable standards are identified.</w:t>
      </w:r>
    </w:p>
    <w:p>
      <w:pPr>
        <w:pStyle w:val="ListBullet"/>
      </w:pPr>
      <w:r>
        <w:t>Supply, load, conductor, and protective-device calculations are complete.</w:t>
      </w:r>
    </w:p>
    <w:p>
      <w:pPr>
        <w:pStyle w:val="ListBullet"/>
      </w:pPr>
      <w:r>
        <w:t>Fault current and assembly short-circuit capability have been verified.</w:t>
      </w:r>
    </w:p>
    <w:p>
      <w:pPr>
        <w:pStyle w:val="ListBullet"/>
      </w:pPr>
      <w:r>
        <w:t>Enclosure dimensions, environmental protection, and service access are suitable.</w:t>
      </w:r>
    </w:p>
    <w:p>
      <w:pPr>
        <w:pStyle w:val="ListBullet"/>
      </w:pPr>
      <w:r>
        <w:t>Thermal calculations and cooling provisions are adequate.</w:t>
      </w:r>
    </w:p>
    <w:p>
      <w:pPr>
        <w:pStyle w:val="ListBullet"/>
      </w:pPr>
      <w:r>
        <w:t>Components have correct ratings and manufacturer clearances.</w:t>
      </w:r>
    </w:p>
    <w:p>
      <w:pPr>
        <w:pStyle w:val="ListBullet"/>
      </w:pPr>
      <w:r>
        <w:t>Power, control, safety, analog, and communication wiring are appropriately segregated.</w:t>
      </w:r>
    </w:p>
    <w:p>
      <w:pPr>
        <w:pStyle w:val="ListBullet"/>
      </w:pPr>
      <w:r>
        <w:t>Protective earth, bonding, shielding, and functional grounding are defined.</w:t>
      </w:r>
    </w:p>
    <w:p>
      <w:pPr>
        <w:pStyle w:val="ListBullet"/>
      </w:pPr>
      <w:r>
        <w:t>Control power capacity and branch protection are adequate.</w:t>
      </w:r>
    </w:p>
    <w:p>
      <w:pPr>
        <w:pStyle w:val="ListBullet"/>
      </w:pPr>
      <w:r>
        <w:t>Terminals, wire sizes, cable entries, and identification are specified.</w:t>
      </w:r>
    </w:p>
    <w:p>
      <w:pPr>
        <w:pStyle w:val="ListBullet"/>
      </w:pPr>
      <w:r>
        <w:t>Drawings and BOM are complete and revision-controlled.</w:t>
      </w:r>
    </w:p>
    <w:p>
      <w:pPr>
        <w:pStyle w:val="ListBullet"/>
      </w:pPr>
      <w:r>
        <w:t>Inspection, test, FAT, and safety-validation requirements are defined.</w:t>
      </w:r>
    </w:p>
    <w:p>
      <w:pPr>
        <w:pStyle w:val="ListBullet"/>
      </w:pPr>
      <w:r>
        <w:t>Spare capacity, lifecycle support, and future expansion are addressed.</w:t>
      </w:r>
    </w:p>
    <w:p>
      <w:pPr>
        <w:pStyle w:val="ListBullet"/>
      </w:pPr>
      <w:r>
        <w:t>Handover requirements and as-built updates are included.</w:t>
      </w:r>
    </w:p>
    <w:p>
      <w:pPr>
        <w:pStyle w:val="Heading2"/>
      </w:pPr>
      <w:r>
        <w:t>22. Interview questions and answers</w:t>
      </w:r>
    </w:p>
    <w:p>
      <w:r>
        <w:t>1\. What is the difference between a panel GA drawing and an electrical schematic?</w:t>
      </w:r>
    </w:p>
    <w:p>
      <w:r>
        <w:t>A GA drawing shows the physical arrangement and dimensions of the enclosure and components. An electrical schematic shows electrical relationships, connections, protection, and control circuits.</w:t>
      </w:r>
    </w:p>
    <w:p>
      <w:r>
        <w:t>2\. Why can a correctly rated VFD still overheat inside a panel?</w:t>
      </w:r>
    </w:p>
    <w:p>
      <w:r>
        <w:t>The VFD may be derated for ambient temperature, altitude, switching frequency, or load duty. The enclosure may also have insufficient cooling or poor airflow, and nearby components may increase the internal temperature.</w:t>
      </w:r>
    </w:p>
    <w:p>
      <w:r>
        <w:t>3\. Why is the breaking capacity of a circuit breaker important?</w:t>
      </w:r>
    </w:p>
    <w:p>
      <w:r>
        <w:t>The breaker must be capable of safely interrupting the prospective short-circuit current under its rated conditions. A current rating that suits the normal load does not prove adequate fault-interruption capability.</w:t>
      </w:r>
    </w:p>
    <w:p>
      <w:r>
        <w:t>4\. Why should VFD output cables be separated from analog signal cables?</w:t>
      </w:r>
    </w:p>
    <w:p>
      <w:r>
        <w:t>VFD switching generates electromagnetic interference that can couple into low-level signals. Appropriate separation, shielding, bonding, and routing reduce measurement errors and intermittent control faults.</w:t>
      </w:r>
    </w:p>
    <w:p>
      <w:r>
        <w:t>5\. Why is a 24 VDC load budget necessary?</w:t>
      </w:r>
    </w:p>
    <w:p>
      <w:r>
        <w:t>It confirms that the power supply can support the connected equipment under realistic operating conditions, including transients and derating, and helps prevent voltage dips and unexpected resets.</w:t>
      </w:r>
    </w:p>
    <w:p>
      <w:r>
        <w:t>6\. What is the purpose of an enclosure IP rating?</w:t>
      </w:r>
    </w:p>
    <w:p>
      <w:r>
        <w:t>It specifies defined levels of protection against access to hazardous parts and ingress of solid foreign objects and water. It does not by itself guarantee resistance to corrosion, condensation, or every environmental hazard.</w:t>
      </w:r>
    </w:p>
    <w:p>
      <w:r>
        <w:t>7\. What is the difference between FAT and SAT?</w:t>
      </w:r>
    </w:p>
    <w:p>
      <w:r>
        <w:t>FAT verifies the panel or equipment against requirements before shipment, usually at the manufacturer or integrator's facility. SAT verifies the installed system under site conditions, including field wiring and integration with the machine.</w:t>
      </w:r>
    </w:p>
    <w:p>
      <w:r>
        <w:t>8\. Why is an as-built drawing set important?</w:t>
      </w:r>
    </w:p>
    <w:p>
      <w:r>
        <w:t>It records the final installed configuration and supports safe troubleshooting, repairs, upgrades, and future procurement. Outdated drawings can cause incorrect isolation or wiring changes.</w:t>
      </w:r>
    </w:p>
    <w:p>
      <w:r>
        <w:t>9\. What causes nuisance PLC resets when contactors switch?</w:t>
      </w:r>
    </w:p>
    <w:p>
      <w:r>
        <w:t>Potential causes include control-supply dips, inadequate PSU transient capability, poor commoning or bonding, electromagnetic interference, incorrect suppression, or inappropriate wiring routes. Diagnosis should include supply measurements and inspection of wiring and suppression arrangements.</w:t>
      </w:r>
    </w:p>
    <w:p>
      <w:r>
        <w:t>10\. How should panel design support maintainability?</w:t>
      </w:r>
    </w:p>
    <w:p>
      <w:r>
        <w:t>Use accessible components, clear labels, organized terminals, documented protection settings, suitable spare capacity, controlled drawings, cooling maintenance access, and reliable configuration backups.</w:t>
      </w:r>
    </w:p>
    <w:p>
      <w:r>
        <w:t>11\. Why must the panel be assessed as a complete assembly?</w:t>
      </w:r>
    </w:p>
    <w:p>
      <w:r>
        <w:t>Individual components may be suitable in isolation but incompatible when combined due to heat, fault current, clearances, wiring, EMC, or coordination constraints. Assembly-level verification addresses the combined installation.</w:t>
      </w:r>
    </w:p>
    <w:p>
      <w:r>
        <w:t>12\. What is the difference between protective earth and signal common?</w:t>
      </w:r>
    </w:p>
    <w:p>
      <w:r>
        <w:t>Protective earth is part of the electrical safety arrangement. Signal common is a circuit reference used by electronic equipment. They serve different purposes and must be connected or isolated according to the equipment design and applicable requirements, not treated as interchangeable conductors.</w:t>
      </w:r>
    </w:p>
    <w:p>
      <w:pPr>
        <w:pStyle w:val="Heading2"/>
      </w:pPr>
      <w:r>
        <w:t>NEXT TOPIC</w:t>
      </w:r>
    </w:p>
    <w:p>
      <w:r>
        <w:rPr>
          <w:rFonts w:ascii="Consolas" w:hAnsi="Consolas"/>
          <w:color w:val="333333"/>
          <w:sz w:val="19"/>
          <w:shd w:val="clear" w:color="auto" w:fill="EFEFEF"/>
        </w:rPr>
        <w:t>02_PLAN_WISE_2026\02_INDUSTRY3_0\10_Detail_Eng\04_Cable_Schedule - Cable schedule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02_PLAN_WISE_2026\02_INDUSTRY3_0\10_Detail_Eng\03_Panel_Design - Panel design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