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02_PLAN_WISE_2026\02_INDUSTRY3_0\10_Detail_Eng\05_BOM - BOM</w:t>
      </w:r>
    </w:p>
    <w:p>
      <w:pPr>
        <w:pStyle w:val="Heading2"/>
      </w:pPr>
      <w:r>
        <w:t>1. Purpose and scope of a Bill of Materials</w:t>
      </w:r>
    </w:p>
    <w:p>
      <w:r>
        <w:t>A Bill of Materials (BOM) is a structured list of the materials, components, assemblies, accessories, and quantities required to build, install, operate, or maintain an engineered system.</w:t>
      </w:r>
    </w:p>
    <w:p>
      <w:r>
        <w:t>In industrial automation, a BOM may cover a complete machine, electrical control panel, PLC system, drive cabinet, instrumentation package, or a specific subsystem.</w:t>
      </w:r>
    </w:p>
    <w:p>
      <w:r>
        <w:t>A BOM translates engineering design into a controlled material requirement. It allows procurement, stores, manufacturing, project management, maintenance, and finance teams to work from consistent information.</w:t>
      </w:r>
    </w:p>
    <w:p>
      <w:r>
        <w:t>A technically correct design can still fail at execution if the BOM omits mounting accessories, uses incorrect part numbers, understates quantities, or specifies components that are no longer available. The BOM therefore needs both technical accuracy and material traceability.</w:t>
      </w:r>
    </w:p>
    <w:p>
      <w:pPr>
        <w:pStyle w:val="Heading3"/>
      </w:pPr>
      <w:r>
        <w:t>Main objectives</w:t>
      </w:r>
    </w:p>
    <w:p>
      <w:pPr>
        <w:pStyle w:val="ListBullet"/>
      </w:pPr>
      <w:r>
        <w:t>Identify each required component unambiguously.</w:t>
      </w:r>
    </w:p>
    <w:p>
      <w:pPr>
        <w:pStyle w:val="ListBullet"/>
      </w:pPr>
      <w:r>
        <w:t>Specify manufacturer, exact part number, ratings, and quantity.</w:t>
      </w:r>
    </w:p>
    <w:p>
      <w:pPr>
        <w:pStyle w:val="ListBullet"/>
      </w:pPr>
      <w:r>
        <w:t>Support procurement, budgeting, inventory planning, and material issue.</w:t>
      </w:r>
    </w:p>
    <w:p>
      <w:pPr>
        <w:pStyle w:val="ListBullet"/>
      </w:pPr>
      <w:r>
        <w:t>Support panel assembly and machine installation.</w:t>
      </w:r>
    </w:p>
    <w:p>
      <w:pPr>
        <w:pStyle w:val="ListBullet"/>
      </w:pPr>
      <w:r>
        <w:t>Identify accessories, consumables, and installation hardware.</w:t>
      </w:r>
    </w:p>
    <w:p>
      <w:pPr>
        <w:pStyle w:val="ListBullet"/>
      </w:pPr>
      <w:r>
        <w:t>Control approved alternatives and component substitutions.</w:t>
      </w:r>
    </w:p>
    <w:p>
      <w:pPr>
        <w:pStyle w:val="ListBullet"/>
      </w:pPr>
      <w:r>
        <w:t>Track component lifecycle, obsolescence, and critical spares.</w:t>
      </w:r>
    </w:p>
    <w:p>
      <w:pPr>
        <w:pStyle w:val="ListBullet"/>
      </w:pPr>
      <w:r>
        <w:t>Support maintenance, repair, upgrades, and future replication.</w:t>
      </w:r>
    </w:p>
    <w:p>
      <w:pPr>
        <w:pStyle w:val="ListBullet"/>
      </w:pPr>
      <w:r>
        <w:t>Maintain consistency with drawings, cable schedules, and equipment specifications.</w:t>
      </w:r>
    </w:p>
    <w:p>
      <w:pPr>
        <w:pStyle w:val="Heading2"/>
      </w:pPr>
      <w:r>
        <w:t>2. BOM versus related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 information</w:t>
            </w:r>
          </w:p>
        </w:tc>
      </w:tr>
      <w:tr>
        <w:tc>
          <w:tcPr>
            <w:tcW w:type="dxa" w:w="3600"/>
          </w:tcPr>
          <w:p>
            <w:pPr>
              <w:spacing w:after="0" w:before="0" w:line="240" w:lineRule="auto"/>
              <w:jc w:val="left"/>
            </w:pPr>
            <w:r>
              <w:t>BOM</w:t>
            </w:r>
          </w:p>
        </w:tc>
        <w:tc>
          <w:tcPr>
            <w:tcW w:type="dxa" w:w="3600"/>
          </w:tcPr>
          <w:p>
            <w:pPr>
              <w:spacing w:after="0" w:before="0" w:line="240" w:lineRule="auto"/>
              <w:jc w:val="left"/>
            </w:pPr>
            <w:r>
              <w:t>Defines required materials and quantities</w:t>
            </w:r>
          </w:p>
        </w:tc>
        <w:tc>
          <w:tcPr>
            <w:tcW w:type="dxa" w:w="3600"/>
          </w:tcPr>
          <w:p>
            <w:pPr>
              <w:spacing w:after="0" w:before="0" w:line="240" w:lineRule="auto"/>
              <w:jc w:val="left"/>
            </w:pPr>
            <w:r>
              <w:t>Part number, description, quantity, manufacturer</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Defines electrical connections and circuit behavior</w:t>
            </w:r>
          </w:p>
        </w:tc>
        <w:tc>
          <w:tcPr>
            <w:tcW w:type="dxa" w:w="3600"/>
          </w:tcPr>
          <w:p>
            <w:pPr>
              <w:spacing w:after="0" w:before="0" w:line="240" w:lineRule="auto"/>
              <w:jc w:val="left"/>
            </w:pPr>
            <w:r>
              <w:t>Contacts, coils, protective devices, wiring</w:t>
            </w:r>
          </w:p>
        </w:tc>
      </w:tr>
      <w:tr>
        <w:tc>
          <w:tcPr>
            <w:tcW w:type="dxa" w:w="3600"/>
          </w:tcPr>
          <w:p>
            <w:pPr>
              <w:spacing w:after="0" w:before="0" w:line="240" w:lineRule="auto"/>
              <w:jc w:val="left"/>
            </w:pPr>
            <w:r>
              <w:t>Panel GA drawing</w:t>
            </w:r>
          </w:p>
        </w:tc>
        <w:tc>
          <w:tcPr>
            <w:tcW w:type="dxa" w:w="3600"/>
          </w:tcPr>
          <w:p>
            <w:pPr>
              <w:spacing w:after="0" w:before="0" w:line="240" w:lineRule="auto"/>
              <w:jc w:val="left"/>
            </w:pPr>
            <w:r>
              <w:t>Defines physical panel arrangement</w:t>
            </w:r>
          </w:p>
        </w:tc>
        <w:tc>
          <w:tcPr>
            <w:tcW w:type="dxa" w:w="3600"/>
          </w:tcPr>
          <w:p>
            <w:pPr>
              <w:spacing w:after="0" w:before="0" w:line="240" w:lineRule="auto"/>
              <w:jc w:val="left"/>
            </w:pPr>
            <w:r>
              <w:t>Enclosure, mounting positions, dimensions</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Defines physical cables and endpoints</w:t>
            </w:r>
          </w:p>
        </w:tc>
        <w:tc>
          <w:tcPr>
            <w:tcW w:type="dxa" w:w="3600"/>
          </w:tcPr>
          <w:p>
            <w:pPr>
              <w:spacing w:after="0" w:before="0" w:line="240" w:lineRule="auto"/>
              <w:jc w:val="left"/>
            </w:pPr>
            <w:r>
              <w:t>Cable ID, type, cores, route, length</w:t>
            </w:r>
          </w:p>
        </w:tc>
      </w:tr>
      <w:tr>
        <w:tc>
          <w:tcPr>
            <w:tcW w:type="dxa" w:w="3600"/>
          </w:tcPr>
          <w:p>
            <w:pPr>
              <w:spacing w:after="0" w:before="0" w:line="240" w:lineRule="auto"/>
              <w:jc w:val="left"/>
            </w:pPr>
            <w:r>
              <w:t>I/O list</w:t>
            </w:r>
          </w:p>
        </w:tc>
        <w:tc>
          <w:tcPr>
            <w:tcW w:type="dxa" w:w="3600"/>
          </w:tcPr>
          <w:p>
            <w:pPr>
              <w:spacing w:after="0" w:before="0" w:line="240" w:lineRule="auto"/>
              <w:jc w:val="left"/>
            </w:pPr>
            <w:r>
              <w:t>Defines automation signals and controller allocation</w:t>
            </w:r>
          </w:p>
        </w:tc>
        <w:tc>
          <w:tcPr>
            <w:tcW w:type="dxa" w:w="3600"/>
          </w:tcPr>
          <w:p>
            <w:pPr>
              <w:spacing w:after="0" w:before="0" w:line="240" w:lineRule="auto"/>
              <w:jc w:val="left"/>
            </w:pPr>
            <w:r>
              <w:t>Tag, signal type, PLC address, field device</w:t>
            </w:r>
          </w:p>
        </w:tc>
      </w:tr>
      <w:tr>
        <w:tc>
          <w:tcPr>
            <w:tcW w:type="dxa" w:w="3600"/>
          </w:tcPr>
          <w:p>
            <w:pPr>
              <w:spacing w:after="0" w:before="0" w:line="240" w:lineRule="auto"/>
              <w:jc w:val="left"/>
            </w:pPr>
            <w:r>
              <w:t>Equipment list</w:t>
            </w:r>
          </w:p>
        </w:tc>
        <w:tc>
          <w:tcPr>
            <w:tcW w:type="dxa" w:w="3600"/>
          </w:tcPr>
          <w:p>
            <w:pPr>
              <w:spacing w:after="0" w:before="0" w:line="240" w:lineRule="auto"/>
              <w:jc w:val="left"/>
            </w:pPr>
            <w:r>
              <w:t>Identifies major equipment and its location</w:t>
            </w:r>
          </w:p>
        </w:tc>
        <w:tc>
          <w:tcPr>
            <w:tcW w:type="dxa" w:w="3600"/>
          </w:tcPr>
          <w:p>
            <w:pPr>
              <w:spacing w:after="0" w:before="0" w:line="240" w:lineRule="auto"/>
              <w:jc w:val="left"/>
            </w:pPr>
            <w:r>
              <w:t>Machine ID, panel ID, device tag</w:t>
            </w:r>
          </w:p>
        </w:tc>
      </w:tr>
      <w:tr>
        <w:tc>
          <w:tcPr>
            <w:tcW w:type="dxa" w:w="3600"/>
          </w:tcPr>
          <w:p>
            <w:pPr>
              <w:spacing w:after="0" w:before="0" w:line="240" w:lineRule="auto"/>
              <w:jc w:val="left"/>
            </w:pPr>
            <w:r>
              <w:t>Datasheet</w:t>
            </w:r>
          </w:p>
        </w:tc>
        <w:tc>
          <w:tcPr>
            <w:tcW w:type="dxa" w:w="3600"/>
          </w:tcPr>
          <w:p>
            <w:pPr>
              <w:spacing w:after="0" w:before="0" w:line="240" w:lineRule="auto"/>
              <w:jc w:val="left"/>
            </w:pPr>
            <w:r>
              <w:t>Defines detailed component specifications</w:t>
            </w:r>
          </w:p>
        </w:tc>
        <w:tc>
          <w:tcPr>
            <w:tcW w:type="dxa" w:w="3600"/>
          </w:tcPr>
          <w:p>
            <w:pPr>
              <w:spacing w:after="0" w:before="0" w:line="240" w:lineRule="auto"/>
              <w:jc w:val="left"/>
            </w:pPr>
            <w:r>
              <w:t>Ratings, dimensions, performance limits</w:t>
            </w:r>
          </w:p>
        </w:tc>
      </w:tr>
      <w:tr>
        <w:tc>
          <w:tcPr>
            <w:tcW w:type="dxa" w:w="3600"/>
          </w:tcPr>
          <w:p>
            <w:pPr>
              <w:spacing w:after="0" w:before="0" w:line="240" w:lineRule="auto"/>
              <w:jc w:val="left"/>
            </w:pPr>
            <w:r>
              <w:t>Spare-parts list</w:t>
            </w:r>
          </w:p>
        </w:tc>
        <w:tc>
          <w:tcPr>
            <w:tcW w:type="dxa" w:w="3600"/>
          </w:tcPr>
          <w:p>
            <w:pPr>
              <w:spacing w:after="0" w:before="0" w:line="240" w:lineRule="auto"/>
              <w:jc w:val="left"/>
            </w:pPr>
            <w:r>
              <w:t>Identifies materials recommended for maintenance stock</w:t>
            </w:r>
          </w:p>
        </w:tc>
        <w:tc>
          <w:tcPr>
            <w:tcW w:type="dxa" w:w="3600"/>
          </w:tcPr>
          <w:p>
            <w:pPr>
              <w:spacing w:after="0" w:before="0" w:line="240" w:lineRule="auto"/>
              <w:jc w:val="left"/>
            </w:pPr>
            <w:r>
              <w:t>Criticality, quantity, lead time, replacement part</w:t>
            </w:r>
          </w:p>
        </w:tc>
      </w:tr>
      <w:tr>
        <w:tc>
          <w:tcPr>
            <w:tcW w:type="dxa" w:w="3600"/>
          </w:tcPr>
          <w:p>
            <w:pPr>
              <w:spacing w:after="0" w:before="0" w:line="240" w:lineRule="auto"/>
              <w:jc w:val="left"/>
            </w:pPr>
            <w:r>
              <w:t>Purchase requisition</w:t>
            </w:r>
          </w:p>
        </w:tc>
        <w:tc>
          <w:tcPr>
            <w:tcW w:type="dxa" w:w="3600"/>
          </w:tcPr>
          <w:p>
            <w:pPr>
              <w:spacing w:after="0" w:before="0" w:line="240" w:lineRule="auto"/>
              <w:jc w:val="left"/>
            </w:pPr>
            <w:r>
              <w:t>Requests procurement of materials</w:t>
            </w:r>
          </w:p>
        </w:tc>
        <w:tc>
          <w:tcPr>
            <w:tcW w:type="dxa" w:w="3600"/>
          </w:tcPr>
          <w:p>
            <w:pPr>
              <w:spacing w:after="0" w:before="0" w:line="240" w:lineRule="auto"/>
              <w:jc w:val="left"/>
            </w:pPr>
            <w:r>
              <w:t>Material code, quantity, required date</w:t>
            </w:r>
          </w:p>
        </w:tc>
      </w:tr>
      <w:tr>
        <w:tc>
          <w:tcPr>
            <w:tcW w:type="dxa" w:w="3600"/>
          </w:tcPr>
          <w:p>
            <w:pPr>
              <w:spacing w:after="0" w:before="0" w:line="240" w:lineRule="auto"/>
              <w:jc w:val="left"/>
            </w:pPr>
            <w:r>
              <w:t>Purchase order</w:t>
            </w:r>
          </w:p>
        </w:tc>
        <w:tc>
          <w:tcPr>
            <w:tcW w:type="dxa" w:w="3600"/>
          </w:tcPr>
          <w:p>
            <w:pPr>
              <w:spacing w:after="0" w:before="0" w:line="240" w:lineRule="auto"/>
              <w:jc w:val="left"/>
            </w:pPr>
            <w:r>
              <w:t>Records the commercial order</w:t>
            </w:r>
          </w:p>
        </w:tc>
        <w:tc>
          <w:tcPr>
            <w:tcW w:type="dxa" w:w="3600"/>
          </w:tcPr>
          <w:p>
            <w:pPr>
              <w:spacing w:after="0" w:before="0" w:line="240" w:lineRule="auto"/>
              <w:jc w:val="left"/>
            </w:pPr>
            <w:r>
              <w:t>Ordered item, supplier, price, delivery terms</w:t>
            </w:r>
          </w:p>
        </w:tc>
      </w:tr>
    </w:tbl>
    <w:p/>
    <w:p>
      <w:r>
        <w:t>These documents complement each other. A BOM is not a substitute for a datasheet or schematic, and a purchase order is not proof that the supplied component matches the approved design.</w:t>
      </w:r>
    </w:p>
    <w:p>
      <w:pPr>
        <w:pStyle w:val="Heading2"/>
      </w:pPr>
      <w:r>
        <w:t>3. BOM types used in industrial projects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BOM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contents</w:t>
            </w:r>
          </w:p>
        </w:tc>
      </w:tr>
      <w:tr>
        <w:tc>
          <w:tcPr>
            <w:tcW w:type="dxa" w:w="3600"/>
          </w:tcPr>
          <w:p>
            <w:pPr>
              <w:spacing w:after="0" w:before="0" w:line="240" w:lineRule="auto"/>
              <w:jc w:val="left"/>
            </w:pPr>
            <w:r>
              <w:t>Engineering BOM (EBOM)</w:t>
            </w:r>
          </w:p>
        </w:tc>
        <w:tc>
          <w:tcPr>
            <w:tcW w:type="dxa" w:w="3600"/>
          </w:tcPr>
          <w:p>
            <w:pPr>
              <w:spacing w:after="0" w:before="0" w:line="240" w:lineRule="auto"/>
              <w:jc w:val="left"/>
            </w:pPr>
            <w:r>
              <w:t>Represents the engineered design</w:t>
            </w:r>
          </w:p>
        </w:tc>
        <w:tc>
          <w:tcPr>
            <w:tcW w:type="dxa" w:w="3600"/>
          </w:tcPr>
          <w:p>
            <w:pPr>
              <w:spacing w:after="0" w:before="0" w:line="240" w:lineRule="auto"/>
              <w:jc w:val="left"/>
            </w:pPr>
            <w:r>
              <w:t>Components and design hierarchy</w:t>
            </w:r>
          </w:p>
        </w:tc>
      </w:tr>
      <w:tr>
        <w:tc>
          <w:tcPr>
            <w:tcW w:type="dxa" w:w="3600"/>
          </w:tcPr>
          <w:p>
            <w:pPr>
              <w:spacing w:after="0" w:before="0" w:line="240" w:lineRule="auto"/>
              <w:jc w:val="left"/>
            </w:pPr>
            <w:r>
              <w:t>Manufacturing BOM (MBOM)</w:t>
            </w:r>
          </w:p>
        </w:tc>
        <w:tc>
          <w:tcPr>
            <w:tcW w:type="dxa" w:w="3600"/>
          </w:tcPr>
          <w:p>
            <w:pPr>
              <w:spacing w:after="0" w:before="0" w:line="240" w:lineRule="auto"/>
              <w:jc w:val="left"/>
            </w:pPr>
            <w:r>
              <w:t>Defines materials needed for assembly</w:t>
            </w:r>
          </w:p>
        </w:tc>
        <w:tc>
          <w:tcPr>
            <w:tcW w:type="dxa" w:w="3600"/>
          </w:tcPr>
          <w:p>
            <w:pPr>
              <w:spacing w:after="0" w:before="0" w:line="240" w:lineRule="auto"/>
              <w:jc w:val="left"/>
            </w:pPr>
            <w:r>
              <w:t>Components, subassemblies, assembly consumables</w:t>
            </w:r>
          </w:p>
        </w:tc>
      </w:tr>
      <w:tr>
        <w:tc>
          <w:tcPr>
            <w:tcW w:type="dxa" w:w="3600"/>
          </w:tcPr>
          <w:p>
            <w:pPr>
              <w:spacing w:after="0" w:before="0" w:line="240" w:lineRule="auto"/>
              <w:jc w:val="left"/>
            </w:pPr>
            <w:r>
              <w:t>Panel BOM</w:t>
            </w:r>
          </w:p>
        </w:tc>
        <w:tc>
          <w:tcPr>
            <w:tcW w:type="dxa" w:w="3600"/>
          </w:tcPr>
          <w:p>
            <w:pPr>
              <w:spacing w:after="0" w:before="0" w:line="240" w:lineRule="auto"/>
              <w:jc w:val="left"/>
            </w:pPr>
            <w:r>
              <w:t>Defines materials required for a control panel</w:t>
            </w:r>
          </w:p>
        </w:tc>
        <w:tc>
          <w:tcPr>
            <w:tcW w:type="dxa" w:w="3600"/>
          </w:tcPr>
          <w:p>
            <w:pPr>
              <w:spacing w:after="0" w:before="0" w:line="240" w:lineRule="auto"/>
              <w:jc w:val="left"/>
            </w:pPr>
            <w:r>
              <w:t>Enclosure, PLC, PSU, breakers, terminals, wiring accessories</w:t>
            </w:r>
          </w:p>
        </w:tc>
      </w:tr>
      <w:tr>
        <w:tc>
          <w:tcPr>
            <w:tcW w:type="dxa" w:w="3600"/>
          </w:tcPr>
          <w:p>
            <w:pPr>
              <w:spacing w:after="0" w:before="0" w:line="240" w:lineRule="auto"/>
              <w:jc w:val="left"/>
            </w:pPr>
            <w:r>
              <w:t>Machine BOM</w:t>
            </w:r>
          </w:p>
        </w:tc>
        <w:tc>
          <w:tcPr>
            <w:tcW w:type="dxa" w:w="3600"/>
          </w:tcPr>
          <w:p>
            <w:pPr>
              <w:spacing w:after="0" w:before="0" w:line="240" w:lineRule="auto"/>
              <w:jc w:val="left"/>
            </w:pPr>
            <w:r>
              <w:t>Defines materials for the complete machine</w:t>
            </w:r>
          </w:p>
        </w:tc>
        <w:tc>
          <w:tcPr>
            <w:tcW w:type="dxa" w:w="3600"/>
          </w:tcPr>
          <w:p>
            <w:pPr>
              <w:spacing w:after="0" w:before="0" w:line="240" w:lineRule="auto"/>
              <w:jc w:val="left"/>
            </w:pPr>
            <w:r>
              <w:t>Panels, motors, sensors, drives, cables, mechanical assemblies</w:t>
            </w:r>
          </w:p>
        </w:tc>
      </w:tr>
      <w:tr>
        <w:tc>
          <w:tcPr>
            <w:tcW w:type="dxa" w:w="3600"/>
          </w:tcPr>
          <w:p>
            <w:pPr>
              <w:spacing w:after="0" w:before="0" w:line="240" w:lineRule="auto"/>
              <w:jc w:val="left"/>
            </w:pPr>
            <w:r>
              <w:t>Installation BOM</w:t>
            </w:r>
          </w:p>
        </w:tc>
        <w:tc>
          <w:tcPr>
            <w:tcW w:type="dxa" w:w="3600"/>
          </w:tcPr>
          <w:p>
            <w:pPr>
              <w:spacing w:after="0" w:before="0" w:line="240" w:lineRule="auto"/>
              <w:jc w:val="left"/>
            </w:pPr>
            <w:r>
              <w:t>Defines site installation materials</w:t>
            </w:r>
          </w:p>
        </w:tc>
        <w:tc>
          <w:tcPr>
            <w:tcW w:type="dxa" w:w="3600"/>
          </w:tcPr>
          <w:p>
            <w:pPr>
              <w:spacing w:after="0" w:before="0" w:line="240" w:lineRule="auto"/>
              <w:jc w:val="left"/>
            </w:pPr>
            <w:r>
              <w:t>Cables, glands, conduits, supports, junction boxes</w:t>
            </w:r>
          </w:p>
        </w:tc>
      </w:tr>
      <w:tr>
        <w:tc>
          <w:tcPr>
            <w:tcW w:type="dxa" w:w="3600"/>
          </w:tcPr>
          <w:p>
            <w:pPr>
              <w:spacing w:after="0" w:before="0" w:line="240" w:lineRule="auto"/>
              <w:jc w:val="left"/>
            </w:pPr>
            <w:r>
              <w:t>Procurement BOM</w:t>
            </w:r>
          </w:p>
        </w:tc>
        <w:tc>
          <w:tcPr>
            <w:tcW w:type="dxa" w:w="3600"/>
          </w:tcPr>
          <w:p>
            <w:pPr>
              <w:spacing w:after="0" w:before="0" w:line="240" w:lineRule="auto"/>
              <w:jc w:val="left"/>
            </w:pPr>
            <w:r>
              <w:t>Organizes purchasing requirements</w:t>
            </w:r>
          </w:p>
        </w:tc>
        <w:tc>
          <w:tcPr>
            <w:tcW w:type="dxa" w:w="3600"/>
          </w:tcPr>
          <w:p>
            <w:pPr>
              <w:spacing w:after="0" w:before="0" w:line="240" w:lineRule="auto"/>
              <w:jc w:val="left"/>
            </w:pPr>
            <w:r>
              <w:t>Approved part numbers, quantities, suppliers or sourcing details</w:t>
            </w:r>
          </w:p>
        </w:tc>
      </w:tr>
      <w:tr>
        <w:tc>
          <w:tcPr>
            <w:tcW w:type="dxa" w:w="3600"/>
          </w:tcPr>
          <w:p>
            <w:pPr>
              <w:spacing w:after="0" w:before="0" w:line="240" w:lineRule="auto"/>
              <w:jc w:val="left"/>
            </w:pPr>
            <w:r>
              <w:t>Maintenance spare-parts list</w:t>
            </w:r>
          </w:p>
        </w:tc>
        <w:tc>
          <w:tcPr>
            <w:tcW w:type="dxa" w:w="3600"/>
          </w:tcPr>
          <w:p>
            <w:pPr>
              <w:spacing w:after="0" w:before="0" w:line="240" w:lineRule="auto"/>
              <w:jc w:val="left"/>
            </w:pPr>
            <w:r>
              <w:t>Supports repair and maintenance</w:t>
            </w:r>
          </w:p>
        </w:tc>
        <w:tc>
          <w:tcPr>
            <w:tcW w:type="dxa" w:w="3600"/>
          </w:tcPr>
          <w:p>
            <w:pPr>
              <w:spacing w:after="0" w:before="0" w:line="240" w:lineRule="auto"/>
              <w:jc w:val="left"/>
            </w:pPr>
            <w:r>
              <w:t>Critical spares, repair kits, replacement parts</w:t>
            </w:r>
          </w:p>
        </w:tc>
      </w:tr>
      <w:tr>
        <w:tc>
          <w:tcPr>
            <w:tcW w:type="dxa" w:w="3600"/>
          </w:tcPr>
          <w:p>
            <w:pPr>
              <w:spacing w:after="0" w:before="0" w:line="240" w:lineRule="auto"/>
              <w:jc w:val="left"/>
            </w:pPr>
            <w:r>
              <w:t>As-built BOM</w:t>
            </w:r>
          </w:p>
        </w:tc>
        <w:tc>
          <w:tcPr>
            <w:tcW w:type="dxa" w:w="3600"/>
          </w:tcPr>
          <w:p>
            <w:pPr>
              <w:spacing w:after="0" w:before="0" w:line="240" w:lineRule="auto"/>
              <w:jc w:val="left"/>
            </w:pPr>
            <w:r>
              <w:t>Represents the final installed configuration</w:t>
            </w:r>
          </w:p>
        </w:tc>
        <w:tc>
          <w:tcPr>
            <w:tcW w:type="dxa" w:w="3600"/>
          </w:tcPr>
          <w:p>
            <w:pPr>
              <w:spacing w:after="0" w:before="0" w:line="240" w:lineRule="auto"/>
              <w:jc w:val="left"/>
            </w:pPr>
            <w:r>
              <w:t>Actual installed parts and approved substitutions</w:t>
            </w:r>
          </w:p>
        </w:tc>
      </w:tr>
    </w:tbl>
    <w:p/>
    <w:p>
      <w:r>
        <w:t>The precise naming varies between organizations. Some companies manage all these views in one product lifecycle management (PLM), enterprise resource planning (ERP), or engineering system.</w:t>
      </w:r>
    </w:p>
    <w:p>
      <w:pPr>
        <w:pStyle w:val="Heading3"/>
      </w:pPr>
      <w:r>
        <w:t>3.1 Engineering BOM versus manufacturing BOM</w:t>
      </w:r>
    </w:p>
    <w:p>
      <w:r>
        <w:t>An engineering BOM reflects how the design is defined. A manufacturing BOM reflects how the equipment is actually assembled and built.</w:t>
      </w:r>
    </w:p>
    <w:p>
      <w:r>
        <w:t>For example, an engineering design may specify a terminal assembly. The manufacturing BOM may additionally require end plates, separators, jumpers, marking strips, mounting rails, and other assembly accessories.</w:t>
      </w:r>
    </w:p>
    <w:p>
      <w:r>
        <w:t>These additional materials should not be assumed to be automatically included in a component's base part number.</w:t>
      </w:r>
    </w:p>
    <w:p>
      <w:pPr>
        <w:pStyle w:val="Heading2"/>
      </w:pPr>
      <w:r>
        <w:t>4. BOM hierarchy and structure</w:t>
      </w:r>
    </w:p>
    <w:p>
      <w:r>
        <w:t>Complex machines should use a hierarchical BOM rather than a single unstructured list.</w:t>
      </w:r>
    </w:p>
    <w:p>
      <w:pPr>
        <w:shd w:val="clear" w:color="auto" w:fill="F4F4F4"/>
        <w:spacing w:before="0" w:after="0" w:line="240" w:lineRule="auto"/>
        <w:ind w:left="216" w:right="216"/>
        <w:jc w:val="left"/>
      </w:pPr>
      <w:r>
        <w:rPr>
          <w:rFonts w:ascii="Consolas" w:hAnsi="Consolas"/>
          <w:color w:val="202020"/>
          <w:sz w:val="18"/>
        </w:rPr>
        <w:t>Machine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Panel CP01</w:t>
      </w:r>
    </w:p>
    <w:p>
      <w:pPr>
        <w:shd w:val="clear" w:color="auto" w:fill="F4F4F4"/>
        <w:spacing w:before="0" w:after="0" w:line="240" w:lineRule="auto"/>
        <w:ind w:left="216" w:right="216"/>
        <w:jc w:val="left"/>
      </w:pPr>
      <w:r>
        <w:rPr>
          <w:rFonts w:ascii="Consolas" w:hAnsi="Consolas"/>
          <w:color w:val="202020"/>
          <w:sz w:val="18"/>
        </w:rPr>
        <w:t xml:space="preserve">      ├── Enclosure and mounting</w:t>
      </w:r>
    </w:p>
    <w:p>
      <w:pPr>
        <w:shd w:val="clear" w:color="auto" w:fill="F4F4F4"/>
        <w:spacing w:before="0" w:after="0" w:line="240" w:lineRule="auto"/>
        <w:ind w:left="216" w:right="216"/>
        <w:jc w:val="left"/>
      </w:pPr>
      <w:r>
        <w:rPr>
          <w:rFonts w:ascii="Consolas" w:hAnsi="Consolas"/>
          <w:color w:val="202020"/>
          <w:sz w:val="18"/>
        </w:rPr>
        <w:t xml:space="preserve">      ├── Incoming power and protection</w:t>
      </w:r>
    </w:p>
    <w:p>
      <w:pPr>
        <w:shd w:val="clear" w:color="auto" w:fill="F4F4F4"/>
        <w:spacing w:before="0" w:after="0" w:line="240" w:lineRule="auto"/>
        <w:ind w:left="216" w:right="216"/>
        <w:jc w:val="left"/>
      </w:pPr>
      <w:r>
        <w:rPr>
          <w:rFonts w:ascii="Consolas" w:hAnsi="Consolas"/>
          <w:color w:val="202020"/>
          <w:sz w:val="18"/>
        </w:rPr>
        <w:t xml:space="preserve">      ├── Control power</w:t>
      </w:r>
    </w:p>
    <w:p>
      <w:pPr>
        <w:shd w:val="clear" w:color="auto" w:fill="F4F4F4"/>
        <w:spacing w:before="0" w:after="0" w:line="240" w:lineRule="auto"/>
        <w:ind w:left="216" w:right="216"/>
        <w:jc w:val="left"/>
      </w:pPr>
      <w:r>
        <w:rPr>
          <w:rFonts w:ascii="Consolas" w:hAnsi="Consolas"/>
          <w:color w:val="202020"/>
          <w:sz w:val="18"/>
        </w:rPr>
        <w:t xml:space="preserve">      ├── PLC and I/O</w:t>
      </w:r>
    </w:p>
    <w:p>
      <w:pPr>
        <w:shd w:val="clear" w:color="auto" w:fill="F4F4F4"/>
        <w:spacing w:before="0" w:after="0" w:line="240" w:lineRule="auto"/>
        <w:ind w:left="216" w:right="216"/>
        <w:jc w:val="left"/>
      </w:pPr>
      <w:r>
        <w:rPr>
          <w:rFonts w:ascii="Consolas" w:hAnsi="Consolas"/>
          <w:color w:val="202020"/>
          <w:sz w:val="18"/>
        </w:rPr>
        <w:t xml:space="preserve">      ├── Network equipment</w:t>
      </w:r>
    </w:p>
    <w:p>
      <w:pPr>
        <w:shd w:val="clear" w:color="auto" w:fill="F4F4F4"/>
        <w:spacing w:before="0" w:after="0" w:line="240" w:lineRule="auto"/>
        <w:ind w:left="216" w:right="216"/>
        <w:jc w:val="left"/>
      </w:pPr>
      <w:r>
        <w:rPr>
          <w:rFonts w:ascii="Consolas" w:hAnsi="Consolas"/>
          <w:color w:val="202020"/>
          <w:sz w:val="18"/>
        </w:rPr>
        <w:t xml:space="preserve">      ├── Terminals and wiring accessories</w:t>
      </w:r>
    </w:p>
    <w:p>
      <w:pPr>
        <w:shd w:val="clear" w:color="auto" w:fill="F4F4F4"/>
        <w:spacing w:before="0" w:after="0" w:line="240" w:lineRule="auto"/>
        <w:ind w:left="216" w:right="216"/>
        <w:jc w:val="left"/>
      </w:pPr>
      <w:r>
        <w:rPr>
          <w:rFonts w:ascii="Consolas" w:hAnsi="Consolas"/>
          <w:color w:val="202020"/>
          <w:sz w:val="18"/>
        </w:rPr>
        <w:t xml:space="preserve">      └── Cooling and environmental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Equipment</w:t>
      </w:r>
    </w:p>
    <w:p>
      <w:pPr>
        <w:shd w:val="clear" w:color="auto" w:fill="F4F4F4"/>
        <w:spacing w:before="0" w:after="0" w:line="240" w:lineRule="auto"/>
        <w:ind w:left="216" w:right="216"/>
        <w:jc w:val="left"/>
      </w:pPr>
      <w:r>
        <w:rPr>
          <w:rFonts w:ascii="Consolas" w:hAnsi="Consolas"/>
          <w:color w:val="202020"/>
          <w:sz w:val="18"/>
        </w:rPr>
        <w:t xml:space="preserve">      ├── Motors and drives</w:t>
      </w:r>
    </w:p>
    <w:p>
      <w:pPr>
        <w:shd w:val="clear" w:color="auto" w:fill="F4F4F4"/>
        <w:spacing w:before="0" w:after="0" w:line="240" w:lineRule="auto"/>
        <w:ind w:left="216" w:right="216"/>
        <w:jc w:val="left"/>
      </w:pPr>
      <w:r>
        <w:rPr>
          <w:rFonts w:ascii="Consolas" w:hAnsi="Consolas"/>
          <w:color w:val="202020"/>
          <w:sz w:val="18"/>
        </w:rPr>
        <w:t xml:space="preserve">      ├── Sensors and actuators</w:t>
      </w:r>
    </w:p>
    <w:p>
      <w:pPr>
        <w:shd w:val="clear" w:color="auto" w:fill="F4F4F4"/>
        <w:spacing w:before="0" w:after="0" w:line="240" w:lineRule="auto"/>
        <w:ind w:left="216" w:right="216"/>
        <w:jc w:val="left"/>
      </w:pPr>
      <w:r>
        <w:rPr>
          <w:rFonts w:ascii="Consolas" w:hAnsi="Consolas"/>
          <w:color w:val="202020"/>
          <w:sz w:val="18"/>
        </w:rPr>
        <w:t xml:space="preserve">      ├── Junction boxes</w:t>
      </w:r>
    </w:p>
    <w:p>
      <w:pPr>
        <w:shd w:val="clear" w:color="auto" w:fill="F4F4F4"/>
        <w:spacing w:before="0" w:after="0" w:line="240" w:lineRule="auto"/>
        <w:ind w:left="216" w:right="216"/>
        <w:jc w:val="left"/>
      </w:pPr>
      <w:r>
        <w:rPr>
          <w:rFonts w:ascii="Consolas" w:hAnsi="Consolas"/>
          <w:color w:val="202020"/>
          <w:sz w:val="18"/>
        </w:rPr>
        <w:t xml:space="preserve">      └── Field cables and connectors</w:t>
      </w:r>
    </w:p>
    <w:p/>
    <w:p>
      <w:r>
        <w:t>The hierarchy allows the project team to understand where each item belongs and to generate material requirements at different levels.</w:t>
      </w:r>
    </w:p>
    <w:p>
      <w:r>
        <w:t xml:space="preserve">For example, a maintenance engineer may need the complete machine BOM, while a panel builder may need only the materials assigned to panel </w:t>
      </w:r>
      <w:r>
        <w:rPr>
          <w:rFonts w:ascii="Consolas" w:hAnsi="Consolas"/>
          <w:color w:val="333333"/>
          <w:sz w:val="19"/>
          <w:shd w:val="clear" w:color="auto" w:fill="EFEFEF"/>
        </w:rPr>
        <w:t>CP01</w:t>
      </w:r>
      <w:r>
        <w:t>.</w:t>
      </w:r>
    </w:p>
    <w:p>
      <w:r>
        <w:t>A clear hierarchy also prevents the same material from being counted twice when combining subsystem BOMs.</w:t>
      </w:r>
    </w:p>
    <w:p>
      <w:pPr>
        <w:pStyle w:val="Heading2"/>
      </w:pPr>
      <w:r>
        <w:t>5. Essential BOM fields</w:t>
      </w:r>
    </w:p>
    <w:p>
      <w:r>
        <w:t>The exact columns depend on the system, but a practical industrial BOM should contain sufficient technical, purchasing, assembly, and lifecycle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BOM item number</w:t>
            </w:r>
          </w:p>
        </w:tc>
        <w:tc>
          <w:tcPr>
            <w:tcW w:type="dxa" w:w="5400"/>
          </w:tcPr>
          <w:p>
            <w:pPr>
              <w:spacing w:after="0" w:before="0" w:line="240" w:lineRule="auto"/>
              <w:jc w:val="left"/>
            </w:pPr>
            <w:r>
              <w:t>Identifies a line within the BOM</w:t>
            </w:r>
          </w:p>
        </w:tc>
      </w:tr>
      <w:tr>
        <w:tc>
          <w:tcPr>
            <w:tcW w:type="dxa" w:w="5400"/>
          </w:tcPr>
          <w:p>
            <w:pPr>
              <w:spacing w:after="0" w:before="0" w:line="240" w:lineRule="auto"/>
              <w:jc w:val="left"/>
            </w:pPr>
            <w:r>
              <w:t>Parent assembly</w:t>
            </w:r>
          </w:p>
        </w:tc>
        <w:tc>
          <w:tcPr>
            <w:tcW w:type="dxa" w:w="5400"/>
          </w:tcPr>
          <w:p>
            <w:pPr>
              <w:spacing w:after="0" w:before="0" w:line="240" w:lineRule="auto"/>
              <w:jc w:val="left"/>
            </w:pPr>
            <w:r>
              <w:t>Identifies the subsystem containing the item</w:t>
            </w:r>
          </w:p>
        </w:tc>
      </w:tr>
      <w:tr>
        <w:tc>
          <w:tcPr>
            <w:tcW w:type="dxa" w:w="5400"/>
          </w:tcPr>
          <w:p>
            <w:pPr>
              <w:spacing w:after="0" w:before="0" w:line="240" w:lineRule="auto"/>
              <w:jc w:val="left"/>
            </w:pPr>
            <w:r>
              <w:t>Equipment or tag ID</w:t>
            </w:r>
          </w:p>
        </w:tc>
        <w:tc>
          <w:tcPr>
            <w:tcW w:type="dxa" w:w="5400"/>
          </w:tcPr>
          <w:p>
            <w:pPr>
              <w:spacing w:after="0" w:before="0" w:line="240" w:lineRule="auto"/>
              <w:jc w:val="left"/>
            </w:pPr>
            <w:r>
              <w:t>Links the item to the drawing or physical device</w:t>
            </w:r>
          </w:p>
        </w:tc>
      </w:tr>
      <w:tr>
        <w:tc>
          <w:tcPr>
            <w:tcW w:type="dxa" w:w="5400"/>
          </w:tcPr>
          <w:p>
            <w:pPr>
              <w:spacing w:after="0" w:before="0" w:line="240" w:lineRule="auto"/>
              <w:jc w:val="left"/>
            </w:pPr>
            <w:r>
              <w:t>Material code</w:t>
            </w:r>
          </w:p>
        </w:tc>
        <w:tc>
          <w:tcPr>
            <w:tcW w:type="dxa" w:w="5400"/>
          </w:tcPr>
          <w:p>
            <w:pPr>
              <w:spacing w:after="0" w:before="0" w:line="240" w:lineRule="auto"/>
              <w:jc w:val="left"/>
            </w:pPr>
            <w:r>
              <w:t>Internal ERP or inventory identifier</w:t>
            </w:r>
          </w:p>
        </w:tc>
      </w:tr>
      <w:tr>
        <w:tc>
          <w:tcPr>
            <w:tcW w:type="dxa" w:w="5400"/>
          </w:tcPr>
          <w:p>
            <w:pPr>
              <w:spacing w:after="0" w:before="0" w:line="240" w:lineRule="auto"/>
              <w:jc w:val="left"/>
            </w:pPr>
            <w:r>
              <w:t>Description</w:t>
            </w:r>
          </w:p>
        </w:tc>
        <w:tc>
          <w:tcPr>
            <w:tcW w:type="dxa" w:w="5400"/>
          </w:tcPr>
          <w:p>
            <w:pPr>
              <w:spacing w:after="0" w:before="0" w:line="240" w:lineRule="auto"/>
              <w:jc w:val="left"/>
            </w:pPr>
            <w:r>
              <w:t>Clear component or material description</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component manufacturer</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Identifies the exact product</w:t>
            </w:r>
          </w:p>
        </w:tc>
      </w:tr>
      <w:tr>
        <w:tc>
          <w:tcPr>
            <w:tcW w:type="dxa" w:w="5400"/>
          </w:tcPr>
          <w:p>
            <w:pPr>
              <w:spacing w:after="0" w:before="0" w:line="240" w:lineRule="auto"/>
              <w:jc w:val="left"/>
            </w:pPr>
            <w:r>
              <w:t>Technical specification</w:t>
            </w:r>
          </w:p>
        </w:tc>
        <w:tc>
          <w:tcPr>
            <w:tcW w:type="dxa" w:w="5400"/>
          </w:tcPr>
          <w:p>
            <w:pPr>
              <w:spacing w:after="0" w:before="0" w:line="240" w:lineRule="auto"/>
              <w:jc w:val="left"/>
            </w:pPr>
            <w:r>
              <w:t>Records important ratings and characteristics</w:t>
            </w:r>
          </w:p>
        </w:tc>
      </w:tr>
      <w:tr>
        <w:tc>
          <w:tcPr>
            <w:tcW w:type="dxa" w:w="5400"/>
          </w:tcPr>
          <w:p>
            <w:pPr>
              <w:spacing w:after="0" w:before="0" w:line="240" w:lineRule="auto"/>
              <w:jc w:val="left"/>
            </w:pPr>
            <w:r>
              <w:t>Quantity</w:t>
            </w:r>
          </w:p>
        </w:tc>
        <w:tc>
          <w:tcPr>
            <w:tcW w:type="dxa" w:w="5400"/>
          </w:tcPr>
          <w:p>
            <w:pPr>
              <w:spacing w:after="0" w:before="0" w:line="240" w:lineRule="auto"/>
              <w:jc w:val="left"/>
            </w:pPr>
            <w:r>
              <w:t>Required number of items</w:t>
            </w:r>
          </w:p>
        </w:tc>
      </w:tr>
      <w:tr>
        <w:tc>
          <w:tcPr>
            <w:tcW w:type="dxa" w:w="5400"/>
          </w:tcPr>
          <w:p>
            <w:pPr>
              <w:spacing w:after="0" w:before="0" w:line="240" w:lineRule="auto"/>
              <w:jc w:val="left"/>
            </w:pPr>
            <w:r>
              <w:t>Unit of measure</w:t>
            </w:r>
          </w:p>
        </w:tc>
        <w:tc>
          <w:tcPr>
            <w:tcW w:type="dxa" w:w="5400"/>
          </w:tcPr>
          <w:p>
            <w:pPr>
              <w:spacing w:after="0" w:before="0" w:line="240" w:lineRule="auto"/>
              <w:jc w:val="left"/>
            </w:pPr>
            <w:r>
              <w:t>Defines how quantity is counted or measured</w:t>
            </w:r>
          </w:p>
        </w:tc>
      </w:tr>
      <w:tr>
        <w:tc>
          <w:tcPr>
            <w:tcW w:type="dxa" w:w="5400"/>
          </w:tcPr>
          <w:p>
            <w:pPr>
              <w:spacing w:after="0" w:before="0" w:line="240" w:lineRule="auto"/>
              <w:jc w:val="left"/>
            </w:pPr>
            <w:r>
              <w:t>Approved alternative</w:t>
            </w:r>
          </w:p>
        </w:tc>
        <w:tc>
          <w:tcPr>
            <w:tcW w:type="dxa" w:w="5400"/>
          </w:tcPr>
          <w:p>
            <w:pPr>
              <w:spacing w:after="0" w:before="0" w:line="240" w:lineRule="auto"/>
              <w:jc w:val="left"/>
            </w:pPr>
            <w:r>
              <w:t>Identifies a formally approved substitute</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Identifies active, discontinued, or obsolete status</w:t>
            </w:r>
          </w:p>
        </w:tc>
      </w:tr>
      <w:tr>
        <w:tc>
          <w:tcPr>
            <w:tcW w:type="dxa" w:w="5400"/>
          </w:tcPr>
          <w:p>
            <w:pPr>
              <w:spacing w:after="0" w:before="0" w:line="240" w:lineRule="auto"/>
              <w:jc w:val="left"/>
            </w:pPr>
            <w:r>
              <w:t>Procurement status</w:t>
            </w:r>
          </w:p>
        </w:tc>
        <w:tc>
          <w:tcPr>
            <w:tcW w:type="dxa" w:w="5400"/>
          </w:tcPr>
          <w:p>
            <w:pPr>
              <w:spacing w:after="0" w:before="0" w:line="240" w:lineRule="auto"/>
              <w:jc w:val="left"/>
            </w:pPr>
            <w:r>
              <w:t>Tracks sourcing or ordering progress</w:t>
            </w:r>
          </w:p>
        </w:tc>
      </w:tr>
      <w:tr>
        <w:tc>
          <w:tcPr>
            <w:tcW w:type="dxa" w:w="5400"/>
          </w:tcPr>
          <w:p>
            <w:pPr>
              <w:spacing w:after="0" w:before="0" w:line="240" w:lineRule="auto"/>
              <w:jc w:val="left"/>
            </w:pPr>
            <w:r>
              <w:t>Lead time</w:t>
            </w:r>
          </w:p>
        </w:tc>
        <w:tc>
          <w:tcPr>
            <w:tcW w:type="dxa" w:w="5400"/>
          </w:tcPr>
          <w:p>
            <w:pPr>
              <w:spacing w:after="0" w:before="0" w:line="240" w:lineRule="auto"/>
              <w:jc w:val="left"/>
            </w:pPr>
            <w:r>
              <w:t>Supports delivery planning</w:t>
            </w:r>
          </w:p>
        </w:tc>
      </w:tr>
      <w:tr>
        <w:tc>
          <w:tcPr>
            <w:tcW w:type="dxa" w:w="5400"/>
          </w:tcPr>
          <w:p>
            <w:pPr>
              <w:spacing w:after="0" w:before="0" w:line="240" w:lineRule="auto"/>
              <w:jc w:val="left"/>
            </w:pPr>
            <w:r>
              <w:t>Criticality</w:t>
            </w:r>
          </w:p>
        </w:tc>
        <w:tc>
          <w:tcPr>
            <w:tcW w:type="dxa" w:w="5400"/>
          </w:tcPr>
          <w:p>
            <w:pPr>
              <w:spacing w:after="0" w:before="0" w:line="240" w:lineRule="auto"/>
              <w:jc w:val="left"/>
            </w:pPr>
            <w:r>
              <w:t>Supports spare-parts and risk assessment</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Links the item to the relevant design document</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applicable design revision</w:t>
            </w:r>
          </w:p>
        </w:tc>
      </w:tr>
      <w:tr>
        <w:tc>
          <w:tcPr>
            <w:tcW w:type="dxa" w:w="5400"/>
          </w:tcPr>
          <w:p>
            <w:pPr>
              <w:spacing w:after="0" w:before="0" w:line="240" w:lineRule="auto"/>
              <w:jc w:val="left"/>
            </w:pPr>
            <w:r>
              <w:t>Remarks</w:t>
            </w:r>
          </w:p>
        </w:tc>
        <w:tc>
          <w:tcPr>
            <w:tcW w:type="dxa" w:w="5400"/>
          </w:tcPr>
          <w:p>
            <w:pPr>
              <w:spacing w:after="0" w:before="0" w:line="240" w:lineRule="auto"/>
              <w:jc w:val="left"/>
            </w:pPr>
            <w:r>
              <w:t>Records special installation or purchasing requirements</w:t>
            </w:r>
          </w:p>
        </w:tc>
      </w:tr>
    </w:tbl>
    <w:p/>
    <w:p>
      <w:r>
        <w:t>Not every field must be included in every spreadsheet. Some are maintained in ERP, PLM, or procurement systems and referenced by the engineering BOM.</w:t>
      </w:r>
    </w:p>
    <w:p>
      <w:pPr>
        <w:pStyle w:val="Heading2"/>
      </w:pPr>
      <w:r>
        <w:t>6. Component identification and part-number accuracy</w:t>
      </w:r>
    </w:p>
    <w:p>
      <w:r>
        <w:t>The manufacturer's exact part number is one of the most important BOM fields.</w:t>
      </w:r>
    </w:p>
    <w:p>
      <w:r>
        <w:t>A generic description such as "24 VDC power supply" is insufficient for procurement. Two power supplies with the same nominal voltage may differ in output current, overload behavior, mounting dimensions, approvals, redundancy capability, ambient-temperature rating, and short-circuit behavior.</w:t>
      </w:r>
    </w:p>
    <w:p>
      <w:r>
        <w:t>For each specified component, verify:</w:t>
      </w:r>
    </w:p>
    <w:p>
      <w:pPr>
        <w:pStyle w:val="ListBullet"/>
      </w:pPr>
      <w:r>
        <w:t>Manufacturer and exact order code.</w:t>
      </w:r>
    </w:p>
    <w:p>
      <w:pPr>
        <w:pStyle w:val="ListBullet"/>
      </w:pPr>
      <w:r>
        <w:t>Electrical and mechanical ratings.</w:t>
      </w:r>
    </w:p>
    <w:p>
      <w:pPr>
        <w:pStyle w:val="ListBullet"/>
      </w:pPr>
      <w:r>
        <w:t>Number and type of terminals or connectors.</w:t>
      </w:r>
    </w:p>
    <w:p>
      <w:pPr>
        <w:pStyle w:val="ListBullet"/>
      </w:pPr>
      <w:r>
        <w:t>Dimensions and mounting requirements.</w:t>
      </w:r>
    </w:p>
    <w:p>
      <w:pPr>
        <w:pStyle w:val="ListBullet"/>
      </w:pPr>
      <w:r>
        <w:t>Environmental rating and operating temperature.</w:t>
      </w:r>
    </w:p>
    <w:p>
      <w:pPr>
        <w:pStyle w:val="ListBullet"/>
      </w:pPr>
      <w:r>
        <w:t>Required accessories and compatible options.</w:t>
      </w:r>
    </w:p>
    <w:p>
      <w:pPr>
        <w:pStyle w:val="ListBullet"/>
      </w:pPr>
      <w:r>
        <w:t>Applicable approvals and standards.</w:t>
      </w:r>
    </w:p>
    <w:p>
      <w:pPr>
        <w:pStyle w:val="ListBullet"/>
      </w:pPr>
      <w:r>
        <w:t>Firmware or configuration compatibility where relevant.</w:t>
      </w:r>
    </w:p>
    <w:p>
      <w:pPr>
        <w:pStyle w:val="ListBullet"/>
      </w:pPr>
      <w:r>
        <w:t>Lifecycle status and availability of replacement parts.</w:t>
      </w:r>
    </w:p>
    <w:p>
      <w:r>
        <w:t>Use the current manufacturer's datasheet and ordering information. Similar model names do not guarantee identical specifications.</w:t>
      </w:r>
    </w:p>
    <w:p>
      <w:pPr>
        <w:pStyle w:val="Heading3"/>
      </w:pPr>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BOM item</w:t>
            </w:r>
          </w:p>
        </w:tc>
        <w:tc>
          <w:tcPr>
            <w:tcW w:type="dxa" w:w="2700"/>
            <w:shd w:val="clear" w:color="auto" w:fill="EEF2F7"/>
          </w:tcPr>
          <w:p>
            <w:pPr>
              <w:spacing w:after="0" w:before="0" w:line="240" w:lineRule="auto"/>
              <w:jc w:val="left"/>
            </w:pPr>
            <w:r>
              <w:rPr>
                <w:b/>
                <w:color w:val="1A2E4A"/>
              </w:rPr>
              <w:t>Description</w:t>
            </w:r>
          </w:p>
        </w:tc>
        <w:tc>
          <w:tcPr>
            <w:tcW w:type="dxa" w:w="2700"/>
            <w:shd w:val="clear" w:color="auto" w:fill="EEF2F7"/>
          </w:tcPr>
          <w:p>
            <w:pPr>
              <w:spacing w:after="0" w:before="0" w:line="240" w:lineRule="auto"/>
              <w:jc w:val="left"/>
            </w:pPr>
            <w:r>
              <w:rPr>
                <w:b/>
                <w:color w:val="1A2E4A"/>
              </w:rPr>
              <w:t>Manufacturer part number</w:t>
            </w:r>
          </w:p>
        </w:tc>
        <w:tc>
          <w:tcPr>
            <w:tcW w:type="dxa" w:w="2700"/>
            <w:shd w:val="clear" w:color="auto" w:fill="EEF2F7"/>
          </w:tcPr>
          <w:p>
            <w:pPr>
              <w:spacing w:after="0" w:before="0" w:line="240" w:lineRule="auto"/>
              <w:jc w:val="left"/>
            </w:pPr>
            <w:r>
              <w:rPr>
                <w:b/>
                <w:color w:val="1A2E4A"/>
              </w:rPr>
              <w:t>Quantity</w:t>
            </w:r>
          </w:p>
        </w:tc>
      </w:tr>
      <w:tr>
        <w:tc>
          <w:tcPr>
            <w:tcW w:type="dxa" w:w="2700"/>
          </w:tcPr>
          <w:p>
            <w:pPr>
              <w:spacing w:after="0" w:before="0" w:line="240" w:lineRule="auto"/>
              <w:jc w:val="left"/>
            </w:pPr>
            <w:r>
              <w:t>001</w:t>
            </w:r>
          </w:p>
        </w:tc>
        <w:tc>
          <w:tcPr>
            <w:tcW w:type="dxa" w:w="2700"/>
          </w:tcPr>
          <w:p>
            <w:pPr>
              <w:spacing w:after="0" w:before="0" w:line="240" w:lineRule="auto"/>
              <w:jc w:val="left"/>
            </w:pPr>
            <w:r>
              <w:t>PLC CPU</w:t>
            </w:r>
          </w:p>
        </w:tc>
        <w:tc>
          <w:tcPr>
            <w:tcW w:type="dxa" w:w="2700"/>
          </w:tcPr>
          <w:p>
            <w:pPr>
              <w:spacing w:after="0" w:before="0" w:line="240" w:lineRule="auto"/>
              <w:jc w:val="left"/>
            </w:pPr>
            <w:r>
              <w:t>Approved exact order code</w:t>
            </w:r>
          </w:p>
        </w:tc>
        <w:tc>
          <w:tcPr>
            <w:tcW w:type="dxa" w:w="2700"/>
          </w:tcPr>
          <w:p>
            <w:pPr>
              <w:spacing w:after="0" w:before="0" w:line="240" w:lineRule="auto"/>
              <w:jc w:val="left"/>
            </w:pPr>
            <w:r>
              <w:t>1</w:t>
            </w:r>
          </w:p>
        </w:tc>
      </w:tr>
      <w:tr>
        <w:tc>
          <w:tcPr>
            <w:tcW w:type="dxa" w:w="2700"/>
          </w:tcPr>
          <w:p>
            <w:pPr>
              <w:spacing w:after="0" w:before="0" w:line="240" w:lineRule="auto"/>
              <w:jc w:val="left"/>
            </w:pPr>
            <w:r>
              <w:t>002</w:t>
            </w:r>
          </w:p>
        </w:tc>
        <w:tc>
          <w:tcPr>
            <w:tcW w:type="dxa" w:w="2700"/>
          </w:tcPr>
          <w:p>
            <w:pPr>
              <w:spacing w:after="0" w:before="0" w:line="240" w:lineRule="auto"/>
              <w:jc w:val="left"/>
            </w:pPr>
            <w:r>
              <w:t>Digital input module</w:t>
            </w:r>
          </w:p>
        </w:tc>
        <w:tc>
          <w:tcPr>
            <w:tcW w:type="dxa" w:w="2700"/>
          </w:tcPr>
          <w:p>
            <w:pPr>
              <w:spacing w:after="0" w:before="0" w:line="240" w:lineRule="auto"/>
              <w:jc w:val="left"/>
            </w:pPr>
            <w:r>
              <w:t>Approved exact order code</w:t>
            </w:r>
          </w:p>
        </w:tc>
        <w:tc>
          <w:tcPr>
            <w:tcW w:type="dxa" w:w="2700"/>
          </w:tcPr>
          <w:p>
            <w:pPr>
              <w:spacing w:after="0" w:before="0" w:line="240" w:lineRule="auto"/>
              <w:jc w:val="left"/>
            </w:pPr>
            <w:r>
              <w:t>2</w:t>
            </w:r>
          </w:p>
        </w:tc>
      </w:tr>
      <w:tr>
        <w:tc>
          <w:tcPr>
            <w:tcW w:type="dxa" w:w="2700"/>
          </w:tcPr>
          <w:p>
            <w:pPr>
              <w:spacing w:after="0" w:before="0" w:line="240" w:lineRule="auto"/>
              <w:jc w:val="left"/>
            </w:pPr>
            <w:r>
              <w:t>003</w:t>
            </w:r>
          </w:p>
        </w:tc>
        <w:tc>
          <w:tcPr>
            <w:tcW w:type="dxa" w:w="2700"/>
          </w:tcPr>
          <w:p>
            <w:pPr>
              <w:spacing w:after="0" w:before="0" w:line="240" w:lineRule="auto"/>
              <w:jc w:val="left"/>
            </w:pPr>
            <w:r>
              <w:t>24 VDC power supply</w:t>
            </w:r>
          </w:p>
        </w:tc>
        <w:tc>
          <w:tcPr>
            <w:tcW w:type="dxa" w:w="2700"/>
          </w:tcPr>
          <w:p>
            <w:pPr>
              <w:spacing w:after="0" w:before="0" w:line="240" w:lineRule="auto"/>
              <w:jc w:val="left"/>
            </w:pPr>
            <w:r>
              <w:t>Approved exact order code</w:t>
            </w:r>
          </w:p>
        </w:tc>
        <w:tc>
          <w:tcPr>
            <w:tcW w:type="dxa" w:w="2700"/>
          </w:tcPr>
          <w:p>
            <w:pPr>
              <w:spacing w:after="0" w:before="0" w:line="240" w:lineRule="auto"/>
              <w:jc w:val="left"/>
            </w:pPr>
            <w:r>
              <w:t>1</w:t>
            </w:r>
          </w:p>
        </w:tc>
      </w:tr>
      <w:tr>
        <w:tc>
          <w:tcPr>
            <w:tcW w:type="dxa" w:w="2700"/>
          </w:tcPr>
          <w:p>
            <w:pPr>
              <w:spacing w:after="0" w:before="0" w:line="240" w:lineRule="auto"/>
              <w:jc w:val="left"/>
            </w:pPr>
            <w:r>
              <w:t>004</w:t>
            </w:r>
          </w:p>
        </w:tc>
        <w:tc>
          <w:tcPr>
            <w:tcW w:type="dxa" w:w="2700"/>
          </w:tcPr>
          <w:p>
            <w:pPr>
              <w:spacing w:after="0" w:before="0" w:line="240" w:lineRule="auto"/>
              <w:jc w:val="left"/>
            </w:pPr>
            <w:r>
              <w:t>Ethernet switch</w:t>
            </w:r>
          </w:p>
        </w:tc>
        <w:tc>
          <w:tcPr>
            <w:tcW w:type="dxa" w:w="2700"/>
          </w:tcPr>
          <w:p>
            <w:pPr>
              <w:spacing w:after="0" w:before="0" w:line="240" w:lineRule="auto"/>
              <w:jc w:val="left"/>
            </w:pPr>
            <w:r>
              <w:t>Approved exact order code</w:t>
            </w:r>
          </w:p>
        </w:tc>
        <w:tc>
          <w:tcPr>
            <w:tcW w:type="dxa" w:w="2700"/>
          </w:tcPr>
          <w:p>
            <w:pPr>
              <w:spacing w:after="0" w:before="0" w:line="240" w:lineRule="auto"/>
              <w:jc w:val="left"/>
            </w:pPr>
            <w:r>
              <w:t>1</w:t>
            </w:r>
          </w:p>
        </w:tc>
      </w:tr>
      <w:tr>
        <w:tc>
          <w:tcPr>
            <w:tcW w:type="dxa" w:w="2700"/>
          </w:tcPr>
          <w:p>
            <w:pPr>
              <w:spacing w:after="0" w:before="0" w:line="240" w:lineRule="auto"/>
              <w:jc w:val="left"/>
            </w:pPr>
            <w:r>
              <w:t>005</w:t>
            </w:r>
          </w:p>
        </w:tc>
        <w:tc>
          <w:tcPr>
            <w:tcW w:type="dxa" w:w="2700"/>
          </w:tcPr>
          <w:p>
            <w:pPr>
              <w:spacing w:after="0" w:before="0" w:line="240" w:lineRule="auto"/>
              <w:jc w:val="left"/>
            </w:pPr>
            <w:r>
              <w:t>DIN-rail terminal block</w:t>
            </w:r>
          </w:p>
        </w:tc>
        <w:tc>
          <w:tcPr>
            <w:tcW w:type="dxa" w:w="2700"/>
          </w:tcPr>
          <w:p>
            <w:pPr>
              <w:spacing w:after="0" w:before="0" w:line="240" w:lineRule="auto"/>
              <w:jc w:val="left"/>
            </w:pPr>
            <w:r>
              <w:t>Approved exact order code</w:t>
            </w:r>
          </w:p>
        </w:tc>
        <w:tc>
          <w:tcPr>
            <w:tcW w:type="dxa" w:w="2700"/>
          </w:tcPr>
          <w:p>
            <w:pPr>
              <w:spacing w:after="0" w:before="0" w:line="240" w:lineRule="auto"/>
              <w:jc w:val="left"/>
            </w:pPr>
            <w:r>
              <w:t>24</w:t>
            </w:r>
          </w:p>
        </w:tc>
      </w:tr>
    </w:tbl>
    <w:p/>
    <w:p>
      <w:r>
        <w:t>The entries are illustrative placeholders for explaining BOM structure, not purchasing specifications. A released BOM must contain verified part numbers and technical requirements.</w:t>
      </w:r>
    </w:p>
    <w:p>
      <w:pPr>
        <w:pStyle w:val="Heading2"/>
      </w:pPr>
      <w:r>
        <w:t>7. Quantity calculation and material take-off</w:t>
      </w:r>
    </w:p>
    <w:p>
      <w:r>
        <w:t>A Material Take-Off (MTO) is the process of extracting quantities of required materials from engineering drawings, specifications, layouts, and design databases.</w:t>
      </w:r>
    </w:p>
    <w:p>
      <w:r>
        <w:t>For industrial automation projects, the MTO may include:</w:t>
      </w:r>
    </w:p>
    <w:p>
      <w:pPr>
        <w:pStyle w:val="ListBullet"/>
      </w:pPr>
      <w:r>
        <w:t>Electrical components and panel hardware.</w:t>
      </w:r>
    </w:p>
    <w:p>
      <w:pPr>
        <w:pStyle w:val="ListBullet"/>
      </w:pPr>
      <w:r>
        <w:t>PLC, I/O, communication, and interface modules.</w:t>
      </w:r>
    </w:p>
    <w:p>
      <w:pPr>
        <w:pStyle w:val="ListBullet"/>
      </w:pPr>
      <w:r>
        <w:t>Cable, wire, glands, connectors, and lugs.</w:t>
      </w:r>
    </w:p>
    <w:p>
      <w:pPr>
        <w:pStyle w:val="ListBullet"/>
      </w:pPr>
      <w:r>
        <w:t>Terminal blocks, jumpers, end plates, and marking accessories.</w:t>
      </w:r>
    </w:p>
    <w:p>
      <w:pPr>
        <w:pStyle w:val="ListBullet"/>
      </w:pPr>
      <w:r>
        <w:t>DIN rails, wiring ducts, mounting plates, and fasteners.</w:t>
      </w:r>
    </w:p>
    <w:p>
      <w:pPr>
        <w:pStyle w:val="ListBullet"/>
      </w:pPr>
      <w:r>
        <w:t>Cooling equipment, filters, and enclosure accessories.</w:t>
      </w:r>
    </w:p>
    <w:p>
      <w:pPr>
        <w:pStyle w:val="ListBullet"/>
      </w:pPr>
      <w:r>
        <w:t>Field devices, junction boxes, and installation materials.</w:t>
      </w:r>
    </w:p>
    <w:p>
      <w:pPr>
        <w:pStyle w:val="ListBullet"/>
      </w:pPr>
      <w:r>
        <w:t>Consumables required by the approved manufacturing or installation process.</w:t>
      </w:r>
    </w:p>
    <w:p>
      <w:pPr>
        <w:pStyle w:val="Heading3"/>
      </w:pPr>
      <w:r>
        <w:t>7.1 Basic quantity calculation</w:t>
      </w:r>
    </w:p>
    <w:p>
      <w:r>
        <w:t>For a component repeated across several identical assemblies:</w:t>
      </w:r>
    </w:p>
    <w:p>
      <w:pPr>
        <w:spacing w:before="120" w:after="160"/>
        <w:jc w:val="center"/>
      </w:pPr>
      <m:oMathPara>
        <m:oMath>
          <m:sSub>
            <m:e>
              <m:r>
                <m:t>Q</m:t>
              </m:r>
            </m:e>
            <m:sub>
              <m:r>
                <m:rPr>
                  <m:nor/>
                </m:rPr>
                <m:t>gross</m:t>
              </m:r>
            </m:sub>
          </m:sSub>
          <m:r>
            <m:t>=</m:t>
          </m:r>
          <m:sSub>
            <m:e>
              <m:r>
                <m:t>N</m:t>
              </m:r>
            </m:e>
            <m:sub>
              <m:r>
                <m:rPr>
                  <m:nor/>
                </m:rPr>
                <m:t>assemblies</m:t>
              </m:r>
            </m:sub>
          </m:sSub>
          <m:r>
            <m:t>×</m:t>
          </m:r>
          <m:sSub>
            <m:e>
              <m:r>
                <m:t>Q</m:t>
              </m:r>
            </m:e>
            <m:sub>
              <m:r>
                <m:rPr>
                  <m:nor/>
                </m:rPr>
                <m:t>per assembly</m:t>
              </m:r>
            </m:sub>
          </m:sSub>
        </m:oMath>
      </m:oMathPara>
    </w:p>
    <w:p>
      <w:r>
        <w:t>For example, if each of four identical panels requires 12 terminal blocks:</w:t>
      </w:r>
    </w:p>
    <w:p>
      <w:pPr>
        <w:spacing w:before="120" w:after="160"/>
        <w:jc w:val="center"/>
      </w:pPr>
      <m:oMathPara>
        <m:oMath>
          <m:sSub>
            <m:e>
              <m:r>
                <m:t>Q</m:t>
              </m:r>
            </m:e>
            <m:sub>
              <m:r>
                <m:rPr>
                  <m:nor/>
                </m:rPr>
                <m:t>gross</m:t>
              </m:r>
            </m:sub>
          </m:sSub>
          <m:r>
            <m:t>=4×12=48</m:t>
          </m:r>
        </m:oMath>
      </m:oMathPara>
    </w:p>
    <w:p>
      <w:r>
        <w:t>If the design also requires six additional terminals for a separate interface, the combined quantity is 54, assuming the additional terminals are not already included in the original count.</w:t>
      </w:r>
    </w:p>
    <w:p>
      <w:pPr>
        <w:pStyle w:val="Heading3"/>
      </w:pPr>
      <w:r>
        <w:t>7.2 Procurement quantity</w:t>
      </w:r>
    </w:p>
    <w:p>
      <w:r>
        <w:t>The procurement quantity may differ from the installed quantity because of packaging, cutting losses, minimum order quantities, spare stock, or supplier reel sizes.</w:t>
      </w:r>
    </w:p>
    <w:p>
      <w:r>
        <w:t>A planning model is:</w:t>
      </w:r>
    </w:p>
    <w:p>
      <w:pPr>
        <w:spacing w:before="120" w:after="160"/>
        <w:jc w:val="center"/>
      </w:pPr>
      <m:oMathPara>
        <m:oMath>
          <m:sSub>
            <m:e>
              <m:r>
                <m:t>Q</m:t>
              </m:r>
            </m:e>
            <m:sub>
              <m:r>
                <m:rPr>
                  <m:nor/>
                </m:rPr>
                <m:t>procurement</m:t>
              </m:r>
            </m:sub>
          </m:sSub>
          <m:r>
            <m:t>=</m:t>
          </m:r>
          <m:sSub>
            <m:e>
              <m:r>
                <m:t>Q</m:t>
              </m:r>
            </m:e>
            <m:sub>
              <m:r>
                <m:rPr>
                  <m:nor/>
                </m:rPr>
                <m:t>required</m:t>
              </m:r>
            </m:sub>
          </m:sSub>
          <m:r>
            <m:t>+</m:t>
          </m:r>
          <m:sSub>
            <m:e>
              <m:r>
                <m:t>Q</m:t>
              </m:r>
            </m:e>
            <m:sub>
              <m:r>
                <m:rPr>
                  <m:nor/>
                </m:rPr>
                <m:t>approved allowance</m:t>
              </m:r>
            </m:sub>
          </m:sSub>
        </m:oMath>
      </m:oMathPara>
    </w:p>
    <w:p>
      <w:r>
        <w:t>The allowance must be justified by the material type and project requirements. Do not apply an arbitrary percentage to every BOM line.</w:t>
      </w:r>
    </w:p>
    <w:p>
      <w:r>
        <w:t>For example, spare PLC modules may be managed through a separate critical-spares policy, while cable may require an installation allowance and terminals may be purchased in standard pack quantities.</w:t>
      </w:r>
    </w:p>
    <w:p>
      <w:pPr>
        <w:pStyle w:val="Heading3"/>
      </w:pPr>
      <w:r>
        <w:t>7.3 Quantity rules</w:t>
      </w:r>
    </w:p>
    <w:p>
      <w:pPr>
        <w:pStyle w:val="ListBullet"/>
      </w:pPr>
      <w:r>
        <w:t>Count each physical item once at the correct BOM level.</w:t>
      </w:r>
    </w:p>
    <w:p>
      <w:pPr>
        <w:pStyle w:val="ListBullet"/>
      </w:pPr>
      <w:r>
        <w:t>Distinguish installed quantity from purchased quantity.</w:t>
      </w:r>
    </w:p>
    <w:p>
      <w:pPr>
        <w:pStyle w:val="ListBullet"/>
      </w:pPr>
      <w:r>
        <w:t>Include required accessories when they are not supplied with the base component.</w:t>
      </w:r>
    </w:p>
    <w:p>
      <w:pPr>
        <w:pStyle w:val="ListBullet"/>
      </w:pPr>
      <w:r>
        <w:t>Avoid counting integrated functions as separate components unless additional hardware is required.</w:t>
      </w:r>
    </w:p>
    <w:p>
      <w:pPr>
        <w:pStyle w:val="ListBullet"/>
      </w:pPr>
      <w:r>
        <w:t>Use consistent units of measure.</w:t>
      </w:r>
    </w:p>
    <w:p>
      <w:pPr>
        <w:pStyle w:val="ListBullet"/>
      </w:pPr>
      <w:r>
        <w:t>Identify bulk materials such as cable and wire separately from discrete components.</w:t>
      </w:r>
    </w:p>
    <w:p>
      <w:pPr>
        <w:pStyle w:val="ListBullet"/>
      </w:pPr>
      <w:r>
        <w:t>Record spare quantities separately from the quantity required to build the machine.</w:t>
      </w:r>
    </w:p>
    <w:p>
      <w:pPr>
        <w:pStyle w:val="ListBullet"/>
      </w:pPr>
      <w:r>
        <w:t>Recalculate quantities when the design revision changes.</w:t>
      </w:r>
    </w:p>
    <w:p>
      <w:pPr>
        <w:pStyle w:val="Heading2"/>
      </w:pPr>
      <w:r>
        <w:t>8. Component selection and BOM completeness</w:t>
      </w:r>
    </w:p>
    <w:p>
      <w:r>
        <w:t>A BOM should represent the actual design, not merely the main components visible in a schematic.</w:t>
      </w:r>
    </w:p>
    <w:p>
      <w:r>
        <w:t>For an industrial control panel, consider the following groups.</w:t>
      </w:r>
    </w:p>
    <w:p>
      <w:pPr>
        <w:pStyle w:val="Heading3"/>
      </w:pPr>
      <w:r>
        <w:t>8.1 Enclosure and mechanical hardware</w:t>
      </w:r>
    </w:p>
    <w:p>
      <w:pPr>
        <w:pStyle w:val="ListBullet"/>
      </w:pPr>
      <w:r>
        <w:t>Enclosure, doors, mounting plates, and plinth where required.</w:t>
      </w:r>
    </w:p>
    <w:p>
      <w:pPr>
        <w:pStyle w:val="ListBullet"/>
      </w:pPr>
      <w:r>
        <w:t>DIN rails and wiring ducts.</w:t>
      </w:r>
    </w:p>
    <w:p>
      <w:pPr>
        <w:pStyle w:val="ListBullet"/>
      </w:pPr>
      <w:r>
        <w:t>Cable-entry plates and glands.</w:t>
      </w:r>
    </w:p>
    <w:p>
      <w:pPr>
        <w:pStyle w:val="ListBullet"/>
      </w:pPr>
      <w:r>
        <w:t>Mounting hardware and approved fasteners.</w:t>
      </w:r>
    </w:p>
    <w:p>
      <w:pPr>
        <w:pStyle w:val="ListBullet"/>
      </w:pPr>
      <w:r>
        <w:t>Door bonding accessories where required.</w:t>
      </w:r>
    </w:p>
    <w:p>
      <w:pPr>
        <w:pStyle w:val="ListBullet"/>
      </w:pPr>
      <w:r>
        <w:t>Seals, filters, fans, and cooling units.</w:t>
      </w:r>
    </w:p>
    <w:p>
      <w:pPr>
        <w:pStyle w:val="ListBullet"/>
      </w:pPr>
      <w:r>
        <w:t>Labels, holders, and identification accessories.</w:t>
      </w:r>
    </w:p>
    <w:p>
      <w:pPr>
        <w:pStyle w:val="Heading3"/>
      </w:pPr>
      <w:r>
        <w:t>8.2 Power and protection</w:t>
      </w:r>
    </w:p>
    <w:p>
      <w:pPr>
        <w:pStyle w:val="ListBullet"/>
      </w:pPr>
      <w:r>
        <w:t>Main isolator.</w:t>
      </w:r>
    </w:p>
    <w:p>
      <w:pPr>
        <w:pStyle w:val="ListBullet"/>
      </w:pPr>
      <w:r>
        <w:t>Circuit breakers and fuses.</w:t>
      </w:r>
    </w:p>
    <w:p>
      <w:pPr>
        <w:pStyle w:val="ListBullet"/>
      </w:pPr>
      <w:r>
        <w:t>Distribution blocks and busbars.</w:t>
      </w:r>
    </w:p>
    <w:p>
      <w:pPr>
        <w:pStyle w:val="ListBullet"/>
      </w:pPr>
      <w:r>
        <w:t>Contactors and overload relays.</w:t>
      </w:r>
    </w:p>
    <w:p>
      <w:pPr>
        <w:pStyle w:val="ListBullet"/>
      </w:pPr>
      <w:r>
        <w:t>Transformers and power supplies.</w:t>
      </w:r>
    </w:p>
    <w:p>
      <w:pPr>
        <w:pStyle w:val="ListBullet"/>
      </w:pPr>
      <w:r>
        <w:t>Protective-earth terminals and bonding hardware.</w:t>
      </w:r>
    </w:p>
    <w:p>
      <w:pPr>
        <w:pStyle w:val="ListBullet"/>
      </w:pPr>
      <w:r>
        <w:t>Surge-protection devices where required.</w:t>
      </w:r>
    </w:p>
    <w:p>
      <w:pPr>
        <w:pStyle w:val="ListBullet"/>
      </w:pPr>
      <w:r>
        <w:t>Reactors, filters, and braking components where required by the drive design.</w:t>
      </w:r>
    </w:p>
    <w:p>
      <w:pPr>
        <w:pStyle w:val="Heading3"/>
      </w:pPr>
      <w:r>
        <w:t>8.3 Control and automation</w:t>
      </w:r>
    </w:p>
    <w:p>
      <w:pPr>
        <w:pStyle w:val="ListBullet"/>
      </w:pPr>
      <w:r>
        <w:t>PLC CPU and required accessories.</w:t>
      </w:r>
    </w:p>
    <w:p>
      <w:pPr>
        <w:pStyle w:val="ListBullet"/>
      </w:pPr>
      <w:r>
        <w:t>Digital and analog I/O modules.</w:t>
      </w:r>
    </w:p>
    <w:p>
      <w:pPr>
        <w:pStyle w:val="ListBullet"/>
      </w:pPr>
      <w:r>
        <w:t>Remote I/O adapters.</w:t>
      </w:r>
    </w:p>
    <w:p>
      <w:pPr>
        <w:pStyle w:val="ListBullet"/>
      </w:pPr>
      <w:r>
        <w:t>Interface relays and signal conditioners.</w:t>
      </w:r>
    </w:p>
    <w:p>
      <w:pPr>
        <w:pStyle w:val="ListBullet"/>
      </w:pPr>
      <w:r>
        <w:t>Industrial Ethernet switches and network accessories.</w:t>
      </w:r>
    </w:p>
    <w:p>
      <w:pPr>
        <w:pStyle w:val="ListBullet"/>
      </w:pPr>
      <w:r>
        <w:t>HMI and mounting accessories.</w:t>
      </w:r>
    </w:p>
    <w:p>
      <w:pPr>
        <w:pStyle w:val="ListBullet"/>
      </w:pPr>
      <w:r>
        <w:t>Safety relays or safety controllers as specified by the safety design.</w:t>
      </w:r>
    </w:p>
    <w:p>
      <w:pPr>
        <w:pStyle w:val="Heading3"/>
      </w:pPr>
      <w:r>
        <w:t>8.4 Termination and wiring materials</w:t>
      </w:r>
    </w:p>
    <w:p>
      <w:pPr>
        <w:pStyle w:val="ListBullet"/>
      </w:pPr>
      <w:r>
        <w:t>Feed-through and protective-earth terminals.</w:t>
      </w:r>
    </w:p>
    <w:p>
      <w:pPr>
        <w:pStyle w:val="ListBullet"/>
      </w:pPr>
      <w:r>
        <w:t>End plates, separators, and terminal jumpers.</w:t>
      </w:r>
    </w:p>
    <w:p>
      <w:pPr>
        <w:pStyle w:val="ListBullet"/>
      </w:pPr>
      <w:r>
        <w:t>Terminal markers and wire markers.</w:t>
      </w:r>
    </w:p>
    <w:p>
      <w:pPr>
        <w:pStyle w:val="ListBullet"/>
      </w:pPr>
      <w:r>
        <w:t>Conductors and internal wiring.</w:t>
      </w:r>
    </w:p>
    <w:p>
      <w:pPr>
        <w:pStyle w:val="ListBullet"/>
      </w:pPr>
      <w:r>
        <w:t>Ferrules, lugs, and approved connectors.</w:t>
      </w:r>
    </w:p>
    <w:p>
      <w:pPr>
        <w:pStyle w:val="ListBullet"/>
      </w:pPr>
      <w:r>
        <w:t>Cable glands, EMC glands, and strain-relief accessories.</w:t>
      </w:r>
    </w:p>
    <w:p>
      <w:pPr>
        <w:pStyle w:val="ListBullet"/>
      </w:pPr>
      <w:r>
        <w:t>Shield clamps and cable-screen termination hardware.</w:t>
      </w:r>
    </w:p>
    <w:p>
      <w:r>
        <w:t>A practical review question is: Can the assembly be built exactly as drawn using only the listed materials and the materials explicitly covered by the project's standard manufacturing kit? If the answer is no, the BOM may be incomplete.</w:t>
      </w:r>
    </w:p>
    <w:p>
      <w:pPr>
        <w:pStyle w:val="Heading2"/>
      </w:pPr>
      <w:r>
        <w:t>9. BOM revision control and engineering change management</w:t>
      </w:r>
    </w:p>
    <w:p>
      <w:r>
        <w:t>A BOM is a controlled engineering record. It must remain synchronized with the approved design.</w:t>
      </w:r>
    </w:p>
    <w:p>
      <w:r>
        <w:t>Changes may result from:</w:t>
      </w:r>
    </w:p>
    <w:p>
      <w:pPr>
        <w:pStyle w:val="ListBullet"/>
      </w:pPr>
      <w:r>
        <w:t>Revised electrical requirements.</w:t>
      </w:r>
    </w:p>
    <w:p>
      <w:pPr>
        <w:pStyle w:val="ListBullet"/>
      </w:pPr>
      <w:r>
        <w:t>A change in PLC or I/O architecture.</w:t>
      </w:r>
    </w:p>
    <w:p>
      <w:pPr>
        <w:pStyle w:val="ListBullet"/>
      </w:pPr>
      <w:r>
        <w:t>A component becoming obsolete.</w:t>
      </w:r>
    </w:p>
    <w:p>
      <w:pPr>
        <w:pStyle w:val="ListBullet"/>
      </w:pPr>
      <w:r>
        <w:t>Supplier delivery problems.</w:t>
      </w:r>
    </w:p>
    <w:p>
      <w:pPr>
        <w:pStyle w:val="ListBullet"/>
      </w:pPr>
      <w:r>
        <w:t>A design defect discovered during FAT.</w:t>
      </w:r>
    </w:p>
    <w:p>
      <w:pPr>
        <w:pStyle w:val="ListBullet"/>
      </w:pPr>
      <w:r>
        <w:t>A field modification.</w:t>
      </w:r>
    </w:p>
    <w:p>
      <w:pPr>
        <w:pStyle w:val="ListBullet"/>
      </w:pPr>
      <w:r>
        <w:t>A safety or compliance requirement.</w:t>
      </w:r>
    </w:p>
    <w:p>
      <w:pPr>
        <w:pStyle w:val="ListBullet"/>
      </w:pPr>
      <w:r>
        <w:t>A cost-reduction or standardization initiative.</w:t>
      </w:r>
    </w:p>
    <w:p>
      <w:pPr>
        <w:pStyle w:val="Heading3"/>
      </w:pPr>
      <w:r>
        <w:t>9.1 Change-control process</w:t>
      </w:r>
    </w:p>
    <w:p>
      <w:pPr>
        <w:shd w:val="clear" w:color="auto" w:fill="F4F4F4"/>
        <w:spacing w:before="0" w:after="0" w:line="240" w:lineRule="auto"/>
        <w:ind w:left="216" w:right="216"/>
        <w:jc w:val="left"/>
      </w:pPr>
      <w:r>
        <w:rPr>
          <w:rFonts w:ascii="Consolas" w:hAnsi="Consolas"/>
          <w:color w:val="202020"/>
          <w:sz w:val="18"/>
        </w:rPr>
        <w:t>Change request raised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and safety impact assessed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Affected drawings and BOM items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Alternative or revised design approved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Revision updated and released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Procurement and manufacturing informed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Installed configuration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As-built records updated</w:t>
      </w:r>
    </w:p>
    <w:p/>
    <w:p>
      <w:pPr>
        <w:pStyle w:val="Heading3"/>
      </w:pPr>
      <w:r>
        <w:t>9.2 Change records</w:t>
      </w:r>
    </w:p>
    <w:p>
      <w:r>
        <w:t>Record the affected item, previous and new part numbers, reason for change, approving authority, revision, effective date, and any impact on inventory or installed equipment.</w:t>
      </w:r>
    </w:p>
    <w:p>
      <w:r>
        <w:t>A component substitution may affect more than the BOM. Check enclosure dimensions, terminal arrangement, power consumption, heat dissipation, fault coordination, firmware compatibility, certifications, wiring, and maintenance instructions.</w:t>
      </w:r>
    </w:p>
    <w:p>
      <w:r>
        <w:t>Never treat a supplier's statement that an item is "equivalent" as sufficient engineering approval.</w:t>
      </w:r>
    </w:p>
    <w:p>
      <w:pPr>
        <w:pStyle w:val="Heading2"/>
      </w:pPr>
      <w:r>
        <w:t>10. Approved alternatives and component substitution</w:t>
      </w:r>
    </w:p>
    <w:p>
      <w:r>
        <w:t>An approved alternative is a component formally evaluated and authorized for the intended application. It is not simply a product with similar headline ratings.</w:t>
      </w:r>
    </w:p>
    <w:p>
      <w:r>
        <w:t>A technical equivalence review should consider:</w:t>
      </w:r>
    </w:p>
    <w:p>
      <w:pPr>
        <w:pStyle w:val="ListBullet"/>
      </w:pPr>
      <w:r>
        <w:t>Electrical ratings and load characteristics.</w:t>
      </w:r>
    </w:p>
    <w:p>
      <w:pPr>
        <w:pStyle w:val="ListBullet"/>
      </w:pPr>
      <w:r>
        <w:t>Short-circuit capability and protective-device coordination.</w:t>
      </w:r>
    </w:p>
    <w:p>
      <w:pPr>
        <w:pStyle w:val="ListBullet"/>
      </w:pPr>
      <w:r>
        <w:t>Mechanical dimensions and mounting.</w:t>
      </w:r>
    </w:p>
    <w:p>
      <w:pPr>
        <w:pStyle w:val="ListBullet"/>
      </w:pPr>
      <w:r>
        <w:t>Terminal arrangement and wire compatibility.</w:t>
      </w:r>
    </w:p>
    <w:p>
      <w:pPr>
        <w:pStyle w:val="ListBullet"/>
      </w:pPr>
      <w:r>
        <w:t>Temperature range, ingress protection, and environmental suitability.</w:t>
      </w:r>
    </w:p>
    <w:p>
      <w:pPr>
        <w:pStyle w:val="ListBullet"/>
      </w:pPr>
      <w:r>
        <w:t>Required approvals and compliance obligations.</w:t>
      </w:r>
    </w:p>
    <w:p>
      <w:pPr>
        <w:pStyle w:val="ListBullet"/>
      </w:pPr>
      <w:r>
        <w:t>Communication interfaces, protocols, and configuration tools.</w:t>
      </w:r>
    </w:p>
    <w:p>
      <w:pPr>
        <w:pStyle w:val="ListBullet"/>
      </w:pPr>
      <w:r>
        <w:t>Firmware, software, and parameter compatibility.</w:t>
      </w:r>
    </w:p>
    <w:p>
      <w:pPr>
        <w:pStyle w:val="ListBullet"/>
      </w:pPr>
      <w:r>
        <w:t>Lifecycle status and future availability.</w:t>
      </w:r>
    </w:p>
    <w:p>
      <w:pPr>
        <w:pStyle w:val="ListBullet"/>
      </w:pPr>
      <w:r>
        <w:t>Spare-parts commonality and maintenance skills.</w:t>
      </w:r>
    </w:p>
    <w:p>
      <w:r>
        <w:t>For example, replacing a discontinued PLC I/O module with a successor may require checking the rack, backplane, addressing, firmware, engineering software, and program compatibility. A physical fit alone does not establish equivalence.</w:t>
      </w:r>
    </w:p>
    <w:p>
      <w:r>
        <w:t>Maintain the approved alternatives list with clear restrictions. Some alternatives may be acceptable only for new builds and not for existing machines, or vice versa.</w:t>
      </w:r>
    </w:p>
    <w:p>
      <w:pPr>
        <w:pStyle w:val="Heading2"/>
      </w:pPr>
      <w:r>
        <w:t>11. Procurement, ERP, and material traceability</w:t>
      </w:r>
    </w:p>
    <w:p>
      <w:r>
        <w:t>The BOM links engineering to material planning and procurement.</w:t>
      </w:r>
    </w:p>
    <w:p>
      <w:r>
        <w:t>A typical process is:</w:t>
      </w:r>
    </w:p>
    <w:p>
      <w:pPr>
        <w:shd w:val="clear" w:color="auto" w:fill="F4F4F4"/>
        <w:spacing w:before="0" w:after="0" w:line="240" w:lineRule="auto"/>
        <w:ind w:left="216" w:right="216"/>
        <w:jc w:val="left"/>
      </w:pPr>
      <w:r>
        <w:rPr>
          <w:rFonts w:ascii="Consolas" w:hAnsi="Consolas"/>
          <w:color w:val="202020"/>
          <w:sz w:val="18"/>
        </w:rPr>
        <w:t>Released engineering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 codes and inventory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Available stock and reservations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requisition created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and technical compliance reviewed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released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 received and inspected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 issued to project or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Installed configuration recorded</w:t>
      </w:r>
    </w:p>
    <w:p/>
    <w:p>
      <w:r>
        <w:t>The exact process depends on the organization's ERP workflow.</w:t>
      </w:r>
    </w:p>
    <w:p>
      <w:pPr>
        <w:pStyle w:val="Heading3"/>
      </w:pPr>
      <w:r>
        <w:t>11.1 Engineering BOM versus ERP material master</w:t>
      </w:r>
    </w:p>
    <w:p>
      <w:r>
        <w:t>The engineering BOM identifies what the design requires. The ERP material master defines how a material is identified and managed within the business system.</w:t>
      </w:r>
    </w:p>
    <w:p>
      <w:r>
        <w:t>An ERP material record may include:</w:t>
      </w:r>
    </w:p>
    <w:p>
      <w:pPr>
        <w:pStyle w:val="ListBullet"/>
      </w:pPr>
      <w:r>
        <w:t>Internal material number.</w:t>
      </w:r>
    </w:p>
    <w:p>
      <w:pPr>
        <w:pStyle w:val="ListBullet"/>
      </w:pPr>
      <w:r>
        <w:t>Short and long descriptions.</w:t>
      </w:r>
    </w:p>
    <w:p>
      <w:pPr>
        <w:pStyle w:val="ListBullet"/>
      </w:pPr>
      <w:r>
        <w:t>Base unit of measure.</w:t>
      </w:r>
    </w:p>
    <w:p>
      <w:pPr>
        <w:pStyle w:val="ListBullet"/>
      </w:pPr>
      <w:r>
        <w:t>Manufacturer and manufacturer part number.</w:t>
      </w:r>
    </w:p>
    <w:p>
      <w:pPr>
        <w:pStyle w:val="ListBullet"/>
      </w:pPr>
      <w:r>
        <w:t>Procurement type and purchasing data.</w:t>
      </w:r>
    </w:p>
    <w:p>
      <w:pPr>
        <w:pStyle w:val="ListBullet"/>
      </w:pPr>
      <w:r>
        <w:t>Storage and inventory information.</w:t>
      </w:r>
    </w:p>
    <w:p>
      <w:pPr>
        <w:pStyle w:val="ListBullet"/>
      </w:pPr>
      <w:r>
        <w:t>Valuation and accounting attributes.</w:t>
      </w:r>
    </w:p>
    <w:p>
      <w:pPr>
        <w:pStyle w:val="ListBullet"/>
      </w:pPr>
      <w:r>
        <w:t>Approved supplier information.</w:t>
      </w:r>
    </w:p>
    <w:p>
      <w:pPr>
        <w:pStyle w:val="ListBullet"/>
      </w:pPr>
      <w:r>
        <w:t>Lifecycle or material-status controls.</w:t>
      </w:r>
    </w:p>
    <w:p>
      <w:r>
        <w:t>The engineering team must ensure that the correct material code maps to the intended technical item. Duplicate material records, vague descriptions, and incorrect units can cause procurement and inventory errors.</w:t>
      </w:r>
    </w:p>
    <w:p>
      <w:pPr>
        <w:pStyle w:val="Heading3"/>
      </w:pPr>
      <w:r>
        <w:t>11.2 Material status tracking</w:t>
      </w:r>
    </w:p>
    <w:p>
      <w:r>
        <w:t>A useful project tracker may distinguish:</w:t>
      </w:r>
    </w:p>
    <w:p>
      <w:pPr>
        <w:pStyle w:val="ListBullet"/>
      </w:pPr>
      <w:r>
        <w:t>Design pending.</w:t>
      </w:r>
    </w:p>
    <w:p>
      <w:pPr>
        <w:pStyle w:val="ListBullet"/>
      </w:pPr>
      <w:r>
        <w:t>Technically approved.</w:t>
      </w:r>
    </w:p>
    <w:p>
      <w:pPr>
        <w:pStyle w:val="ListBullet"/>
      </w:pPr>
      <w:r>
        <w:t>Released for procurement.</w:t>
      </w:r>
    </w:p>
    <w:p>
      <w:pPr>
        <w:pStyle w:val="ListBullet"/>
      </w:pPr>
      <w:r>
        <w:t>Purchase requisition created.</w:t>
      </w:r>
    </w:p>
    <w:p>
      <w:pPr>
        <w:pStyle w:val="ListBullet"/>
      </w:pPr>
      <w:r>
        <w:t>Purchase order released.</w:t>
      </w:r>
    </w:p>
    <w:p>
      <w:pPr>
        <w:pStyle w:val="ListBullet"/>
      </w:pPr>
      <w:r>
        <w:t>Partially received.</w:t>
      </w:r>
    </w:p>
    <w:p>
      <w:pPr>
        <w:pStyle w:val="ListBullet"/>
      </w:pPr>
      <w:r>
        <w:t>Fully received.</w:t>
      </w:r>
    </w:p>
    <w:p>
      <w:pPr>
        <w:pStyle w:val="ListBullet"/>
      </w:pPr>
      <w:r>
        <w:t>Inspected and accepted.</w:t>
      </w:r>
    </w:p>
    <w:p>
      <w:pPr>
        <w:pStyle w:val="ListBullet"/>
      </w:pPr>
      <w:r>
        <w:t>Issued to manufacturing.</w:t>
      </w:r>
    </w:p>
    <w:p>
      <w:pPr>
        <w:pStyle w:val="ListBullet"/>
      </w:pPr>
      <w:r>
        <w:t>Installed and verified.</w:t>
      </w:r>
    </w:p>
    <w:p>
      <w:pPr>
        <w:pStyle w:val="ListBullet"/>
      </w:pPr>
      <w:r>
        <w:t>Superseded or cancelled.</w:t>
      </w:r>
    </w:p>
    <w:p>
      <w:r>
        <w:t>Use the actual statuses defined by the organization. A status should indicate a verifiable process state, not simply someone's informal impression.</w:t>
      </w:r>
    </w:p>
    <w:p>
      <w:pPr>
        <w:pStyle w:val="Heading2"/>
      </w:pPr>
      <w:r>
        <w:t>12. Lifecycle management and obsolescence</w:t>
      </w:r>
    </w:p>
    <w:p>
      <w:r>
        <w:t>Industrial automation equipment can remain in service for many years, while some electronic components become discontinued or difficult to obtain much earlier.</w:t>
      </w:r>
    </w:p>
    <w:p>
      <w:r>
        <w:t>BOM management should identify lifecycle risks before they cause an urgent production problem.</w:t>
      </w:r>
    </w:p>
    <w:p>
      <w:pPr>
        <w:pStyle w:val="Heading3"/>
      </w:pPr>
      <w:r>
        <w:t>Lifecycle checks</w:t>
      </w:r>
    </w:p>
    <w:p>
      <w:pPr>
        <w:pStyle w:val="ListBullet"/>
      </w:pPr>
      <w:r>
        <w:t>Verify whether the part is active, discontinued, or subject to a manufacturer notice.</w:t>
      </w:r>
    </w:p>
    <w:p>
      <w:pPr>
        <w:pStyle w:val="ListBullet"/>
      </w:pPr>
      <w:r>
        <w:t>Identify the manufacturer's recommended successor.</w:t>
      </w:r>
    </w:p>
    <w:p>
      <w:pPr>
        <w:pStyle w:val="ListBullet"/>
      </w:pPr>
      <w:r>
        <w:t>Confirm whether the successor is a direct replacement or requires engineering changes.</w:t>
      </w:r>
    </w:p>
    <w:p>
      <w:pPr>
        <w:pStyle w:val="ListBullet"/>
      </w:pPr>
      <w:r>
        <w:t>Check software, firmware, licensing, and configuration compatibility.</w:t>
      </w:r>
    </w:p>
    <w:p>
      <w:pPr>
        <w:pStyle w:val="ListBullet"/>
      </w:pPr>
      <w:r>
        <w:t>Identify long-lead-time components.</w:t>
      </w:r>
    </w:p>
    <w:p>
      <w:pPr>
        <w:pStyle w:val="ListBullet"/>
      </w:pPr>
      <w:r>
        <w:t>Determine which parts require strategic spare stock.</w:t>
      </w:r>
    </w:p>
    <w:p>
      <w:pPr>
        <w:pStyle w:val="ListBullet"/>
      </w:pPr>
      <w:r>
        <w:t>Review supplier support and repair availability.</w:t>
      </w:r>
    </w:p>
    <w:p>
      <w:pPr>
        <w:pStyle w:val="ListBullet"/>
      </w:pPr>
      <w:r>
        <w:t>Document approved migration paths.</w:t>
      </w:r>
    </w:p>
    <w:p>
      <w:r>
        <w:t>For critical components, record the installed part number, firmware version where applicable, configuration backup location, and approved replacement strategy.</w:t>
      </w:r>
    </w:p>
    <w:p>
      <w:r>
        <w:t>Obsolescence planning is especially important for PLCs, communication modules, HMI panels, CNC interfaces, industrial PCs, drives, and proprietary connectors.</w:t>
      </w:r>
    </w:p>
    <w:p>
      <w:pPr>
        <w:pStyle w:val="Heading2"/>
      </w:pPr>
      <w:r>
        <w:t>13. Spare-parts planning</w:t>
      </w:r>
    </w:p>
    <w:p>
      <w:r>
        <w:t>A BOM and a spare-parts list are related, but they answer different questions.</w:t>
      </w:r>
    </w:p>
    <w:p>
      <w:r>
        <w:t>The BOM asks, "What is required to build the equipment?"</w:t>
      </w:r>
    </w:p>
    <w:p>
      <w:r>
        <w:t>The spare-parts list asks, "What should be available to restore operation if something fails?"</w:t>
      </w:r>
    </w:p>
    <w:p>
      <w:r>
        <w:t>Spare quantities should be based on factors such as:</w:t>
      </w:r>
    </w:p>
    <w:p>
      <w:pPr>
        <w:pStyle w:val="ListBullet"/>
      </w:pPr>
      <w:r>
        <w:t>Failure history and failure consequences.</w:t>
      </w:r>
    </w:p>
    <w:p>
      <w:pPr>
        <w:pStyle w:val="ListBullet"/>
      </w:pPr>
      <w:r>
        <w:t>Equipment criticality and production impact.</w:t>
      </w:r>
    </w:p>
    <w:p>
      <w:pPr>
        <w:pStyle w:val="ListBullet"/>
      </w:pPr>
      <w:r>
        <w:t>Supplier lead time.</w:t>
      </w:r>
    </w:p>
    <w:p>
      <w:pPr>
        <w:pStyle w:val="ListBullet"/>
      </w:pPr>
      <w:r>
        <w:t>Availability of repair services.</w:t>
      </w:r>
    </w:p>
    <w:p>
      <w:pPr>
        <w:pStyle w:val="ListBullet"/>
      </w:pPr>
      <w:r>
        <w:t>Installed population of the same component.</w:t>
      </w:r>
    </w:p>
    <w:p>
      <w:pPr>
        <w:pStyle w:val="ListBullet"/>
      </w:pPr>
      <w:r>
        <w:t>Obsolescence risk.</w:t>
      </w:r>
    </w:p>
    <w:p>
      <w:pPr>
        <w:pStyle w:val="ListBullet"/>
      </w:pPr>
      <w:r>
        <w:t>Repair-versus-replacement strategy.</w:t>
      </w:r>
    </w:p>
    <w:p>
      <w:pPr>
        <w:pStyle w:val="ListBullet"/>
      </w:pPr>
      <w:r>
        <w:t>Storage conditions and shelf life.</w:t>
      </w:r>
    </w:p>
    <w:p>
      <w:pPr>
        <w:pStyle w:val="ListBullet"/>
      </w:pPr>
      <w:r>
        <w:t>Availability of compatible alternatives.</w:t>
      </w:r>
    </w:p>
    <w:p>
      <w:pPr>
        <w:pStyle w:val="Heading3"/>
      </w:pPr>
      <w:r>
        <w:t>Spare-parts classification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Typical interpretation</w:t>
            </w:r>
          </w:p>
        </w:tc>
        <w:tc>
          <w:tcPr>
            <w:tcW w:type="dxa" w:w="3600"/>
            <w:shd w:val="clear" w:color="auto" w:fill="EEF2F7"/>
          </w:tcPr>
          <w:p>
            <w:pPr>
              <w:spacing w:after="0" w:before="0" w:line="240" w:lineRule="auto"/>
              <w:jc w:val="left"/>
            </w:pPr>
            <w:r>
              <w:rPr>
                <w:b/>
                <w:color w:val="1A2E4A"/>
              </w:rPr>
              <w:t>Planning approach</w:t>
            </w:r>
          </w:p>
        </w:tc>
      </w:tr>
      <w:tr>
        <w:tc>
          <w:tcPr>
            <w:tcW w:type="dxa" w:w="3600"/>
          </w:tcPr>
          <w:p>
            <w:pPr>
              <w:spacing w:after="0" w:before="0" w:line="240" w:lineRule="auto"/>
              <w:jc w:val="left"/>
            </w:pPr>
            <w:r>
              <w:t>Critical</w:t>
            </w:r>
          </w:p>
        </w:tc>
        <w:tc>
          <w:tcPr>
            <w:tcW w:type="dxa" w:w="3600"/>
          </w:tcPr>
          <w:p>
            <w:pPr>
              <w:spacing w:after="0" w:before="0" w:line="240" w:lineRule="auto"/>
              <w:jc w:val="left"/>
            </w:pPr>
            <w:r>
              <w:t>Failure causes major production or safety consequences</w:t>
            </w:r>
          </w:p>
        </w:tc>
        <w:tc>
          <w:tcPr>
            <w:tcW w:type="dxa" w:w="3600"/>
          </w:tcPr>
          <w:p>
            <w:pPr>
              <w:spacing w:after="0" w:before="0" w:line="240" w:lineRule="auto"/>
              <w:jc w:val="left"/>
            </w:pPr>
            <w:r>
              <w:t>Evaluate strategic stock and recovery plan</w:t>
            </w:r>
          </w:p>
        </w:tc>
      </w:tr>
      <w:tr>
        <w:tc>
          <w:tcPr>
            <w:tcW w:type="dxa" w:w="3600"/>
          </w:tcPr>
          <w:p>
            <w:pPr>
              <w:spacing w:after="0" w:before="0" w:line="240" w:lineRule="auto"/>
              <w:jc w:val="left"/>
            </w:pPr>
            <w:r>
              <w:t>Important</w:t>
            </w:r>
          </w:p>
        </w:tc>
        <w:tc>
          <w:tcPr>
            <w:tcW w:type="dxa" w:w="3600"/>
          </w:tcPr>
          <w:p>
            <w:pPr>
              <w:spacing w:after="0" w:before="0" w:line="240" w:lineRule="auto"/>
              <w:jc w:val="left"/>
            </w:pPr>
            <w:r>
              <w:t>Failure causes significant downtime but recovery options exist</w:t>
            </w:r>
          </w:p>
        </w:tc>
        <w:tc>
          <w:tcPr>
            <w:tcW w:type="dxa" w:w="3600"/>
          </w:tcPr>
          <w:p>
            <w:pPr>
              <w:spacing w:after="0" w:before="0" w:line="240" w:lineRule="auto"/>
              <w:jc w:val="left"/>
            </w:pPr>
            <w:r>
              <w:t>Stock according to risk and lead time</w:t>
            </w:r>
          </w:p>
        </w:tc>
      </w:tr>
      <w:tr>
        <w:tc>
          <w:tcPr>
            <w:tcW w:type="dxa" w:w="3600"/>
          </w:tcPr>
          <w:p>
            <w:pPr>
              <w:spacing w:after="0" w:before="0" w:line="240" w:lineRule="auto"/>
              <w:jc w:val="left"/>
            </w:pPr>
            <w:r>
              <w:t>Routine</w:t>
            </w:r>
          </w:p>
        </w:tc>
        <w:tc>
          <w:tcPr>
            <w:tcW w:type="dxa" w:w="3600"/>
          </w:tcPr>
          <w:p>
            <w:pPr>
              <w:spacing w:after="0" w:before="0" w:line="240" w:lineRule="auto"/>
              <w:jc w:val="left"/>
            </w:pPr>
            <w:r>
              <w:t>Common item with low replacement difficulty</w:t>
            </w:r>
          </w:p>
        </w:tc>
        <w:tc>
          <w:tcPr>
            <w:tcW w:type="dxa" w:w="3600"/>
          </w:tcPr>
          <w:p>
            <w:pPr>
              <w:spacing w:after="0" w:before="0" w:line="240" w:lineRule="auto"/>
              <w:jc w:val="left"/>
            </w:pPr>
            <w:r>
              <w:t>Manage through normal inventory</w:t>
            </w:r>
          </w:p>
        </w:tc>
      </w:tr>
      <w:tr>
        <w:tc>
          <w:tcPr>
            <w:tcW w:type="dxa" w:w="3600"/>
          </w:tcPr>
          <w:p>
            <w:pPr>
              <w:spacing w:after="0" w:before="0" w:line="240" w:lineRule="auto"/>
              <w:jc w:val="left"/>
            </w:pPr>
            <w:r>
              <w:t>Consumable</w:t>
            </w:r>
          </w:p>
        </w:tc>
        <w:tc>
          <w:tcPr>
            <w:tcW w:type="dxa" w:w="3600"/>
          </w:tcPr>
          <w:p>
            <w:pPr>
              <w:spacing w:after="0" w:before="0" w:line="240" w:lineRule="auto"/>
              <w:jc w:val="left"/>
            </w:pPr>
            <w:r>
              <w:t>Regularly replaced material</w:t>
            </w:r>
          </w:p>
        </w:tc>
        <w:tc>
          <w:tcPr>
            <w:tcW w:type="dxa" w:w="3600"/>
          </w:tcPr>
          <w:p>
            <w:pPr>
              <w:spacing w:after="0" w:before="0" w:line="240" w:lineRule="auto"/>
              <w:jc w:val="left"/>
            </w:pPr>
            <w:r>
              <w:t>Replenish based on usage and minimum stock</w:t>
            </w:r>
          </w:p>
        </w:tc>
      </w:tr>
    </w:tbl>
    <w:p/>
    <w:p>
      <w:r>
        <w:t>These classifications are examples, not universal categories. Safety-critical items must be assessed according to the applicable safety and maintenance requirements, not solely their purchase price.</w:t>
      </w:r>
    </w:p>
    <w:p>
      <w:pPr>
        <w:pStyle w:val="Heading2"/>
      </w:pPr>
      <w:r>
        <w:t>14. Cost estimation and value engineering</w:t>
      </w:r>
    </w:p>
    <w:p>
      <w:r>
        <w:t>The BOM supports cost estimation by connecting quantities with current procurement and manufacturing costs.</w:t>
      </w:r>
    </w:p>
    <w:p>
      <w:r>
        <w:t>A basic material-cost model is:</w:t>
      </w:r>
    </w:p>
    <w:p>
      <w:pPr>
        <w:spacing w:before="120" w:after="160"/>
        <w:jc w:val="center"/>
      </w:pPr>
      <m:oMathPara>
        <m:oMath>
          <m:sSub>
            <m:e>
              <m:r>
                <m:t>C</m:t>
              </m:r>
            </m:e>
            <m:sub>
              <m:r>
                <m:rPr>
                  <m:nor/>
                </m:rPr>
                <m:t>material</m:t>
              </m:r>
            </m:sub>
          </m:sSub>
          <m:r>
            <m:t>=</m:t>
          </m:r>
          <m:nary>
            <m:naryPr>
              <m:chr m:val="∑"/>
              <m:limLoc m:val="subSup"/>
              <m:grow m:val="1"/>
              <m:subHide m:val="off"/>
              <m:supHide m:val="off"/>
            </m:naryPr>
            <m:sub>
              <m:r>
                <m:t>i=1</m:t>
              </m:r>
            </m:sub>
            <m:sup>
              <m:r>
                <m:t>n</m:t>
              </m:r>
            </m:sup>
            <m:e>
              <m:sSub>
                <m:e>
                  <m:r>
                    <m:t>Q</m:t>
                  </m:r>
                </m:e>
                <m:sub>
                  <m:r>
                    <m:t>i</m:t>
                  </m:r>
                </m:sub>
              </m:sSub>
            </m:e>
          </m:nary>
          <m:r>
            <m:t>×</m:t>
          </m:r>
          <m:sSub>
            <m:e>
              <m:r>
                <m:t>P</m:t>
              </m:r>
            </m:e>
            <m:sub>
              <m:r>
                <m:t>i</m:t>
              </m:r>
            </m:sub>
          </m:sSub>
        </m:oMath>
      </m:oMathPara>
    </w:p>
    <w:p>
      <w:r>
        <w:t xml:space="preserve">where </w:t>
      </w:r>
      <m:oMath>
        <m:sSub>
          <m:e>
            <m:r>
              <m:t>Q</m:t>
            </m:r>
          </m:e>
          <m:sub>
            <m:r>
              <m:t>i</m:t>
            </m:r>
          </m:sub>
        </m:sSub>
      </m:oMath>
      <w:r>
        <w:t xml:space="preserve"> is the relevant quantity and </w:t>
      </w:r>
      <m:oMath>
        <m:sSub>
          <m:e>
            <m:r>
              <m:t>P</m:t>
            </m:r>
          </m:e>
          <m:sub>
            <m:r>
              <m:t>i</m:t>
            </m:r>
          </m:sub>
        </m:sSub>
      </m:oMath>
      <w:r>
        <w:t xml:space="preserve"> is the unit price for item </w:t>
      </w:r>
      <m:oMath>
        <m:r>
          <m:t>i</m:t>
        </m:r>
      </m:oMath>
      <w:r>
        <w:t>.</w:t>
      </w:r>
    </w:p>
    <w:p>
      <w:r>
        <w:t>For example, 10 units of a component at a unit price of ₹1,500 give a material line cost of ₹15,000 before applicable taxes, freight, and other charges.</w:t>
      </w:r>
    </w:p>
    <w:p>
      <w:r>
        <w:t>The project cost may also include installation, engineering, fabrication, testing, commissioning, training, spares, software, licensing, and lifecycle support. Those costs should be tracked in the appropriate commercial documents rather than hidden inside a component BOM.</w:t>
      </w:r>
    </w:p>
    <w:p>
      <w:pPr>
        <w:pStyle w:val="Heading3"/>
      </w:pPr>
      <w:r>
        <w:t>Value-engineering opportunities</w:t>
      </w:r>
    </w:p>
    <w:p>
      <w:pPr>
        <w:pStyle w:val="ListBullet"/>
      </w:pPr>
      <w:r>
        <w:t>Standardize component families across similar machines.</w:t>
      </w:r>
    </w:p>
    <w:p>
      <w:pPr>
        <w:pStyle w:val="ListBullet"/>
      </w:pPr>
      <w:r>
        <w:t>Reduce unnecessary variants without compromising function.</w:t>
      </w:r>
    </w:p>
    <w:p>
      <w:pPr>
        <w:pStyle w:val="ListBullet"/>
      </w:pPr>
      <w:r>
        <w:t>Use common terminal and accessory systems where appropriate.</w:t>
      </w:r>
    </w:p>
    <w:p>
      <w:pPr>
        <w:pStyle w:val="ListBullet"/>
      </w:pPr>
      <w:r>
        <w:t>Consider lifecycle cost, not just purchase price.</w:t>
      </w:r>
    </w:p>
    <w:p>
      <w:pPr>
        <w:pStyle w:val="ListBullet"/>
      </w:pPr>
      <w:r>
        <w:t>Review energy consumption and thermal losses.</w:t>
      </w:r>
    </w:p>
    <w:p>
      <w:pPr>
        <w:pStyle w:val="ListBullet"/>
      </w:pPr>
      <w:r>
        <w:t>Improve maintainability and replacement access.</w:t>
      </w:r>
    </w:p>
    <w:p>
      <w:pPr>
        <w:pStyle w:val="ListBullet"/>
      </w:pPr>
      <w:r>
        <w:t>Reduce long-lead-time and obsolete components.</w:t>
      </w:r>
    </w:p>
    <w:p>
      <w:pPr>
        <w:pStyle w:val="ListBullet"/>
      </w:pPr>
      <w:r>
        <w:t>Use approved alternatives where technical equivalence is established.</w:t>
      </w:r>
    </w:p>
    <w:p>
      <w:pPr>
        <w:pStyle w:val="ListBullet"/>
      </w:pPr>
      <w:r>
        <w:t>Eliminate duplicate or unused BOM lines.</w:t>
      </w:r>
    </w:p>
    <w:p>
      <w:r>
        <w:t>A lower initial purchase price is not necessarily a lower lifecycle cost. A cheaper component that increases downtime, engineering effort, or spare-parts complexity can cost substantially more over the machine's life.</w:t>
      </w:r>
    </w:p>
    <w:p>
      <w:pPr>
        <w:pStyle w:val="Heading2"/>
      </w:pPr>
      <w:r>
        <w:t>15. BOM management using Excel</w:t>
      </w:r>
    </w:p>
    <w:p>
      <w:r>
        <w:t>Excel can manage BOMs for smaller projects, provided that the workbook has controlled identifiers, validation rules, and revision management. For larger engineering programs, an ERP, PLM, or engineering database may be more suitable as the master source.</w:t>
      </w:r>
    </w:p>
    <w:p>
      <w:pPr>
        <w:pStyle w:val="Heading3"/>
      </w:pPr>
      <w:r>
        <w:t>15.1 Recommended workbook structure</w:t>
      </w:r>
    </w:p>
    <w:p>
      <w:pPr>
        <w:pStyle w:val="ListBullet"/>
      </w:pPr>
      <w:r>
        <w:rPr>
          <w:rFonts w:ascii="Consolas" w:hAnsi="Consolas"/>
          <w:color w:val="333333"/>
          <w:sz w:val="19"/>
          <w:shd w:val="clear" w:color="auto" w:fill="EFEFEF"/>
        </w:rPr>
        <w:t>BOM_MASTER</w:t>
      </w:r>
      <w:r>
        <w:t>: Approved BOM line items.</w:t>
      </w:r>
    </w:p>
    <w:p>
      <w:pPr>
        <w:pStyle w:val="ListBullet"/>
      </w:pPr>
      <w:r>
        <w:rPr>
          <w:rFonts w:ascii="Consolas" w:hAnsi="Consolas"/>
          <w:color w:val="333333"/>
          <w:sz w:val="19"/>
          <w:shd w:val="clear" w:color="auto" w:fill="EFEFEF"/>
        </w:rPr>
        <w:t>MATERIAL_MASTER</w:t>
      </w:r>
      <w:r>
        <w:t>: Internal material codes and descriptions.</w:t>
      </w:r>
    </w:p>
    <w:p>
      <w:pPr>
        <w:pStyle w:val="ListBullet"/>
      </w:pPr>
      <w:r>
        <w:rPr>
          <w:rFonts w:ascii="Consolas" w:hAnsi="Consolas"/>
          <w:color w:val="333333"/>
          <w:sz w:val="19"/>
          <w:shd w:val="clear" w:color="auto" w:fill="EFEFEF"/>
        </w:rPr>
        <w:t>APPROVED_PARTS</w:t>
      </w:r>
      <w:r>
        <w:t>: Manufacturer part numbers and approved alternatives.</w:t>
      </w:r>
    </w:p>
    <w:p>
      <w:pPr>
        <w:pStyle w:val="ListBullet"/>
      </w:pPr>
      <w:r>
        <w:rPr>
          <w:rFonts w:ascii="Consolas" w:hAnsi="Consolas"/>
          <w:color w:val="333333"/>
          <w:sz w:val="19"/>
          <w:shd w:val="clear" w:color="auto" w:fill="EFEFEF"/>
        </w:rPr>
        <w:t>ASSEMBLY_MASTER</w:t>
      </w:r>
      <w:r>
        <w:t>: Parent-child assembly relationships.</w:t>
      </w:r>
    </w:p>
    <w:p>
      <w:pPr>
        <w:pStyle w:val="ListBullet"/>
      </w:pPr>
      <w:r>
        <w:rPr>
          <w:rFonts w:ascii="Consolas" w:hAnsi="Consolas"/>
          <w:color w:val="333333"/>
          <w:sz w:val="19"/>
          <w:shd w:val="clear" w:color="auto" w:fill="EFEFEF"/>
        </w:rPr>
        <w:t>PROCUREMENT_TRACKER</w:t>
      </w:r>
      <w:r>
        <w:t>: Requisition, order, and receipt status.</w:t>
      </w:r>
    </w:p>
    <w:p>
      <w:pPr>
        <w:pStyle w:val="ListBullet"/>
      </w:pPr>
      <w:r>
        <w:rPr>
          <w:rFonts w:ascii="Consolas" w:hAnsi="Consolas"/>
          <w:color w:val="333333"/>
          <w:sz w:val="19"/>
          <w:shd w:val="clear" w:color="auto" w:fill="EFEFEF"/>
        </w:rPr>
        <w:t>SPARES_MASTER</w:t>
      </w:r>
      <w:r>
        <w:t>: Critical spare requirements.</w:t>
      </w:r>
    </w:p>
    <w:p>
      <w:pPr>
        <w:pStyle w:val="ListBullet"/>
      </w:pPr>
      <w:r>
        <w:rPr>
          <w:rFonts w:ascii="Consolas" w:hAnsi="Consolas"/>
          <w:color w:val="333333"/>
          <w:sz w:val="19"/>
          <w:shd w:val="clear" w:color="auto" w:fill="EFEFEF"/>
        </w:rPr>
        <w:t>CHANGE_LOG</w:t>
      </w:r>
      <w:r>
        <w:t>: Approved engineering changes.</w:t>
      </w:r>
    </w:p>
    <w:p>
      <w:pPr>
        <w:pStyle w:val="ListBullet"/>
      </w:pPr>
      <w:r>
        <w:rPr>
          <w:rFonts w:ascii="Consolas" w:hAnsi="Consolas"/>
          <w:color w:val="333333"/>
          <w:sz w:val="19"/>
          <w:shd w:val="clear" w:color="auto" w:fill="EFEFEF"/>
        </w:rPr>
        <w:t>BOM_SUMMARY</w:t>
      </w:r>
      <w:r>
        <w:t>: Material quantities, cost, and completion status.</w:t>
      </w:r>
    </w:p>
    <w:p>
      <w:pPr>
        <w:pStyle w:val="Heading3"/>
      </w:pPr>
      <w:r>
        <w:t>15.2 Example BOM columns</w:t>
      </w:r>
    </w:p>
    <w:p>
      <w:pPr>
        <w:shd w:val="clear" w:color="auto" w:fill="F4F4F4"/>
        <w:spacing w:before="0" w:after="0" w:line="240" w:lineRule="auto"/>
        <w:ind w:left="216" w:right="216"/>
        <w:jc w:val="left"/>
      </w:pPr>
      <w:r>
        <w:rPr>
          <w:rFonts w:ascii="Consolas" w:hAnsi="Consolas"/>
          <w:color w:val="202020"/>
          <w:sz w:val="18"/>
        </w:rPr>
        <w:t>BOM_ID</w:t>
      </w:r>
    </w:p>
    <w:p>
      <w:pPr>
        <w:shd w:val="clear" w:color="auto" w:fill="F4F4F4"/>
        <w:spacing w:before="0" w:after="0" w:line="240" w:lineRule="auto"/>
        <w:ind w:left="216" w:right="216"/>
        <w:jc w:val="left"/>
      </w:pPr>
      <w:r>
        <w:rPr>
          <w:rFonts w:ascii="Consolas" w:hAnsi="Consolas"/>
          <w:color w:val="202020"/>
          <w:sz w:val="18"/>
        </w:rPr>
        <w:t>BOM_REVISION</w:t>
      </w:r>
    </w:p>
    <w:p>
      <w:pPr>
        <w:shd w:val="clear" w:color="auto" w:fill="F4F4F4"/>
        <w:spacing w:before="0" w:after="0" w:line="240" w:lineRule="auto"/>
        <w:ind w:left="216" w:right="216"/>
        <w:jc w:val="left"/>
      </w:pPr>
      <w:r>
        <w:rPr>
          <w:rFonts w:ascii="Consolas" w:hAnsi="Consolas"/>
          <w:color w:val="202020"/>
          <w:sz w:val="18"/>
        </w:rPr>
        <w:t>PARENT_ASSEMBLY</w:t>
      </w:r>
    </w:p>
    <w:p>
      <w:pPr>
        <w:shd w:val="clear" w:color="auto" w:fill="F4F4F4"/>
        <w:spacing w:before="0" w:after="0" w:line="240" w:lineRule="auto"/>
        <w:ind w:left="216" w:right="216"/>
        <w:jc w:val="left"/>
      </w:pPr>
      <w:r>
        <w:rPr>
          <w:rFonts w:ascii="Consolas" w:hAnsi="Consolas"/>
          <w:color w:val="202020"/>
          <w:sz w:val="18"/>
        </w:rPr>
        <w:t>ITEM_NO</w:t>
      </w:r>
    </w:p>
    <w:p>
      <w:pPr>
        <w:shd w:val="clear" w:color="auto" w:fill="F4F4F4"/>
        <w:spacing w:before="0" w:after="0" w:line="240" w:lineRule="auto"/>
        <w:ind w:left="216" w:right="216"/>
        <w:jc w:val="left"/>
      </w:pPr>
      <w:r>
        <w:rPr>
          <w:rFonts w:ascii="Consolas" w:hAnsi="Consolas"/>
          <w:color w:val="202020"/>
          <w:sz w:val="18"/>
        </w:rPr>
        <w:t>EQUIPMENT_TAG</w:t>
      </w:r>
    </w:p>
    <w:p>
      <w:pPr>
        <w:shd w:val="clear" w:color="auto" w:fill="F4F4F4"/>
        <w:spacing w:before="0" w:after="0" w:line="240" w:lineRule="auto"/>
        <w:ind w:left="216" w:right="216"/>
        <w:jc w:val="left"/>
      </w:pPr>
      <w:r>
        <w:rPr>
          <w:rFonts w:ascii="Consolas" w:hAnsi="Consolas"/>
          <w:color w:val="202020"/>
          <w:sz w:val="18"/>
        </w:rPr>
        <w:t>MATERIAL_CODE</w:t>
      </w:r>
    </w:p>
    <w:p>
      <w:pPr>
        <w:shd w:val="clear" w:color="auto" w:fill="F4F4F4"/>
        <w:spacing w:before="0" w:after="0" w:line="240" w:lineRule="auto"/>
        <w:ind w:left="216" w:right="216"/>
        <w:jc w:val="left"/>
      </w:pPr>
      <w:r>
        <w:rPr>
          <w:rFonts w:ascii="Consolas" w:hAnsi="Consolas"/>
          <w:color w:val="202020"/>
          <w:sz w:val="18"/>
        </w:rPr>
        <w:t>DESCRIPTION</w:t>
      </w:r>
    </w:p>
    <w:p>
      <w:pPr>
        <w:shd w:val="clear" w:color="auto" w:fill="F4F4F4"/>
        <w:spacing w:before="0" w:after="0" w:line="240" w:lineRule="auto"/>
        <w:ind w:left="216" w:right="216"/>
        <w:jc w:val="left"/>
      </w:pPr>
      <w:r>
        <w:rPr>
          <w:rFonts w:ascii="Consolas" w:hAnsi="Consolas"/>
          <w:color w:val="202020"/>
          <w:sz w:val="18"/>
        </w:rPr>
        <w:t>MANUFACTURER</w:t>
      </w:r>
    </w:p>
    <w:p>
      <w:pPr>
        <w:shd w:val="clear" w:color="auto" w:fill="F4F4F4"/>
        <w:spacing w:before="0" w:after="0" w:line="240" w:lineRule="auto"/>
        <w:ind w:left="216" w:right="216"/>
        <w:jc w:val="left"/>
      </w:pPr>
      <w:r>
        <w:rPr>
          <w:rFonts w:ascii="Consolas" w:hAnsi="Consolas"/>
          <w:color w:val="202020"/>
          <w:sz w:val="18"/>
        </w:rPr>
        <w:t>MANUFACTURER_PART_NO</w:t>
      </w:r>
    </w:p>
    <w:p>
      <w:pPr>
        <w:shd w:val="clear" w:color="auto" w:fill="F4F4F4"/>
        <w:spacing w:before="0" w:after="0" w:line="240" w:lineRule="auto"/>
        <w:ind w:left="216" w:right="216"/>
        <w:jc w:val="left"/>
      </w:pPr>
      <w:r>
        <w:rPr>
          <w:rFonts w:ascii="Consolas" w:hAnsi="Consolas"/>
          <w:color w:val="202020"/>
          <w:sz w:val="18"/>
        </w:rPr>
        <w:t>TECHNICAL_SPECIFICATION</w:t>
      </w:r>
    </w:p>
    <w:p>
      <w:pPr>
        <w:shd w:val="clear" w:color="auto" w:fill="F4F4F4"/>
        <w:spacing w:before="0" w:after="0" w:line="240" w:lineRule="auto"/>
        <w:ind w:left="216" w:right="216"/>
        <w:jc w:val="left"/>
      </w:pPr>
      <w:r>
        <w:rPr>
          <w:rFonts w:ascii="Consolas" w:hAnsi="Consolas"/>
          <w:color w:val="202020"/>
          <w:sz w:val="18"/>
        </w:rPr>
        <w:t>QUANTITY</w:t>
      </w:r>
    </w:p>
    <w:p>
      <w:pPr>
        <w:shd w:val="clear" w:color="auto" w:fill="F4F4F4"/>
        <w:spacing w:before="0" w:after="0" w:line="240" w:lineRule="auto"/>
        <w:ind w:left="216" w:right="216"/>
        <w:jc w:val="left"/>
      </w:pPr>
      <w:r>
        <w:rPr>
          <w:rFonts w:ascii="Consolas" w:hAnsi="Consolas"/>
          <w:color w:val="202020"/>
          <w:sz w:val="18"/>
        </w:rPr>
        <w:t>UNIT_OF_MEASURE</w:t>
      </w:r>
    </w:p>
    <w:p>
      <w:pPr>
        <w:shd w:val="clear" w:color="auto" w:fill="F4F4F4"/>
        <w:spacing w:before="0" w:after="0" w:line="240" w:lineRule="auto"/>
        <w:ind w:left="216" w:right="216"/>
        <w:jc w:val="left"/>
      </w:pPr>
      <w:r>
        <w:rPr>
          <w:rFonts w:ascii="Consolas" w:hAnsi="Consolas"/>
          <w:color w:val="202020"/>
          <w:sz w:val="18"/>
        </w:rPr>
        <w:t>APPROVED_ALTERNATIVE</w:t>
      </w:r>
    </w:p>
    <w:p>
      <w:pPr>
        <w:shd w:val="clear" w:color="auto" w:fill="F4F4F4"/>
        <w:spacing w:before="0" w:after="0" w:line="240" w:lineRule="auto"/>
        <w:ind w:left="216" w:right="216"/>
        <w:jc w:val="left"/>
      </w:pPr>
      <w:r>
        <w:rPr>
          <w:rFonts w:ascii="Consolas" w:hAnsi="Consolas"/>
          <w:color w:val="202020"/>
          <w:sz w:val="18"/>
        </w:rPr>
        <w:t>LIFECYCLE_STATUS</w:t>
      </w:r>
    </w:p>
    <w:p>
      <w:pPr>
        <w:shd w:val="clear" w:color="auto" w:fill="F4F4F4"/>
        <w:spacing w:before="0" w:after="0" w:line="240" w:lineRule="auto"/>
        <w:ind w:left="216" w:right="216"/>
        <w:jc w:val="left"/>
      </w:pPr>
      <w:r>
        <w:rPr>
          <w:rFonts w:ascii="Consolas" w:hAnsi="Consolas"/>
          <w:color w:val="202020"/>
          <w:sz w:val="18"/>
        </w:rPr>
        <w:t>PROCUREMENT_STATUS</w:t>
      </w:r>
    </w:p>
    <w:p>
      <w:pPr>
        <w:shd w:val="clear" w:color="auto" w:fill="F4F4F4"/>
        <w:spacing w:before="0" w:after="0" w:line="240" w:lineRule="auto"/>
        <w:ind w:left="216" w:right="216"/>
        <w:jc w:val="left"/>
      </w:pPr>
      <w:r>
        <w:rPr>
          <w:rFonts w:ascii="Consolas" w:hAnsi="Consolas"/>
          <w:color w:val="202020"/>
          <w:sz w:val="18"/>
        </w:rPr>
        <w:t>LEAD_TIME_DAYS</w:t>
      </w:r>
    </w:p>
    <w:p>
      <w:pPr>
        <w:shd w:val="clear" w:color="auto" w:fill="F4F4F4"/>
        <w:spacing w:before="0" w:after="0" w:line="240" w:lineRule="auto"/>
        <w:ind w:left="216" w:right="216"/>
        <w:jc w:val="left"/>
      </w:pPr>
      <w:r>
        <w:rPr>
          <w:rFonts w:ascii="Consolas" w:hAnsi="Consolas"/>
          <w:color w:val="202020"/>
          <w:sz w:val="18"/>
        </w:rPr>
        <w:t>UNIT_COST</w:t>
      </w:r>
    </w:p>
    <w:p>
      <w:pPr>
        <w:shd w:val="clear" w:color="auto" w:fill="F4F4F4"/>
        <w:spacing w:before="0" w:after="0" w:line="240" w:lineRule="auto"/>
        <w:ind w:left="216" w:right="216"/>
        <w:jc w:val="left"/>
      </w:pPr>
      <w:r>
        <w:rPr>
          <w:rFonts w:ascii="Consolas" w:hAnsi="Consolas"/>
          <w:color w:val="202020"/>
          <w:sz w:val="18"/>
        </w:rPr>
        <w:t>CURRENCY</w:t>
      </w:r>
    </w:p>
    <w:p>
      <w:pPr>
        <w:shd w:val="clear" w:color="auto" w:fill="F4F4F4"/>
        <w:spacing w:before="0" w:after="0" w:line="240" w:lineRule="auto"/>
        <w:ind w:left="216" w:right="216"/>
        <w:jc w:val="left"/>
      </w:pPr>
      <w:r>
        <w:rPr>
          <w:rFonts w:ascii="Consolas" w:hAnsi="Consolas"/>
          <w:color w:val="202020"/>
          <w:sz w:val="18"/>
        </w:rPr>
        <w:t>DRAWING_REFERENCE</w:t>
      </w:r>
    </w:p>
    <w:p>
      <w:pPr>
        <w:shd w:val="clear" w:color="auto" w:fill="F4F4F4"/>
        <w:spacing w:before="0" w:after="0" w:line="240" w:lineRule="auto"/>
        <w:ind w:left="216" w:right="216"/>
        <w:jc w:val="left"/>
      </w:pPr>
      <w:r>
        <w:rPr>
          <w:rFonts w:ascii="Consolas" w:hAnsi="Consolas"/>
          <w:color w:val="202020"/>
          <w:sz w:val="18"/>
        </w:rPr>
        <w:t>REMARKS</w:t>
      </w:r>
    </w:p>
    <w:p/>
    <w:p>
      <w:pPr>
        <w:pStyle w:val="Heading3"/>
      </w:pPr>
      <w:r>
        <w:t>15.3 Data validation and automated checks</w:t>
      </w:r>
    </w:p>
    <w:p>
      <w:pPr>
        <w:pStyle w:val="ListBullet"/>
      </w:pPr>
      <w:r>
        <w:t>Check for duplicate material codes and manufacturer part numbers where uniqueness is required.</w:t>
      </w:r>
    </w:p>
    <w:p>
      <w:pPr>
        <w:pStyle w:val="ListBullet"/>
      </w:pPr>
      <w:r>
        <w:t>Validate that quantities are positive and use the correct unit of measure.</w:t>
      </w:r>
    </w:p>
    <w:p>
      <w:pPr>
        <w:pStyle w:val="ListBullet"/>
      </w:pPr>
      <w:r>
        <w:t>Flag blank descriptions, missing part numbers, and unresolved material codes.</w:t>
      </w:r>
    </w:p>
    <w:p>
      <w:pPr>
        <w:pStyle w:val="ListBullet"/>
      </w:pPr>
      <w:r>
        <w:t>Flag obsolete and discontinued components.</w:t>
      </w:r>
    </w:p>
    <w:p>
      <w:pPr>
        <w:pStyle w:val="ListBullet"/>
      </w:pPr>
      <w:r>
        <w:t>Compare the BOM revision with the released drawing revision.</w:t>
      </w:r>
    </w:p>
    <w:p>
      <w:pPr>
        <w:pStyle w:val="ListBullet"/>
      </w:pPr>
      <w:r>
        <w:t>Check whether required accessories are included.</w:t>
      </w:r>
    </w:p>
    <w:p>
      <w:pPr>
        <w:pStyle w:val="ListBullet"/>
      </w:pPr>
      <w:r>
        <w:t>Reconcile ordered, received, issued, and required quantities.</w:t>
      </w:r>
    </w:p>
    <w:p>
      <w:pPr>
        <w:pStyle w:val="ListBullet"/>
      </w:pPr>
      <w:r>
        <w:t>Separate installed quantities from spare-stock quantities.</w:t>
      </w:r>
    </w:p>
    <w:p>
      <w:pPr>
        <w:pStyle w:val="ListBullet"/>
      </w:pPr>
      <w:r>
        <w:t>Prevent unauthorized changes to released records.</w:t>
      </w:r>
    </w:p>
    <w:p>
      <w:pPr>
        <w:pStyle w:val="ListBullet"/>
      </w:pPr>
      <w:r>
        <w:t>Retain change history rather than silently overwriting previous values.</w:t>
      </w:r>
    </w:p>
    <w:p>
      <w:r>
        <w:t>For automated reporting, calculate material shortages from the required quantity and the relevant available, reserved, ordered, and accepted quantities. Avoid simply subtracting all stock from the requirement without checking whether the stock is usable, allocated, or technically compatible.</w:t>
      </w:r>
    </w:p>
    <w:p>
      <w:pPr>
        <w:pStyle w:val="Heading2"/>
      </w:pPr>
      <w:r>
        <w:t>16. BOM verification and release checklist</w:t>
      </w:r>
    </w:p>
    <w:p>
      <w:r>
        <w:t>Before releasing a BOM for procurement or manufacturing, verify the following.</w:t>
      </w:r>
    </w:p>
    <w:p>
      <w:pPr>
        <w:pStyle w:val="Heading3"/>
      </w:pPr>
      <w:r>
        <w:t>Technical verification</w:t>
      </w:r>
    </w:p>
    <w:p>
      <w:pPr>
        <w:pStyle w:val="ListBullet"/>
      </w:pPr>
      <w:r>
        <w:t>All items match the approved drawings and specifications.</w:t>
      </w:r>
    </w:p>
    <w:p>
      <w:pPr>
        <w:pStyle w:val="ListBullet"/>
      </w:pPr>
      <w:r>
        <w:t>Manufacturer part numbers are verified.</w:t>
      </w:r>
    </w:p>
    <w:p>
      <w:pPr>
        <w:pStyle w:val="ListBullet"/>
      </w:pPr>
      <w:r>
        <w:t>Electrical and mechanical ratings are suitable.</w:t>
      </w:r>
    </w:p>
    <w:p>
      <w:pPr>
        <w:pStyle w:val="ListBullet"/>
      </w:pPr>
      <w:r>
        <w:t>Required accessories are included.</w:t>
      </w:r>
    </w:p>
    <w:p>
      <w:pPr>
        <w:pStyle w:val="ListBullet"/>
      </w:pPr>
      <w:r>
        <w:t>Quantities match the design.</w:t>
      </w:r>
    </w:p>
    <w:p>
      <w:pPr>
        <w:pStyle w:val="ListBullet"/>
      </w:pPr>
      <w:r>
        <w:t>Units of measure are correct.</w:t>
      </w:r>
    </w:p>
    <w:p>
      <w:pPr>
        <w:pStyle w:val="ListBullet"/>
      </w:pPr>
      <w:r>
        <w:t>Approved alternatives have documented restrictions.</w:t>
      </w:r>
    </w:p>
    <w:p>
      <w:pPr>
        <w:pStyle w:val="ListBullet"/>
      </w:pPr>
      <w:r>
        <w:t>Obsolete or discontinued items have been reviewed.</w:t>
      </w:r>
    </w:p>
    <w:p>
      <w:pPr>
        <w:pStyle w:val="ListBullet"/>
      </w:pPr>
      <w:r>
        <w:t>Required certifications and compliance conditions are addressed.</w:t>
      </w:r>
    </w:p>
    <w:p>
      <w:pPr>
        <w:pStyle w:val="Heading3"/>
      </w:pPr>
      <w:r>
        <w:t>Manufacturing verification</w:t>
      </w:r>
    </w:p>
    <w:p>
      <w:pPr>
        <w:pStyle w:val="ListBullet"/>
      </w:pPr>
      <w:r>
        <w:t>Enclosure and mounting hardware are included.</w:t>
      </w:r>
    </w:p>
    <w:p>
      <w:pPr>
        <w:pStyle w:val="ListBullet"/>
      </w:pPr>
      <w:r>
        <w:t>Wiring ducts, rails, terminals, markers, and accessories are included.</w:t>
      </w:r>
    </w:p>
    <w:p>
      <w:pPr>
        <w:pStyle w:val="ListBullet"/>
      </w:pPr>
      <w:r>
        <w:t>Required glands, lugs, ferrules, and connectors are accounted for.</w:t>
      </w:r>
    </w:p>
    <w:p>
      <w:pPr>
        <w:pStyle w:val="ListBullet"/>
      </w:pPr>
      <w:r>
        <w:t>Cooling and environmental-control hardware is included.</w:t>
      </w:r>
    </w:p>
    <w:p>
      <w:pPr>
        <w:pStyle w:val="ListBullet"/>
      </w:pPr>
      <w:r>
        <w:t>Assembly consumables are covered by the BOM or an approved standard kit.</w:t>
      </w:r>
    </w:p>
    <w:p>
      <w:pPr>
        <w:pStyle w:val="ListBullet"/>
      </w:pPr>
      <w:r>
        <w:t>Items can be assembled according to the released drawings.</w:t>
      </w:r>
    </w:p>
    <w:p>
      <w:pPr>
        <w:pStyle w:val="Heading3"/>
      </w:pPr>
      <w:r>
        <w:t>Procurement verification</w:t>
      </w:r>
    </w:p>
    <w:p>
      <w:pPr>
        <w:pStyle w:val="ListBullet"/>
      </w:pPr>
      <w:r>
        <w:t>Internal material codes are correct.</w:t>
      </w:r>
    </w:p>
    <w:p>
      <w:pPr>
        <w:pStyle w:val="ListBullet"/>
      </w:pPr>
      <w:r>
        <w:t>Suppliers and approved sourcing routes are identified where required.</w:t>
      </w:r>
    </w:p>
    <w:p>
      <w:pPr>
        <w:pStyle w:val="ListBullet"/>
      </w:pPr>
      <w:r>
        <w:t>Lead times are assessed.</w:t>
      </w:r>
    </w:p>
    <w:p>
      <w:pPr>
        <w:pStyle w:val="ListBullet"/>
      </w:pPr>
      <w:r>
        <w:t>Packaging quantities and minimum order quantities are considered.</w:t>
      </w:r>
    </w:p>
    <w:p>
      <w:pPr>
        <w:pStyle w:val="ListBullet"/>
      </w:pPr>
      <w:r>
        <w:t>Available inventory and reservations are checked.</w:t>
      </w:r>
    </w:p>
    <w:p>
      <w:pPr>
        <w:pStyle w:val="ListBullet"/>
      </w:pPr>
      <w:r>
        <w:t>Critical spares are assessed separately.</w:t>
      </w:r>
    </w:p>
    <w:p>
      <w:pPr>
        <w:pStyle w:val="ListBullet"/>
      </w:pPr>
      <w:r>
        <w:t>Unit prices and currency are current where cost estimation is required.</w:t>
      </w:r>
    </w:p>
    <w:p>
      <w:pPr>
        <w:pStyle w:val="Heading3"/>
      </w:pPr>
      <w:r>
        <w:t>Document control</w:t>
      </w:r>
    </w:p>
    <w:p>
      <w:pPr>
        <w:pStyle w:val="ListBullet"/>
      </w:pPr>
      <w:r>
        <w:t>BOM number and revision are defined.</w:t>
      </w:r>
    </w:p>
    <w:p>
      <w:pPr>
        <w:pStyle w:val="ListBullet"/>
      </w:pPr>
      <w:r>
        <w:t>Approval status is recorded.</w:t>
      </w:r>
    </w:p>
    <w:p>
      <w:pPr>
        <w:pStyle w:val="ListBullet"/>
      </w:pPr>
      <w:r>
        <w:t>Related drawings and specifications use compatible revisions.</w:t>
      </w:r>
    </w:p>
    <w:p>
      <w:pPr>
        <w:pStyle w:val="ListBullet"/>
      </w:pPr>
      <w:r>
        <w:t>Engineering changes are documented.</w:t>
      </w:r>
    </w:p>
    <w:p>
      <w:pPr>
        <w:pStyle w:val="ListBullet"/>
      </w:pPr>
      <w:r>
        <w:t>Procurement and manufacturing have received the released version.</w:t>
      </w:r>
    </w:p>
    <w:p>
      <w:pPr>
        <w:pStyle w:val="ListBullet"/>
      </w:pPr>
      <w:r>
        <w:t>As-built updates are included in the project handover process.</w:t>
      </w:r>
    </w:p>
    <w:p>
      <w:pPr>
        <w:pStyle w:val="Heading2"/>
      </w:pPr>
      <w:r>
        <w:t>17. Common BOM errors and their consequences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Likely 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Incorrect part number</w:t>
            </w:r>
          </w:p>
        </w:tc>
        <w:tc>
          <w:tcPr>
            <w:tcW w:type="dxa" w:w="3600"/>
          </w:tcPr>
          <w:p>
            <w:pPr>
              <w:spacing w:after="0" w:before="0" w:line="240" w:lineRule="auto"/>
              <w:jc w:val="left"/>
            </w:pPr>
            <w:r>
              <w:t>Wrong component procured</w:t>
            </w:r>
          </w:p>
        </w:tc>
        <w:tc>
          <w:tcPr>
            <w:tcW w:type="dxa" w:w="3600"/>
          </w:tcPr>
          <w:p>
            <w:pPr>
              <w:spacing w:after="0" w:before="0" w:line="240" w:lineRule="auto"/>
              <w:jc w:val="left"/>
            </w:pPr>
            <w:r>
              <w:t>Verify against manufacturer documentation</w:t>
            </w:r>
          </w:p>
        </w:tc>
      </w:tr>
      <w:tr>
        <w:tc>
          <w:tcPr>
            <w:tcW w:type="dxa" w:w="3600"/>
          </w:tcPr>
          <w:p>
            <w:pPr>
              <w:spacing w:after="0" w:before="0" w:line="240" w:lineRule="auto"/>
              <w:jc w:val="left"/>
            </w:pPr>
            <w:r>
              <w:t>Missing accessories</w:t>
            </w:r>
          </w:p>
        </w:tc>
        <w:tc>
          <w:tcPr>
            <w:tcW w:type="dxa" w:w="3600"/>
          </w:tcPr>
          <w:p>
            <w:pPr>
              <w:spacing w:after="0" w:before="0" w:line="240" w:lineRule="auto"/>
              <w:jc w:val="left"/>
            </w:pPr>
            <w:r>
              <w:t>Assembly delays and extra purchases</w:t>
            </w:r>
          </w:p>
        </w:tc>
        <w:tc>
          <w:tcPr>
            <w:tcW w:type="dxa" w:w="3600"/>
          </w:tcPr>
          <w:p>
            <w:pPr>
              <w:spacing w:after="0" w:before="0" w:line="240" w:lineRule="auto"/>
              <w:jc w:val="left"/>
            </w:pPr>
            <w:r>
              <w:t>Review installation and accessory requirements</w:t>
            </w:r>
          </w:p>
        </w:tc>
      </w:tr>
      <w:tr>
        <w:tc>
          <w:tcPr>
            <w:tcW w:type="dxa" w:w="3600"/>
          </w:tcPr>
          <w:p>
            <w:pPr>
              <w:spacing w:after="0" w:before="0" w:line="240" w:lineRule="auto"/>
              <w:jc w:val="left"/>
            </w:pPr>
            <w:r>
              <w:t>Incorrect quantity</w:t>
            </w:r>
          </w:p>
        </w:tc>
        <w:tc>
          <w:tcPr>
            <w:tcW w:type="dxa" w:w="3600"/>
          </w:tcPr>
          <w:p>
            <w:pPr>
              <w:spacing w:after="0" w:before="0" w:line="240" w:lineRule="auto"/>
              <w:jc w:val="left"/>
            </w:pPr>
            <w:r>
              <w:t>Shortage or excess inventory</w:t>
            </w:r>
          </w:p>
        </w:tc>
        <w:tc>
          <w:tcPr>
            <w:tcW w:type="dxa" w:w="3600"/>
          </w:tcPr>
          <w:p>
            <w:pPr>
              <w:spacing w:after="0" w:before="0" w:line="240" w:lineRule="auto"/>
              <w:jc w:val="left"/>
            </w:pPr>
            <w:r>
              <w:t>Perform an independent quantity check</w:t>
            </w:r>
          </w:p>
        </w:tc>
      </w:tr>
      <w:tr>
        <w:tc>
          <w:tcPr>
            <w:tcW w:type="dxa" w:w="3600"/>
          </w:tcPr>
          <w:p>
            <w:pPr>
              <w:spacing w:after="0" w:before="0" w:line="240" w:lineRule="auto"/>
              <w:jc w:val="left"/>
            </w:pPr>
            <w:r>
              <w:t>Duplicate BOM entries</w:t>
            </w:r>
          </w:p>
        </w:tc>
        <w:tc>
          <w:tcPr>
            <w:tcW w:type="dxa" w:w="3600"/>
          </w:tcPr>
          <w:p>
            <w:pPr>
              <w:spacing w:after="0" w:before="0" w:line="240" w:lineRule="auto"/>
              <w:jc w:val="left"/>
            </w:pPr>
            <w:r>
              <w:t>Double purchasing or double counting</w:t>
            </w:r>
          </w:p>
        </w:tc>
        <w:tc>
          <w:tcPr>
            <w:tcW w:type="dxa" w:w="3600"/>
          </w:tcPr>
          <w:p>
            <w:pPr>
              <w:spacing w:after="0" w:before="0" w:line="240" w:lineRule="auto"/>
              <w:jc w:val="left"/>
            </w:pPr>
            <w:r>
              <w:t>Validate item IDs and assembly hierarchy</w:t>
            </w:r>
          </w:p>
        </w:tc>
      </w:tr>
      <w:tr>
        <w:tc>
          <w:tcPr>
            <w:tcW w:type="dxa" w:w="3600"/>
          </w:tcPr>
          <w:p>
            <w:pPr>
              <w:spacing w:after="0" w:before="0" w:line="240" w:lineRule="auto"/>
              <w:jc w:val="left"/>
            </w:pPr>
            <w:r>
              <w:t>Vague description</w:t>
            </w:r>
          </w:p>
        </w:tc>
        <w:tc>
          <w:tcPr>
            <w:tcW w:type="dxa" w:w="3600"/>
          </w:tcPr>
          <w:p>
            <w:pPr>
              <w:spacing w:after="0" w:before="0" w:line="240" w:lineRule="auto"/>
              <w:jc w:val="left"/>
            </w:pPr>
            <w:r>
              <w:t>Material-selection errors</w:t>
            </w:r>
          </w:p>
        </w:tc>
        <w:tc>
          <w:tcPr>
            <w:tcW w:type="dxa" w:w="3600"/>
          </w:tcPr>
          <w:p>
            <w:pPr>
              <w:spacing w:after="0" w:before="0" w:line="240" w:lineRule="auto"/>
              <w:jc w:val="left"/>
            </w:pPr>
            <w:r>
              <w:t>Use exact specifications and part numbers</w:t>
            </w:r>
          </w:p>
        </w:tc>
      </w:tr>
      <w:tr>
        <w:tc>
          <w:tcPr>
            <w:tcW w:type="dxa" w:w="3600"/>
          </w:tcPr>
          <w:p>
            <w:pPr>
              <w:spacing w:after="0" w:before="0" w:line="240" w:lineRule="auto"/>
              <w:jc w:val="left"/>
            </w:pPr>
            <w:r>
              <w:t>Incorrect unit of measure</w:t>
            </w:r>
          </w:p>
        </w:tc>
        <w:tc>
          <w:tcPr>
            <w:tcW w:type="dxa" w:w="3600"/>
          </w:tcPr>
          <w:p>
            <w:pPr>
              <w:spacing w:after="0" w:before="0" w:line="240" w:lineRule="auto"/>
              <w:jc w:val="left"/>
            </w:pPr>
            <w:r>
              <w:t>Procurement quantity errors</w:t>
            </w:r>
          </w:p>
        </w:tc>
        <w:tc>
          <w:tcPr>
            <w:tcW w:type="dxa" w:w="3600"/>
          </w:tcPr>
          <w:p>
            <w:pPr>
              <w:spacing w:after="0" w:before="0" w:line="240" w:lineRule="auto"/>
              <w:jc w:val="left"/>
            </w:pPr>
            <w:r>
              <w:t>Validate units and packaging rules</w:t>
            </w:r>
          </w:p>
        </w:tc>
      </w:tr>
      <w:tr>
        <w:tc>
          <w:tcPr>
            <w:tcW w:type="dxa" w:w="3600"/>
          </w:tcPr>
          <w:p>
            <w:pPr>
              <w:spacing w:after="0" w:before="0" w:line="240" w:lineRule="auto"/>
              <w:jc w:val="left"/>
            </w:pPr>
            <w:r>
              <w:t>Obsolete component</w:t>
            </w:r>
          </w:p>
        </w:tc>
        <w:tc>
          <w:tcPr>
            <w:tcW w:type="dxa" w:w="3600"/>
          </w:tcPr>
          <w:p>
            <w:pPr>
              <w:spacing w:after="0" w:before="0" w:line="240" w:lineRule="auto"/>
              <w:jc w:val="left"/>
            </w:pPr>
            <w:r>
              <w:t>Delivery delays and redesign</w:t>
            </w:r>
          </w:p>
        </w:tc>
        <w:tc>
          <w:tcPr>
            <w:tcW w:type="dxa" w:w="3600"/>
          </w:tcPr>
          <w:p>
            <w:pPr>
              <w:spacing w:after="0" w:before="0" w:line="240" w:lineRule="auto"/>
              <w:jc w:val="left"/>
            </w:pPr>
            <w:r>
              <w:t>Perform lifecycle checks before release</w:t>
            </w:r>
          </w:p>
        </w:tc>
      </w:tr>
      <w:tr>
        <w:tc>
          <w:tcPr>
            <w:tcW w:type="dxa" w:w="3600"/>
          </w:tcPr>
          <w:p>
            <w:pPr>
              <w:spacing w:after="0" w:before="0" w:line="240" w:lineRule="auto"/>
              <w:jc w:val="left"/>
            </w:pPr>
            <w:r>
              <w:t>Unapproved substitution</w:t>
            </w:r>
          </w:p>
        </w:tc>
        <w:tc>
          <w:tcPr>
            <w:tcW w:type="dxa" w:w="3600"/>
          </w:tcPr>
          <w:p>
            <w:pPr>
              <w:spacing w:after="0" w:before="0" w:line="240" w:lineRule="auto"/>
              <w:jc w:val="left"/>
            </w:pPr>
            <w:r>
              <w:t>Compatibility or compliance failure</w:t>
            </w:r>
          </w:p>
        </w:tc>
        <w:tc>
          <w:tcPr>
            <w:tcW w:type="dxa" w:w="3600"/>
          </w:tcPr>
          <w:p>
            <w:pPr>
              <w:spacing w:after="0" w:before="0" w:line="240" w:lineRule="auto"/>
              <w:jc w:val="left"/>
            </w:pPr>
            <w:r>
              <w:t>Require documented engineering approval</w:t>
            </w:r>
          </w:p>
        </w:tc>
      </w:tr>
      <w:tr>
        <w:tc>
          <w:tcPr>
            <w:tcW w:type="dxa" w:w="3600"/>
          </w:tcPr>
          <w:p>
            <w:pPr>
              <w:spacing w:after="0" w:before="0" w:line="240" w:lineRule="auto"/>
              <w:jc w:val="left"/>
            </w:pPr>
            <w:r>
              <w:t>BOM not updated after design change</w:t>
            </w:r>
          </w:p>
        </w:tc>
        <w:tc>
          <w:tcPr>
            <w:tcW w:type="dxa" w:w="3600"/>
          </w:tcPr>
          <w:p>
            <w:pPr>
              <w:spacing w:after="0" w:before="0" w:line="240" w:lineRule="auto"/>
              <w:jc w:val="left"/>
            </w:pPr>
            <w:r>
              <w:t>Incorrect purchasing or assembly</w:t>
            </w:r>
          </w:p>
        </w:tc>
        <w:tc>
          <w:tcPr>
            <w:tcW w:type="dxa" w:w="3600"/>
          </w:tcPr>
          <w:p>
            <w:pPr>
              <w:spacing w:after="0" w:before="0" w:line="240" w:lineRule="auto"/>
              <w:jc w:val="left"/>
            </w:pPr>
            <w:r>
              <w:t>Use controlled revision release</w:t>
            </w:r>
          </w:p>
        </w:tc>
      </w:tr>
      <w:tr>
        <w:tc>
          <w:tcPr>
            <w:tcW w:type="dxa" w:w="3600"/>
          </w:tcPr>
          <w:p>
            <w:pPr>
              <w:spacing w:after="0" w:before="0" w:line="240" w:lineRule="auto"/>
              <w:jc w:val="left"/>
            </w:pPr>
            <w:r>
              <w:t>Missing spare-parts strategy</w:t>
            </w:r>
          </w:p>
        </w:tc>
        <w:tc>
          <w:tcPr>
            <w:tcW w:type="dxa" w:w="3600"/>
          </w:tcPr>
          <w:p>
            <w:pPr>
              <w:spacing w:after="0" w:before="0" w:line="240" w:lineRule="auto"/>
              <w:jc w:val="left"/>
            </w:pPr>
            <w:r>
              <w:t>Extended downtime</w:t>
            </w:r>
          </w:p>
        </w:tc>
        <w:tc>
          <w:tcPr>
            <w:tcW w:type="dxa" w:w="3600"/>
          </w:tcPr>
          <w:p>
            <w:pPr>
              <w:spacing w:after="0" w:before="0" w:line="240" w:lineRule="auto"/>
              <w:jc w:val="left"/>
            </w:pPr>
            <w:r>
              <w:t>Assess criticality and replacement lead time</w:t>
            </w:r>
          </w:p>
        </w:tc>
      </w:tr>
      <w:tr>
        <w:tc>
          <w:tcPr>
            <w:tcW w:type="dxa" w:w="3600"/>
          </w:tcPr>
          <w:p>
            <w:pPr>
              <w:spacing w:after="0" w:before="0" w:line="240" w:lineRule="auto"/>
              <w:jc w:val="left"/>
            </w:pPr>
            <w:r>
              <w:t>Accessories counted twice</w:t>
            </w:r>
          </w:p>
        </w:tc>
        <w:tc>
          <w:tcPr>
            <w:tcW w:type="dxa" w:w="3600"/>
          </w:tcPr>
          <w:p>
            <w:pPr>
              <w:spacing w:after="0" w:before="0" w:line="240" w:lineRule="auto"/>
              <w:jc w:val="left"/>
            </w:pPr>
            <w:r>
              <w:t>Excess purchasing</w:t>
            </w:r>
          </w:p>
        </w:tc>
        <w:tc>
          <w:tcPr>
            <w:tcW w:type="dxa" w:w="3600"/>
          </w:tcPr>
          <w:p>
            <w:pPr>
              <w:spacing w:after="0" w:before="0" w:line="240" w:lineRule="auto"/>
              <w:jc w:val="left"/>
            </w:pPr>
            <w:r>
              <w:t>Define ownership at the correct BOM level</w:t>
            </w:r>
          </w:p>
        </w:tc>
      </w:tr>
      <w:tr>
        <w:tc>
          <w:tcPr>
            <w:tcW w:type="dxa" w:w="3600"/>
          </w:tcPr>
          <w:p>
            <w:pPr>
              <w:spacing w:after="0" w:before="0" w:line="240" w:lineRule="auto"/>
              <w:jc w:val="left"/>
            </w:pPr>
            <w:r>
              <w:t>Installed and spare quantities mixed</w:t>
            </w:r>
          </w:p>
        </w:tc>
        <w:tc>
          <w:tcPr>
            <w:tcW w:type="dxa" w:w="3600"/>
          </w:tcPr>
          <w:p>
            <w:pPr>
              <w:spacing w:after="0" w:before="0" w:line="240" w:lineRule="auto"/>
              <w:jc w:val="left"/>
            </w:pPr>
            <w:r>
              <w:t>Incorrect stock and cost reports</w:t>
            </w:r>
          </w:p>
        </w:tc>
        <w:tc>
          <w:tcPr>
            <w:tcW w:type="dxa" w:w="3600"/>
          </w:tcPr>
          <w:p>
            <w:pPr>
              <w:spacing w:after="0" w:before="0" w:line="240" w:lineRule="auto"/>
              <w:jc w:val="left"/>
            </w:pPr>
            <w:r>
              <w:t>Track these quantities separately</w:t>
            </w:r>
          </w:p>
        </w:tc>
      </w:tr>
    </w:tbl>
    <w:p/>
    <w:p>
      <w:pPr>
        <w:pStyle w:val="Heading2"/>
      </w:pPr>
      <w:r>
        <w:t>18. Practical industrial example</w:t>
      </w:r>
    </w:p>
    <w:p>
      <w:r>
        <w:t>Consider a machine with one PLC control panel, two VFD-controlled motors, 24 digital input signals, eight digital output signals, four analog input signals, an HMI, and an industrial Ethernet switch.</w:t>
      </w:r>
    </w:p>
    <w:p>
      <w:r>
        <w:t>The BOM preparation process would include:</w:t>
      </w:r>
    </w:p>
    <w:p>
      <w:pPr>
        <w:tabs>
          <w:tab w:pos="403" w:val="left"/>
        </w:tabs>
        <w:spacing w:after="40" w:line="276" w:lineRule="auto"/>
        <w:ind w:left="403" w:hanging="403"/>
        <w:jc w:val="left"/>
      </w:pPr>
      <w:r>
        <w:rPr>
          <w:color w:val="1A2E4A"/>
        </w:rPr>
        <w:t>1.</w:t>
        <w:tab/>
      </w:r>
      <w:r>
        <w:t>Extract components from the approved panel and electrical drawings.</w:t>
      </w:r>
    </w:p>
    <w:p>
      <w:pPr>
        <w:tabs>
          <w:tab w:pos="403" w:val="left"/>
        </w:tabs>
        <w:spacing w:after="40" w:line="276" w:lineRule="auto"/>
        <w:ind w:left="403" w:hanging="403"/>
        <w:jc w:val="left"/>
      </w:pPr>
      <w:r>
        <w:rPr>
          <w:color w:val="1A2E4A"/>
        </w:rPr>
        <w:t>2.</w:t>
        <w:tab/>
      </w:r>
      <w:r>
        <w:t>Confirm the PLC CPU, I/O modules, power supply, network equipment, and HMI.</w:t>
      </w:r>
    </w:p>
    <w:p>
      <w:pPr>
        <w:tabs>
          <w:tab w:pos="403" w:val="left"/>
        </w:tabs>
        <w:spacing w:after="40" w:line="276" w:lineRule="auto"/>
        <w:ind w:left="403" w:hanging="403"/>
        <w:jc w:val="left"/>
      </w:pPr>
      <w:r>
        <w:rPr>
          <w:color w:val="1A2E4A"/>
        </w:rPr>
        <w:t>3.</w:t>
        <w:tab/>
      </w:r>
      <w:r>
        <w:t>Determine power protection and drive components from the approved electrical design.</w:t>
      </w:r>
    </w:p>
    <w:p>
      <w:pPr>
        <w:tabs>
          <w:tab w:pos="403" w:val="left"/>
        </w:tabs>
        <w:spacing w:after="40" w:line="276" w:lineRule="auto"/>
        <w:ind w:left="403" w:hanging="403"/>
        <w:jc w:val="left"/>
      </w:pPr>
      <w:r>
        <w:rPr>
          <w:color w:val="1A2E4A"/>
        </w:rPr>
        <w:t>4.</w:t>
        <w:tab/>
      </w:r>
      <w:r>
        <w:t>Include enclosure hardware, terminals, wiring ducts, labels, glands, and cooling accessories.</w:t>
      </w:r>
    </w:p>
    <w:p>
      <w:pPr>
        <w:tabs>
          <w:tab w:pos="403" w:val="left"/>
        </w:tabs>
        <w:spacing w:after="40" w:line="276" w:lineRule="auto"/>
        <w:ind w:left="403" w:hanging="403"/>
        <w:jc w:val="left"/>
      </w:pPr>
      <w:r>
        <w:rPr>
          <w:color w:val="1A2E4A"/>
        </w:rPr>
        <w:t>5.</w:t>
        <w:tab/>
      </w:r>
      <w:r>
        <w:t>Reconcile field devices and cables against the equipment list and cable schedule.</w:t>
      </w:r>
    </w:p>
    <w:p>
      <w:pPr>
        <w:tabs>
          <w:tab w:pos="403" w:val="left"/>
        </w:tabs>
        <w:spacing w:after="40" w:line="276" w:lineRule="auto"/>
        <w:ind w:left="403" w:hanging="403"/>
        <w:jc w:val="left"/>
      </w:pPr>
      <w:r>
        <w:rPr>
          <w:color w:val="1A2E4A"/>
        </w:rPr>
        <w:t>6.</w:t>
        <w:tab/>
      </w:r>
      <w:r>
        <w:t>Verify quantities for all identical components and repeat assemblies.</w:t>
      </w:r>
    </w:p>
    <w:p>
      <w:pPr>
        <w:tabs>
          <w:tab w:pos="403" w:val="left"/>
        </w:tabs>
        <w:spacing w:after="40" w:line="276" w:lineRule="auto"/>
        <w:ind w:left="403" w:hanging="403"/>
        <w:jc w:val="left"/>
      </w:pPr>
      <w:r>
        <w:rPr>
          <w:color w:val="1A2E4A"/>
        </w:rPr>
        <w:t>7.</w:t>
        <w:tab/>
      </w:r>
      <w:r>
        <w:t>Check exact part numbers, accessories, lifecycle status, and technical compatibility.</w:t>
      </w:r>
    </w:p>
    <w:p>
      <w:pPr>
        <w:tabs>
          <w:tab w:pos="403" w:val="left"/>
        </w:tabs>
        <w:spacing w:after="40" w:line="276" w:lineRule="auto"/>
        <w:ind w:left="403" w:hanging="403"/>
        <w:jc w:val="left"/>
      </w:pPr>
      <w:r>
        <w:rPr>
          <w:color w:val="1A2E4A"/>
        </w:rPr>
        <w:t>8.</w:t>
        <w:tab/>
      </w:r>
      <w:r>
        <w:t>Create the internal material-code mapping and procurement requirements.</w:t>
      </w:r>
    </w:p>
    <w:p>
      <w:pPr>
        <w:tabs>
          <w:tab w:pos="403" w:val="left"/>
        </w:tabs>
        <w:spacing w:after="40" w:line="276" w:lineRule="auto"/>
        <w:ind w:left="403" w:hanging="403"/>
        <w:jc w:val="left"/>
      </w:pPr>
      <w:r>
        <w:rPr>
          <w:color w:val="1A2E4A"/>
        </w:rPr>
        <w:t>9.</w:t>
        <w:tab/>
      </w:r>
      <w:r>
        <w:t>Review long-lead-time components and critical spare requirements.</w:t>
      </w:r>
    </w:p>
    <w:p>
      <w:pPr>
        <w:tabs>
          <w:tab w:pos="403" w:val="left"/>
        </w:tabs>
        <w:spacing w:after="40" w:line="276" w:lineRule="auto"/>
        <w:ind w:left="403" w:hanging="403"/>
        <w:jc w:val="left"/>
      </w:pPr>
      <w:r>
        <w:rPr>
          <w:color w:val="1A2E4A"/>
        </w:rPr>
        <w:t>10.</w:t>
        <w:tab/>
      </w:r>
      <w:r>
        <w:t>Release the approved BOM and update it following authorized design changes.</w:t>
      </w:r>
    </w:p>
    <w:p>
      <w:r>
        <w:t>The signal counts alone do not determine the final BOM. Module channel capacity, spare I/O requirements, electrical isolation, output loading, network architecture, safety requirements, and the actual selected hardware all influence the component list.</w:t>
      </w:r>
    </w:p>
    <w:p>
      <w:pPr>
        <w:pStyle w:val="Heading2"/>
      </w:pPr>
      <w:r>
        <w:t>19. Interview questions and answers</w:t>
      </w:r>
    </w:p>
    <w:p>
      <w:r>
        <w:t>1\. What is a BOM?</w:t>
      </w:r>
    </w:p>
    <w:p>
      <w:r>
        <w:t>A BOM is a structured list of components, materials, assemblies, and quantities required to build or maintain a product or system.</w:t>
      </w:r>
    </w:p>
    <w:p>
      <w:r>
        <w:t>2\. What is the difference between an EBOM and an MBOM?</w:t>
      </w:r>
    </w:p>
    <w:p>
      <w:r>
        <w:t>An EBOM represents the engineering design structure. An MBOM represents the materials and assembly structure used for manufacturing.</w:t>
      </w:r>
    </w:p>
    <w:p>
      <w:r>
        <w:t>3\. What is a Material Take-Off?</w:t>
      </w:r>
    </w:p>
    <w:p>
      <w:r>
        <w:t>An MTO is the process of extracting required material quantities from drawings, specifications, layouts, and engineering records.</w:t>
      </w:r>
    </w:p>
    <w:p>
      <w:r>
        <w:t>4\. Why is the exact manufacturer part number important?</w:t>
      </w:r>
    </w:p>
    <w:p>
      <w:r>
        <w:t>It identifies the intended product and its specific electrical, mechanical, environmental, and compatibility characteristics. A generic description may lead to an unsuitable substitution.</w:t>
      </w:r>
    </w:p>
    <w:p>
      <w:r>
        <w:t>5\. Why should accessories be included in the BOM?</w:t>
      </w:r>
    </w:p>
    <w:p>
      <w:r>
        <w:t>Some components require separate mounting hardware, connectors, terminal accessories, communication adapters, or protection devices. Omitting them can prevent assembly or commissioning.</w:t>
      </w:r>
    </w:p>
    <w:p>
      <w:r>
        <w:t>6\. What is the difference between a BOM and a spare-parts list?</w:t>
      </w:r>
    </w:p>
    <w:p>
      <w:r>
        <w:t>The BOM defines materials required for the design or assembly. The spare-parts list identifies items to hold or obtain for maintenance and recovery, based on risk, lead time, and operational needs.</w:t>
      </w:r>
    </w:p>
    <w:p>
      <w:r>
        <w:t>7\. How should an obsolete component be handled?</w:t>
      </w:r>
    </w:p>
    <w:p>
      <w:r>
        <w:t>Verify the manufacturer's lifecycle notice, identify possible successors, assess technical compatibility, evaluate migration impact, and approve the replacement through engineering change control.</w:t>
      </w:r>
    </w:p>
    <w:p>
      <w:r>
        <w:t>8\. How do you prevent duplicate material procurement?</w:t>
      </w:r>
    </w:p>
    <w:p>
      <w:r>
        <w:t>Use unique material codes, controlled BOM hierarchies, duplicate checks, quantity reconciliation, and a defined process for aggregating requirements across assemblies.</w:t>
      </w:r>
    </w:p>
    <w:p>
      <w:r>
        <w:t>9\. What should be checked before approving an alternative component?</w:t>
      </w:r>
    </w:p>
    <w:p>
      <w:r>
        <w:t>Electrical ratings, mechanical fit, terminal compatibility, fault coordination, environmental suitability, certifications, software compatibility, lifecycle support, and impact on existing drawings and maintenance.</w:t>
      </w:r>
    </w:p>
    <w:p>
      <w:r>
        <w:t>10\. Why should the BOM be revision-controlled?</w:t>
      </w:r>
    </w:p>
    <w:p>
      <w:r>
        <w:t>A design change can alter part numbers, quantities, ratings, or accessories. Revision control ensures that procurement and manufacturing use the approved configuration.</w:t>
      </w:r>
    </w:p>
    <w:p>
      <w:r>
        <w:t>11\. How is a BOM used in an ERP system?</w:t>
      </w:r>
    </w:p>
    <w:p>
      <w:r>
        <w:t>It connects engineering material requirements with inventory, procurement, production planning, material issue, costing, and traceability, depending on the organization's ERP configuration.</w:t>
      </w:r>
    </w:p>
    <w:p>
      <w:r>
        <w:t>12\. How can a BOM improve maintenance reliability?</w:t>
      </w:r>
    </w:p>
    <w:p>
      <w:r>
        <w:t>It identifies installed parts and approved replacements, supports spare-parts planning, improves procurement accuracy, and reduces delays when components fail.</w:t>
      </w:r>
    </w:p>
    <w:p>
      <w:r>
        <w:t>13\. Why is the cheapest component not always the best selection?</w:t>
      </w:r>
    </w:p>
    <w:p>
      <w:r>
        <w:t>Purchase price does not account for downtime, lifecycle support, energy losses, maintenance effort, replacement availability, or redesign costs. Total lifecycle cost is often more useful.</w:t>
      </w:r>
    </w:p>
    <w:p>
      <w:r>
        <w:t>14\. What is an as-built BOM?</w:t>
      </w:r>
    </w:p>
    <w:p>
      <w:r>
        <w:t>It is the controlled BOM updated to reflect the components actually installed, including authorized substitutions and approved changes made during construction or commissioning.</w:t>
      </w:r>
    </w:p>
    <w:p>
      <w:pPr>
        <w:pStyle w:val="Heading2"/>
      </w:pPr>
      <w:r>
        <w:t>20. Final engineering principle</w:t>
      </w:r>
    </w:p>
    <w:p>
      <w:r>
        <w:t>The BOM is the bridge between engineering intent and material execution. Its accuracy depends on verified part numbers, correct quantities, complete accessories, a clear assembly hierarchy, approved alternatives, and strict revision control.</w:t>
      </w:r>
    </w:p>
    <w:p>
      <w:r>
        <w:t>A well-managed BOM also becomes a valuable maintenance asset by connecting installed components with their material codes, lifecycle status, spare availability, replacement strategy, and technical documentation.</w:t>
      </w:r>
    </w:p>
    <w:p>
      <w:pPr>
        <w:pStyle w:val="Heading2"/>
      </w:pPr>
      <w:r>
        <w:t>NEXT TOPIC</w:t>
      </w:r>
    </w:p>
    <w:p>
      <w:r>
        <w:rPr>
          <w:rFonts w:ascii="Consolas" w:hAnsi="Consolas"/>
          <w:color w:val="333333"/>
          <w:sz w:val="19"/>
          <w:shd w:val="clear" w:color="auto" w:fill="EFEFEF"/>
        </w:rPr>
        <w:t>02_PLAN_WISE_2026\02_INDUSTRY3_0\10_Detail_Eng\06_IO_List - I/O list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02_PLAN_WISE_2026\02_INDUSTRY3_0\10_Detail_Eng\05_BOM - BOM</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