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02_PLAN_WISE_2026\02_INDUSTRY3_0\11_FAT\04_Punch_Points - Punch points</w:t>
      </w:r>
    </w:p>
    <w:p>
      <w:pPr>
        <w:pStyle w:val="Heading2"/>
      </w:pPr>
      <w:r>
        <w:t>1. Purpose of Punch Points in FAT</w:t>
      </w:r>
    </w:p>
    <w:p>
      <w:r>
        <w:t>A punch-point list is a controlled register of outstanding items that must be completed, corrected, verified, or formally dispositioned before a defined project milestone, such as FAT closure, shipment, installation, commissioning, or final handover.</w:t>
      </w:r>
    </w:p>
    <w:p>
      <w:r>
        <w:t>In industrial automation projects, punch points commonly arise during inspection, testing, documentation review, equipment integration, and customer walkthroughs. They help ensure that unfinished work remains visible, assigned, and traceable rather than disappearing into meeting minutes or someone's memory.</w:t>
      </w:r>
    </w:p>
    <w:p>
      <w:r>
        <w:t>A punch point may be a defect, a pending activity, a missing document, an incomplete installation detail, or an outstanding verification task. The exact classification and closure requirements depend on the project's procedure and contract.</w:t>
      </w:r>
    </w:p>
    <w:p>
      <w:pPr>
        <w:pStyle w:val="Heading3"/>
      </w:pPr>
      <w:r>
        <w:t>1.1 Main objectives</w:t>
      </w:r>
    </w:p>
    <w:p>
      <w:pPr>
        <w:pStyle w:val="ListBullet"/>
      </w:pPr>
      <w:r>
        <w:t>Record all outstanding work identified during FAT.</w:t>
      </w:r>
    </w:p>
    <w:p>
      <w:pPr>
        <w:pStyle w:val="ListBullet"/>
      </w:pPr>
      <w:r>
        <w:t>Define the exact action needed to complete each item.</w:t>
      </w:r>
    </w:p>
    <w:p>
      <w:pPr>
        <w:pStyle w:val="ListBullet"/>
      </w:pPr>
      <w:r>
        <w:t>Assign responsibility to the correct vendor, contractor, or engineering team.</w:t>
      </w:r>
    </w:p>
    <w:p>
      <w:pPr>
        <w:pStyle w:val="ListBullet"/>
      </w:pPr>
      <w:r>
        <w:t>Set target dates and identify milestone impact.</w:t>
      </w:r>
    </w:p>
    <w:p>
      <w:pPr>
        <w:pStyle w:val="ListBullet"/>
      </w:pPr>
      <w:r>
        <w:t>Separate items that block acceptance from those eligible for approved deferral.</w:t>
      </w:r>
    </w:p>
    <w:p>
      <w:pPr>
        <w:pStyle w:val="ListBullet"/>
      </w:pPr>
      <w:r>
        <w:t>Track evidence, verification, and closure approval.</w:t>
      </w:r>
    </w:p>
    <w:p>
      <w:pPr>
        <w:pStyle w:val="ListBullet"/>
      </w:pPr>
      <w:r>
        <w:t>Prevent unresolved items from being transferred to commissioning without ownership.</w:t>
      </w:r>
    </w:p>
    <w:p>
      <w:pPr>
        <w:pStyle w:val="ListBullet"/>
      </w:pPr>
      <w:r>
        <w:t>Provide a controlled basis for customer-vendor review meetings.</w:t>
      </w:r>
    </w:p>
    <w:p>
      <w:pPr>
        <w:pStyle w:val="ListBullet"/>
      </w:pPr>
      <w:r>
        <w:t>Establish a clear handover from FAT to site installation and commissioning.</w:t>
      </w:r>
    </w:p>
    <w:p>
      <w:pPr>
        <w:pStyle w:val="Heading3"/>
      </w:pPr>
      <w:r>
        <w:t>1.2 Typical punch points in automation projects</w:t>
      </w:r>
    </w:p>
    <w:p>
      <w:pPr>
        <w:pStyle w:val="ListBullet"/>
      </w:pPr>
      <w:r>
        <w:t>Equipment nameplates or terminal labels are missing.</w:t>
      </w:r>
    </w:p>
    <w:p>
      <w:pPr>
        <w:pStyle w:val="ListBullet"/>
      </w:pPr>
      <w:r>
        <w:t>An approved electrical drawing requires a final revision.</w:t>
      </w:r>
    </w:p>
    <w:p>
      <w:pPr>
        <w:pStyle w:val="ListBullet"/>
      </w:pPr>
      <w:r>
        <w:t>HMI help text or a noncritical screen label requires correction.</w:t>
      </w:r>
    </w:p>
    <w:p>
      <w:pPr>
        <w:pStyle w:val="ListBullet"/>
      </w:pPr>
      <w:r>
        <w:t>A cable identification marker is missing.</w:t>
      </w:r>
    </w:p>
    <w:p>
      <w:pPr>
        <w:pStyle w:val="ListBullet"/>
      </w:pPr>
      <w:r>
        <w:t>A spare-parts list requires completion.</w:t>
      </w:r>
    </w:p>
    <w:p>
      <w:pPr>
        <w:pStyle w:val="ListBullet"/>
      </w:pPr>
      <w:r>
        <w:t>A PLC backup is pending formal submission.</w:t>
      </w:r>
    </w:p>
    <w:p>
      <w:pPr>
        <w:pStyle w:val="ListBullet"/>
      </w:pPr>
      <w:r>
        <w:t>A maintenance instruction is incomplete.</w:t>
      </w:r>
    </w:p>
    <w:p>
      <w:pPr>
        <w:pStyle w:val="ListBullet"/>
      </w:pPr>
      <w:r>
        <w:t>A sensor bracket requires a final adjustment.</w:t>
      </w:r>
    </w:p>
    <w:p>
      <w:pPr>
        <w:pStyle w:val="ListBullet"/>
      </w:pPr>
      <w:r>
        <w:t>A cable route needs identification or documentation.</w:t>
      </w:r>
    </w:p>
    <w:p>
      <w:pPr>
        <w:pStyle w:val="ListBullet"/>
      </w:pPr>
      <w:r>
        <w:t>A required test record has not yet been signed.</w:t>
      </w:r>
    </w:p>
    <w:p>
      <w:pPr>
        <w:pStyle w:val="ListBullet"/>
      </w:pPr>
      <w:r>
        <w:t>A noncritical equipment cover or finish requires completion.</w:t>
      </w:r>
    </w:p>
    <w:p>
      <w:pPr>
        <w:pStyle w:val="ListBullet"/>
      </w:pPr>
      <w:r>
        <w:t>A site commissioning activity cannot be completed until a specified interface is available.</w:t>
      </w:r>
    </w:p>
    <w:p>
      <w:r>
        <w:t>The key question is not whether the item looks small. It is whether it affects safety, mandatory functionality, quality, contractual acceptance, or a required milestone.</w:t>
      </w:r>
    </w:p>
    <w:p>
      <w:pPr>
        <w:pStyle w:val="Heading2"/>
      </w:pPr>
      <w:r>
        <w:t>2. Punch Point Versus Defect List</w:t>
      </w:r>
    </w:p>
    <w:p>
      <w:r>
        <w:t>The defect list and punch-point list serve related but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Defect list</w:t>
            </w:r>
          </w:p>
        </w:tc>
        <w:tc>
          <w:tcPr>
            <w:tcW w:type="dxa" w:w="3600"/>
            <w:shd w:val="clear" w:color="auto" w:fill="EEF2F7"/>
          </w:tcPr>
          <w:p>
            <w:pPr>
              <w:spacing w:after="0" w:before="0" w:line="240" w:lineRule="auto"/>
              <w:jc w:val="left"/>
            </w:pPr>
            <w:r>
              <w:rPr>
                <w:b/>
                <w:color w:val="1A2E4A"/>
              </w:rPr>
              <w:t>Punch-point list</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Track failures and nonconformities</w:t>
            </w:r>
          </w:p>
        </w:tc>
        <w:tc>
          <w:tcPr>
            <w:tcW w:type="dxa" w:w="3600"/>
          </w:tcPr>
          <w:p>
            <w:pPr>
              <w:spacing w:after="0" w:before="0" w:line="240" w:lineRule="auto"/>
              <w:jc w:val="left"/>
            </w:pPr>
            <w:r>
              <w:t>Track outstanding work and open items</w:t>
            </w:r>
          </w:p>
        </w:tc>
      </w:tr>
      <w:tr>
        <w:tc>
          <w:tcPr>
            <w:tcW w:type="dxa" w:w="3600"/>
          </w:tcPr>
          <w:p>
            <w:pPr>
              <w:spacing w:after="0" w:before="0" w:line="240" w:lineRule="auto"/>
              <w:jc w:val="left"/>
            </w:pPr>
            <w:r>
              <w:t>Typical origin</w:t>
            </w:r>
          </w:p>
        </w:tc>
        <w:tc>
          <w:tcPr>
            <w:tcW w:type="dxa" w:w="3600"/>
          </w:tcPr>
          <w:p>
            <w:pPr>
              <w:spacing w:after="0" w:before="0" w:line="240" w:lineRule="auto"/>
              <w:jc w:val="left"/>
            </w:pPr>
            <w:r>
              <w:t>Failed test or requirement review</w:t>
            </w:r>
          </w:p>
        </w:tc>
        <w:tc>
          <w:tcPr>
            <w:tcW w:type="dxa" w:w="3600"/>
          </w:tcPr>
          <w:p>
            <w:pPr>
              <w:spacing w:after="0" w:before="0" w:line="240" w:lineRule="auto"/>
              <w:jc w:val="left"/>
            </w:pPr>
            <w:r>
              <w:t>Inspection, walkthrough, document review, or incomplete activity</w:t>
            </w:r>
          </w:p>
        </w:tc>
      </w:tr>
      <w:tr>
        <w:tc>
          <w:tcPr>
            <w:tcW w:type="dxa" w:w="3600"/>
          </w:tcPr>
          <w:p>
            <w:pPr>
              <w:spacing w:after="0" w:before="0" w:line="240" w:lineRule="auto"/>
              <w:jc w:val="left"/>
            </w:pPr>
            <w:r>
              <w:t>Expected result</w:t>
            </w:r>
          </w:p>
        </w:tc>
        <w:tc>
          <w:tcPr>
            <w:tcW w:type="dxa" w:w="3600"/>
          </w:tcPr>
          <w:p>
            <w:pPr>
              <w:spacing w:after="0" w:before="0" w:line="240" w:lineRule="auto"/>
              <w:jc w:val="left"/>
            </w:pPr>
            <w:r>
              <w:t>A requirement or expected behavior is not met</w:t>
            </w:r>
          </w:p>
        </w:tc>
        <w:tc>
          <w:tcPr>
            <w:tcW w:type="dxa" w:w="3600"/>
          </w:tcPr>
          <w:p>
            <w:pPr>
              <w:spacing w:after="0" w:before="0" w:line="240" w:lineRule="auto"/>
              <w:jc w:val="left"/>
            </w:pPr>
            <w:r>
              <w:t>An item remains unfinished or requires disposition</w:t>
            </w:r>
          </w:p>
        </w:tc>
      </w:tr>
      <w:tr>
        <w:tc>
          <w:tcPr>
            <w:tcW w:type="dxa" w:w="3600"/>
          </w:tcPr>
          <w:p>
            <w:pPr>
              <w:spacing w:after="0" w:before="0" w:line="240" w:lineRule="auto"/>
              <w:jc w:val="left"/>
            </w:pPr>
            <w:r>
              <w:t>Corrective work</w:t>
            </w:r>
          </w:p>
        </w:tc>
        <w:tc>
          <w:tcPr>
            <w:tcW w:type="dxa" w:w="3600"/>
          </w:tcPr>
          <w:p>
            <w:pPr>
              <w:spacing w:after="0" w:before="0" w:line="240" w:lineRule="auto"/>
              <w:jc w:val="left"/>
            </w:pPr>
            <w:r>
              <w:t>Often requires troubleshooting and root-cause analysis</w:t>
            </w:r>
          </w:p>
        </w:tc>
        <w:tc>
          <w:tcPr>
            <w:tcW w:type="dxa" w:w="3600"/>
          </w:tcPr>
          <w:p>
            <w:pPr>
              <w:spacing w:after="0" w:before="0" w:line="240" w:lineRule="auto"/>
              <w:jc w:val="left"/>
            </w:pPr>
            <w:r>
              <w:t>May require correction, completion, submission, or verification</w:t>
            </w:r>
          </w:p>
        </w:tc>
      </w:tr>
      <w:tr>
        <w:tc>
          <w:tcPr>
            <w:tcW w:type="dxa" w:w="3600"/>
          </w:tcPr>
          <w:p>
            <w:pPr>
              <w:spacing w:after="0" w:before="0" w:line="240" w:lineRule="auto"/>
              <w:jc w:val="left"/>
            </w:pPr>
            <w:r>
              <w:t>Retesting</w:t>
            </w:r>
          </w:p>
        </w:tc>
        <w:tc>
          <w:tcPr>
            <w:tcW w:type="dxa" w:w="3600"/>
          </w:tcPr>
          <w:p>
            <w:pPr>
              <w:spacing w:after="0" w:before="0" w:line="240" w:lineRule="auto"/>
              <w:jc w:val="left"/>
            </w:pPr>
            <w:r>
              <w:t>Common when a function or requirement failed</w:t>
            </w:r>
          </w:p>
        </w:tc>
        <w:tc>
          <w:tcPr>
            <w:tcW w:type="dxa" w:w="3600"/>
          </w:tcPr>
          <w:p>
            <w:pPr>
              <w:spacing w:after="0" w:before="0" w:line="240" w:lineRule="auto"/>
              <w:jc w:val="left"/>
            </w:pPr>
            <w:r>
              <w:t>Depends on the nature of the item</w:t>
            </w:r>
          </w:p>
        </w:tc>
      </w:tr>
      <w:tr>
        <w:tc>
          <w:tcPr>
            <w:tcW w:type="dxa" w:w="3600"/>
          </w:tcPr>
          <w:p>
            <w:pPr>
              <w:spacing w:after="0" w:before="0" w:line="240" w:lineRule="auto"/>
              <w:jc w:val="left"/>
            </w:pPr>
            <w:r>
              <w:t>Closure</w:t>
            </w:r>
          </w:p>
        </w:tc>
        <w:tc>
          <w:tcPr>
            <w:tcW w:type="dxa" w:w="3600"/>
          </w:tcPr>
          <w:p>
            <w:pPr>
              <w:spacing w:after="0" w:before="0" w:line="240" w:lineRule="auto"/>
              <w:jc w:val="left"/>
            </w:pPr>
            <w:r>
              <w:t>Evidence that the defect is resolved and verified</w:t>
            </w:r>
          </w:p>
        </w:tc>
        <w:tc>
          <w:tcPr>
            <w:tcW w:type="dxa" w:w="3600"/>
          </w:tcPr>
          <w:p>
            <w:pPr>
              <w:spacing w:after="0" w:before="0" w:line="240" w:lineRule="auto"/>
              <w:jc w:val="left"/>
            </w:pPr>
            <w:r>
              <w:t>Evidence that the action is complete and accepted</w:t>
            </w:r>
          </w:p>
        </w:tc>
      </w:tr>
      <w:tr>
        <w:tc>
          <w:tcPr>
            <w:tcW w:type="dxa" w:w="3600"/>
          </w:tcPr>
          <w:p>
            <w:pPr>
              <w:spacing w:after="0" w:before="0" w:line="240" w:lineRule="auto"/>
              <w:jc w:val="left"/>
            </w:pPr>
            <w:r>
              <w:t>Example</w:t>
            </w:r>
          </w:p>
        </w:tc>
        <w:tc>
          <w:tcPr>
            <w:tcW w:type="dxa" w:w="3600"/>
          </w:tcPr>
          <w:p>
            <w:pPr>
              <w:spacing w:after="0" w:before="0" w:line="240" w:lineRule="auto"/>
              <w:jc w:val="left"/>
            </w:pPr>
            <w:r>
              <w:t>Interlock does not prevent an unsafe movement</w:t>
            </w:r>
          </w:p>
        </w:tc>
        <w:tc>
          <w:tcPr>
            <w:tcW w:type="dxa" w:w="3600"/>
          </w:tcPr>
          <w:p>
            <w:pPr>
              <w:spacing w:after="0" w:before="0" w:line="240" w:lineRule="auto"/>
              <w:jc w:val="left"/>
            </w:pPr>
            <w:r>
              <w:t>Equipment identification label is missing</w:t>
            </w:r>
          </w:p>
        </w:tc>
      </w:tr>
    </w:tbl>
    <w:p/>
    <w:p>
      <w:r>
        <w:t>A defect can also be a punch point if the project tracks unresolved defects in its punch register. However, a punch point is not automatically a defect.</w:t>
      </w:r>
    </w:p>
    <w:p>
      <w:r>
        <w:t>For example, a pending submission of an approved maintenance manual is an outstanding deliverable. It does not necessarily indicate that the physical machine has failed a functional test.</w:t>
      </w:r>
    </w:p>
    <w:p>
      <w:r>
        <w:t>Conversely, a failed mandatory safety function must not be treated as a harmless administrative punch point merely to make the outstanding list appear less serious.</w:t>
      </w:r>
    </w:p>
    <w:p>
      <w:pPr>
        <w:pStyle w:val="Heading2"/>
      </w:pPr>
      <w:r>
        <w:t>3. Punch-Point Classification</w:t>
      </w:r>
    </w:p>
    <w:p>
      <w:r>
        <w:t>Projects often classify punch points by acceptance impact. The exact categories and permissions must be defined in the project procedure.</w:t>
      </w:r>
    </w:p>
    <w:p>
      <w:pPr>
        <w:pStyle w:val="Heading3"/>
      </w:pPr>
      <w:r>
        <w:t>3.1 Illustrative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Class</w:t>
            </w:r>
          </w:p>
        </w:tc>
        <w:tc>
          <w:tcPr>
            <w:tcW w:type="dxa" w:w="2700"/>
            <w:shd w:val="clear" w:color="auto" w:fill="EEF2F7"/>
          </w:tcPr>
          <w:p>
            <w:pPr>
              <w:spacing w:after="0" w:before="0" w:line="240" w:lineRule="auto"/>
              <w:jc w:val="left"/>
            </w:pPr>
            <w:r>
              <w:rPr>
                <w:b/>
                <w:color w:val="1A2E4A"/>
              </w:rPr>
              <w:t>Meaning</w:t>
            </w:r>
          </w:p>
        </w:tc>
        <w:tc>
          <w:tcPr>
            <w:tcW w:type="dxa" w:w="2700"/>
            <w:shd w:val="clear" w:color="auto" w:fill="EEF2F7"/>
          </w:tcPr>
          <w:p>
            <w:pPr>
              <w:spacing w:after="0" w:before="0" w:line="240" w:lineRule="auto"/>
              <w:jc w:val="left"/>
            </w:pPr>
            <w:r>
              <w:rPr>
                <w:b/>
                <w:color w:val="1A2E4A"/>
              </w:rPr>
              <w:t>Example</w:t>
            </w:r>
          </w:p>
        </w:tc>
        <w:tc>
          <w:tcPr>
            <w:tcW w:type="dxa" w:w="2700"/>
            <w:shd w:val="clear" w:color="auto" w:fill="EEF2F7"/>
          </w:tcPr>
          <w:p>
            <w:pPr>
              <w:spacing w:after="0" w:before="0" w:line="240" w:lineRule="auto"/>
              <w:jc w:val="left"/>
            </w:pPr>
            <w:r>
              <w:rPr>
                <w:b/>
                <w:color w:val="1A2E4A"/>
              </w:rPr>
              <w:t>Typical treatment</w:t>
            </w:r>
          </w:p>
        </w:tc>
      </w:tr>
      <w:tr>
        <w:tc>
          <w:tcPr>
            <w:tcW w:type="dxa" w:w="2700"/>
          </w:tcPr>
          <w:p>
            <w:pPr>
              <w:spacing w:after="0" w:before="0" w:line="240" w:lineRule="auto"/>
              <w:jc w:val="left"/>
            </w:pPr>
            <w:r>
              <w:t>A</w:t>
            </w:r>
          </w:p>
        </w:tc>
        <w:tc>
          <w:tcPr>
            <w:tcW w:type="dxa" w:w="2700"/>
          </w:tcPr>
          <w:p>
            <w:pPr>
              <w:spacing w:after="0" w:before="0" w:line="240" w:lineRule="auto"/>
              <w:jc w:val="left"/>
            </w:pPr>
            <w:r>
              <w:t>Critical or acceptance-blocking item</w:t>
            </w:r>
          </w:p>
        </w:tc>
        <w:tc>
          <w:tcPr>
            <w:tcW w:type="dxa" w:w="2700"/>
          </w:tcPr>
          <w:p>
            <w:pPr>
              <w:spacing w:after="0" w:before="0" w:line="240" w:lineRule="auto"/>
              <w:jc w:val="left"/>
            </w:pPr>
            <w:r>
              <w:t>Required safety function does not meet the approved requirement</w:t>
            </w:r>
          </w:p>
        </w:tc>
        <w:tc>
          <w:tcPr>
            <w:tcW w:type="dxa" w:w="2700"/>
          </w:tcPr>
          <w:p>
            <w:pPr>
              <w:spacing w:after="0" w:before="0" w:line="240" w:lineRule="auto"/>
              <w:jc w:val="left"/>
            </w:pPr>
            <w:r>
              <w:t>Resolve and verify before the applicable acceptance milestone</w:t>
            </w:r>
          </w:p>
        </w:tc>
      </w:tr>
      <w:tr>
        <w:tc>
          <w:tcPr>
            <w:tcW w:type="dxa" w:w="2700"/>
          </w:tcPr>
          <w:p>
            <w:pPr>
              <w:spacing w:after="0" w:before="0" w:line="240" w:lineRule="auto"/>
              <w:jc w:val="left"/>
            </w:pPr>
            <w:r>
              <w:t>B</w:t>
            </w:r>
          </w:p>
        </w:tc>
        <w:tc>
          <w:tcPr>
            <w:tcW w:type="dxa" w:w="2700"/>
          </w:tcPr>
          <w:p>
            <w:pPr>
              <w:spacing w:after="0" w:before="0" w:line="240" w:lineRule="auto"/>
              <w:jc w:val="left"/>
            </w:pPr>
            <w:r>
              <w:t>Major outstanding item</w:t>
            </w:r>
          </w:p>
        </w:tc>
        <w:tc>
          <w:tcPr>
            <w:tcW w:type="dxa" w:w="2700"/>
          </w:tcPr>
          <w:p>
            <w:pPr>
              <w:spacing w:after="0" w:before="0" w:line="240" w:lineRule="auto"/>
              <w:jc w:val="left"/>
            </w:pPr>
            <w:r>
              <w:t>Mandatory machine function or required test remains incomplete</w:t>
            </w:r>
          </w:p>
        </w:tc>
        <w:tc>
          <w:tcPr>
            <w:tcW w:type="dxa" w:w="2700"/>
          </w:tcPr>
          <w:p>
            <w:pPr>
              <w:spacing w:after="0" w:before="0" w:line="240" w:lineRule="auto"/>
              <w:jc w:val="left"/>
            </w:pPr>
            <w:r>
              <w:t>Normally resolve before acceptance or apply an explicitly authorized disposition</w:t>
            </w:r>
          </w:p>
        </w:tc>
      </w:tr>
      <w:tr>
        <w:tc>
          <w:tcPr>
            <w:tcW w:type="dxa" w:w="2700"/>
          </w:tcPr>
          <w:p>
            <w:pPr>
              <w:spacing w:after="0" w:before="0" w:line="240" w:lineRule="auto"/>
              <w:jc w:val="left"/>
            </w:pPr>
            <w:r>
              <w:t>C</w:t>
            </w:r>
          </w:p>
        </w:tc>
        <w:tc>
          <w:tcPr>
            <w:tcW w:type="dxa" w:w="2700"/>
          </w:tcPr>
          <w:p>
            <w:pPr>
              <w:spacing w:after="0" w:before="0" w:line="240" w:lineRule="auto"/>
              <w:jc w:val="left"/>
            </w:pPr>
            <w:r>
              <w:t>Minor outstanding item</w:t>
            </w:r>
          </w:p>
        </w:tc>
        <w:tc>
          <w:tcPr>
            <w:tcW w:type="dxa" w:w="2700"/>
          </w:tcPr>
          <w:p>
            <w:pPr>
              <w:spacing w:after="0" w:before="0" w:line="240" w:lineRule="auto"/>
              <w:jc w:val="left"/>
            </w:pPr>
            <w:r>
              <w:t>Noncritical label or document correction</w:t>
            </w:r>
          </w:p>
        </w:tc>
        <w:tc>
          <w:tcPr>
            <w:tcW w:type="dxa" w:w="2700"/>
          </w:tcPr>
          <w:p>
            <w:pPr>
              <w:spacing w:after="0" w:before="0" w:line="240" w:lineRule="auto"/>
              <w:jc w:val="left"/>
            </w:pPr>
            <w:r>
              <w:t>Complete before the agreed deadline or manage through an approved deferral</w:t>
            </w:r>
          </w:p>
        </w:tc>
      </w:tr>
      <w:tr>
        <w:tc>
          <w:tcPr>
            <w:tcW w:type="dxa" w:w="2700"/>
          </w:tcPr>
          <w:p>
            <w:pPr>
              <w:spacing w:after="0" w:before="0" w:line="240" w:lineRule="auto"/>
              <w:jc w:val="left"/>
            </w:pPr>
            <w:r>
              <w:t>D</w:t>
            </w:r>
          </w:p>
        </w:tc>
        <w:tc>
          <w:tcPr>
            <w:tcW w:type="dxa" w:w="2700"/>
          </w:tcPr>
          <w:p>
            <w:pPr>
              <w:spacing w:after="0" w:before="0" w:line="240" w:lineRule="auto"/>
              <w:jc w:val="left"/>
            </w:pPr>
            <w:r>
              <w:t>Site or post-FAT completion item</w:t>
            </w:r>
          </w:p>
        </w:tc>
        <w:tc>
          <w:tcPr>
            <w:tcW w:type="dxa" w:w="2700"/>
          </w:tcPr>
          <w:p>
            <w:pPr>
              <w:spacing w:after="0" w:before="0" w:line="240" w:lineRule="auto"/>
              <w:jc w:val="left"/>
            </w:pPr>
            <w:r>
              <w:t>A task depends on site conditions unavailable at the factory</w:t>
            </w:r>
          </w:p>
        </w:tc>
        <w:tc>
          <w:tcPr>
            <w:tcW w:type="dxa" w:w="2700"/>
          </w:tcPr>
          <w:p>
            <w:pPr>
              <w:spacing w:after="0" w:before="0" w:line="240" w:lineRule="auto"/>
              <w:jc w:val="left"/>
            </w:pPr>
            <w:r>
              <w:t>Transfer through a controlled action list with an owner and due date, where contractually permitted</w:t>
            </w:r>
          </w:p>
        </w:tc>
      </w:tr>
    </w:tbl>
    <w:p/>
    <w:p>
      <w:r>
        <w:t>These letters are illustrative, not universal. Some organizations use A/B/C classifications with different definitions, while others use priority, severity, or milestone-impact fields instead.</w:t>
      </w:r>
    </w:p>
    <w:p>
      <w:pPr>
        <w:pStyle w:val="Heading3"/>
      </w:pPr>
      <w:r>
        <w:t>3.2 Acceptance impact</w:t>
      </w:r>
    </w:p>
    <w:p>
      <w:r>
        <w:t>For every punch point, determine whether it affects:</w:t>
      </w:r>
    </w:p>
    <w:p>
      <w:pPr>
        <w:pStyle w:val="ListBullet"/>
      </w:pPr>
      <w:r>
        <w:t>Personnel safety or machinery safety compliance.</w:t>
      </w:r>
    </w:p>
    <w:p>
      <w:pPr>
        <w:pStyle w:val="ListBullet"/>
      </w:pPr>
      <w:r>
        <w:t>A mandatory URS or technical-specification requirement.</w:t>
      </w:r>
    </w:p>
    <w:p>
      <w:pPr>
        <w:pStyle w:val="ListBullet"/>
      </w:pPr>
      <w:r>
        <w:t>Product quality or process capability.</w:t>
      </w:r>
    </w:p>
    <w:p>
      <w:pPr>
        <w:pStyle w:val="ListBullet"/>
      </w:pPr>
      <w:r>
        <w:t>Required machine functionality.</w:t>
      </w:r>
    </w:p>
    <w:p>
      <w:pPr>
        <w:pStyle w:val="ListBullet"/>
      </w:pPr>
      <w:r>
        <w:t>Performance acceptance.</w:t>
      </w:r>
    </w:p>
    <w:p>
      <w:pPr>
        <w:pStyle w:val="ListBullet"/>
      </w:pPr>
      <w:r>
        <w:t>Legal, regulatory, or contractual documentation.</w:t>
      </w:r>
    </w:p>
    <w:p>
      <w:pPr>
        <w:pStyle w:val="ListBullet"/>
      </w:pPr>
      <w:r>
        <w:t>Shipment authorization.</w:t>
      </w:r>
    </w:p>
    <w:p>
      <w:pPr>
        <w:pStyle w:val="ListBullet"/>
      </w:pPr>
      <w:r>
        <w:t>Installation or commissioning readiness.</w:t>
      </w:r>
    </w:p>
    <w:p>
      <w:pPr>
        <w:pStyle w:val="ListBullet"/>
      </w:pPr>
      <w:r>
        <w:t>Operator training and maintenance readiness.</w:t>
      </w:r>
    </w:p>
    <w:p>
      <w:pPr>
        <w:pStyle w:val="ListBullet"/>
      </w:pPr>
      <w:r>
        <w:t>Final customer handover.</w:t>
      </w:r>
    </w:p>
    <w:p>
      <w:r>
        <w:t>An item can be physically minor but contractually significant. For example, a missing mandatory safety validation record may prevent acceptance even when the equipment appears to operate normally.</w:t>
      </w:r>
    </w:p>
    <w:p>
      <w:pPr>
        <w:pStyle w:val="Heading2"/>
      </w:pPr>
      <w:r>
        <w:t>4. Identifying and Recording Punch Points</w:t>
      </w:r>
    </w:p>
    <w:p>
      <w:r>
        <w:t>Punch points should be identified systematically rather than collected only during the final FAT meeting.</w:t>
      </w:r>
    </w:p>
    <w:p>
      <w:pPr>
        <w:pStyle w:val="Heading3"/>
      </w:pPr>
      <w:r>
        <w:t>4.1 Sources of punch points</w:t>
      </w:r>
    </w:p>
    <w:p>
      <w:pPr>
        <w:pStyle w:val="ListBullet"/>
      </w:pPr>
      <w:r>
        <w:t>FAT inspection and test execution.</w:t>
      </w:r>
    </w:p>
    <w:p>
      <w:pPr>
        <w:pStyle w:val="ListBullet"/>
      </w:pPr>
      <w:r>
        <w:t>Electrical and mechanical design reviews.</w:t>
      </w:r>
    </w:p>
    <w:p>
      <w:pPr>
        <w:pStyle w:val="ListBullet"/>
      </w:pPr>
      <w:r>
        <w:t>Panel inspection and wiring verification.</w:t>
      </w:r>
    </w:p>
    <w:p>
      <w:pPr>
        <w:pStyle w:val="ListBullet"/>
      </w:pPr>
      <w:r>
        <w:t>PLC, HMI, robot, CNC, and drive testing.</w:t>
      </w:r>
    </w:p>
    <w:p>
      <w:pPr>
        <w:pStyle w:val="ListBullet"/>
      </w:pPr>
      <w:r>
        <w:t>Safety validation and risk-control verification.</w:t>
      </w:r>
    </w:p>
    <w:p>
      <w:pPr>
        <w:pStyle w:val="ListBullet"/>
      </w:pPr>
      <w:r>
        <w:t>Quality inspection.</w:t>
      </w:r>
    </w:p>
    <w:p>
      <w:pPr>
        <w:pStyle w:val="ListBullet"/>
      </w:pPr>
      <w:r>
        <w:t>Performance and sustained-run testing.</w:t>
      </w:r>
    </w:p>
    <w:p>
      <w:pPr>
        <w:pStyle w:val="ListBullet"/>
      </w:pPr>
      <w:r>
        <w:t>Documentation review.</w:t>
      </w:r>
    </w:p>
    <w:p>
      <w:pPr>
        <w:pStyle w:val="ListBullet"/>
      </w:pPr>
      <w:r>
        <w:t>Customer walkthroughs.</w:t>
      </w:r>
    </w:p>
    <w:p>
      <w:pPr>
        <w:pStyle w:val="ListBullet"/>
      </w:pPr>
      <w:r>
        <w:t>Training and maintenance-readiness reviews.</w:t>
      </w:r>
    </w:p>
    <w:p>
      <w:pPr>
        <w:pStyle w:val="ListBullet"/>
      </w:pPr>
      <w:r>
        <w:t>Review of vendor deliverables and contractual requirements.</w:t>
      </w:r>
    </w:p>
    <w:p>
      <w:pPr>
        <w:pStyle w:val="Heading3"/>
      </w:pPr>
      <w:r>
        <w:t>4.2 Recommended identification procedure</w:t>
      </w:r>
    </w:p>
    <w:p>
      <w:pPr>
        <w:tabs>
          <w:tab w:pos="403" w:val="left"/>
        </w:tabs>
        <w:spacing w:after="40" w:line="276" w:lineRule="auto"/>
        <w:ind w:left="403" w:hanging="403"/>
        <w:jc w:val="left"/>
      </w:pPr>
      <w:r>
        <w:rPr>
          <w:color w:val="1A2E4A"/>
        </w:rPr>
        <w:t>1.</w:t>
        <w:tab/>
      </w:r>
      <w:r>
        <w:t>Review the approved requirement, drawing, checklist, or deliverable.</w:t>
      </w:r>
    </w:p>
    <w:p>
      <w:pPr>
        <w:tabs>
          <w:tab w:pos="403" w:val="left"/>
        </w:tabs>
        <w:spacing w:after="40" w:line="276" w:lineRule="auto"/>
        <w:ind w:left="403" w:hanging="403"/>
        <w:jc w:val="left"/>
      </w:pPr>
      <w:r>
        <w:rPr>
          <w:color w:val="1A2E4A"/>
        </w:rPr>
        <w:t>2.</w:t>
        <w:tab/>
      </w:r>
      <w:r>
        <w:t>Inspect or test the relevant item.</w:t>
      </w:r>
    </w:p>
    <w:p>
      <w:pPr>
        <w:tabs>
          <w:tab w:pos="403" w:val="left"/>
        </w:tabs>
        <w:spacing w:after="40" w:line="276" w:lineRule="auto"/>
        <w:ind w:left="403" w:hanging="403"/>
        <w:jc w:val="left"/>
      </w:pPr>
      <w:r>
        <w:rPr>
          <w:color w:val="1A2E4A"/>
        </w:rPr>
        <w:t>3.</w:t>
        <w:tab/>
      </w:r>
      <w:r>
        <w:t>Compare the actual condition against the defined requirement.</w:t>
      </w:r>
    </w:p>
    <w:p>
      <w:pPr>
        <w:tabs>
          <w:tab w:pos="403" w:val="left"/>
        </w:tabs>
        <w:spacing w:after="40" w:line="276" w:lineRule="auto"/>
        <w:ind w:left="403" w:hanging="403"/>
        <w:jc w:val="left"/>
      </w:pPr>
      <w:r>
        <w:rPr>
          <w:color w:val="1A2E4A"/>
        </w:rPr>
        <w:t>4.</w:t>
        <w:tab/>
      </w:r>
      <w:r>
        <w:t>Record the exact outstanding work.</w:t>
      </w:r>
    </w:p>
    <w:p>
      <w:pPr>
        <w:tabs>
          <w:tab w:pos="403" w:val="left"/>
        </w:tabs>
        <w:spacing w:after="40" w:line="276" w:lineRule="auto"/>
        <w:ind w:left="403" w:hanging="403"/>
        <w:jc w:val="left"/>
      </w:pPr>
      <w:r>
        <w:rPr>
          <w:color w:val="1A2E4A"/>
        </w:rPr>
        <w:t>5.</w:t>
        <w:tab/>
      </w:r>
      <w:r>
        <w:t>Capture evidence and identify the affected equipment or document.</w:t>
      </w:r>
    </w:p>
    <w:p>
      <w:pPr>
        <w:tabs>
          <w:tab w:pos="403" w:val="left"/>
        </w:tabs>
        <w:spacing w:after="40" w:line="276" w:lineRule="auto"/>
        <w:ind w:left="403" w:hanging="403"/>
        <w:jc w:val="left"/>
      </w:pPr>
      <w:r>
        <w:rPr>
          <w:color w:val="1A2E4A"/>
        </w:rPr>
        <w:t>6.</w:t>
        <w:tab/>
      </w:r>
      <w:r>
        <w:t>Assess safety, functionality, quality, and milestone impact.</w:t>
      </w:r>
    </w:p>
    <w:p>
      <w:pPr>
        <w:tabs>
          <w:tab w:pos="403" w:val="left"/>
        </w:tabs>
        <w:spacing w:after="40" w:line="276" w:lineRule="auto"/>
        <w:ind w:left="403" w:hanging="403"/>
        <w:jc w:val="left"/>
      </w:pPr>
      <w:r>
        <w:rPr>
          <w:color w:val="1A2E4A"/>
        </w:rPr>
        <w:t>7.</w:t>
        <w:tab/>
      </w:r>
      <w:r>
        <w:t>Assign an owner and target date.</w:t>
      </w:r>
    </w:p>
    <w:p>
      <w:pPr>
        <w:tabs>
          <w:tab w:pos="403" w:val="left"/>
        </w:tabs>
        <w:spacing w:after="40" w:line="276" w:lineRule="auto"/>
        <w:ind w:left="403" w:hanging="403"/>
        <w:jc w:val="left"/>
      </w:pPr>
      <w:r>
        <w:rPr>
          <w:color w:val="1A2E4A"/>
        </w:rPr>
        <w:t>8.</w:t>
        <w:tab/>
      </w:r>
      <w:r>
        <w:t>Agree on the required completion evidence.</w:t>
      </w:r>
    </w:p>
    <w:p>
      <w:pPr>
        <w:tabs>
          <w:tab w:pos="403" w:val="left"/>
        </w:tabs>
        <w:spacing w:after="40" w:line="276" w:lineRule="auto"/>
        <w:ind w:left="403" w:hanging="403"/>
        <w:jc w:val="left"/>
      </w:pPr>
      <w:r>
        <w:rPr>
          <w:color w:val="1A2E4A"/>
        </w:rPr>
        <w:t>9.</w:t>
        <w:tab/>
      </w:r>
      <w:r>
        <w:t>Enter the item in the controlled register.</w:t>
      </w:r>
    </w:p>
    <w:p>
      <w:pPr>
        <w:tabs>
          <w:tab w:pos="403" w:val="left"/>
        </w:tabs>
        <w:spacing w:after="40" w:line="276" w:lineRule="auto"/>
        <w:ind w:left="403" w:hanging="403"/>
        <w:jc w:val="left"/>
      </w:pPr>
      <w:r>
        <w:rPr>
          <w:color w:val="1A2E4A"/>
        </w:rPr>
        <w:t>10.</w:t>
        <w:tab/>
      </w:r>
      <w:r>
        <w:t>Communicate the item to the responsible party.</w:t>
      </w:r>
    </w:p>
    <w:p>
      <w:r>
        <w:t>Do not create vague entries such as "check machine" or "complete documentation." Such entries do not define an action that can be verified.</w:t>
      </w:r>
    </w:p>
    <w:p>
      <w:pPr>
        <w:pStyle w:val="Heading2"/>
      </w:pPr>
      <w:r>
        <w:t>5. Essential Fields in a Punch-Point Register</w:t>
      </w:r>
    </w:p>
    <w:p>
      <w:r>
        <w:t>A practical register should contain enough information for the responsible person to understand, complete, and demonstrate closure of the item.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Punch-point ID</w:t>
            </w:r>
          </w:p>
        </w:tc>
        <w:tc>
          <w:tcPr>
            <w:tcW w:type="dxa" w:w="5400"/>
          </w:tcPr>
          <w:p>
            <w:pPr>
              <w:spacing w:after="0" w:before="0" w:line="240" w:lineRule="auto"/>
              <w:jc w:val="left"/>
            </w:pPr>
            <w:r>
              <w:t>Unique identifier</w:t>
            </w:r>
          </w:p>
        </w:tc>
      </w:tr>
      <w:tr>
        <w:tc>
          <w:tcPr>
            <w:tcW w:type="dxa" w:w="5400"/>
          </w:tcPr>
          <w:p>
            <w:pPr>
              <w:spacing w:after="0" w:before="0" w:line="240" w:lineRule="auto"/>
              <w:jc w:val="left"/>
            </w:pPr>
            <w:r>
              <w:t>Date raised</w:t>
            </w:r>
          </w:p>
        </w:tc>
        <w:tc>
          <w:tcPr>
            <w:tcW w:type="dxa" w:w="5400"/>
          </w:tcPr>
          <w:p>
            <w:pPr>
              <w:spacing w:after="0" w:before="0" w:line="240" w:lineRule="auto"/>
              <w:jc w:val="left"/>
            </w:pPr>
            <w:r>
              <w:t>Date the item was identified</w:t>
            </w:r>
          </w:p>
        </w:tc>
      </w:tr>
      <w:tr>
        <w:tc>
          <w:tcPr>
            <w:tcW w:type="dxa" w:w="5400"/>
          </w:tcPr>
          <w:p>
            <w:pPr>
              <w:spacing w:after="0" w:before="0" w:line="240" w:lineRule="auto"/>
              <w:jc w:val="left"/>
            </w:pPr>
            <w:r>
              <w:t>Equipment or area</w:t>
            </w:r>
          </w:p>
        </w:tc>
        <w:tc>
          <w:tcPr>
            <w:tcW w:type="dxa" w:w="5400"/>
          </w:tcPr>
          <w:p>
            <w:pPr>
              <w:spacing w:after="0" w:before="0" w:line="240" w:lineRule="auto"/>
              <w:jc w:val="left"/>
            </w:pPr>
            <w:r>
              <w:t>Machine, station, panel, or system affected</w:t>
            </w:r>
          </w:p>
        </w:tc>
      </w:tr>
      <w:tr>
        <w:tc>
          <w:tcPr>
            <w:tcW w:type="dxa" w:w="5400"/>
          </w:tcPr>
          <w:p>
            <w:pPr>
              <w:spacing w:after="0" w:before="0" w:line="240" w:lineRule="auto"/>
              <w:jc w:val="left"/>
            </w:pPr>
            <w:r>
              <w:t>Category</w:t>
            </w:r>
          </w:p>
        </w:tc>
        <w:tc>
          <w:tcPr>
            <w:tcW w:type="dxa" w:w="5400"/>
          </w:tcPr>
          <w:p>
            <w:pPr>
              <w:spacing w:after="0" w:before="0" w:line="240" w:lineRule="auto"/>
              <w:jc w:val="left"/>
            </w:pPr>
            <w:r>
              <w:t>Electrical, mechanical, software, safety, quality, documentation, or other</w:t>
            </w:r>
          </w:p>
        </w:tc>
      </w:tr>
      <w:tr>
        <w:tc>
          <w:tcPr>
            <w:tcW w:type="dxa" w:w="5400"/>
          </w:tcPr>
          <w:p>
            <w:pPr>
              <w:spacing w:after="0" w:before="0" w:line="240" w:lineRule="auto"/>
              <w:jc w:val="left"/>
            </w:pPr>
            <w:r>
              <w:t>Description</w:t>
            </w:r>
          </w:p>
        </w:tc>
        <w:tc>
          <w:tcPr>
            <w:tcW w:type="dxa" w:w="5400"/>
          </w:tcPr>
          <w:p>
            <w:pPr>
              <w:spacing w:after="0" w:before="0" w:line="240" w:lineRule="auto"/>
              <w:jc w:val="left"/>
            </w:pPr>
            <w:r>
              <w:t>Clear statement of the outstanding item</w:t>
            </w:r>
          </w:p>
        </w:tc>
      </w:tr>
      <w:tr>
        <w:tc>
          <w:tcPr>
            <w:tcW w:type="dxa" w:w="5400"/>
          </w:tcPr>
          <w:p>
            <w:pPr>
              <w:spacing w:after="0" w:before="0" w:line="240" w:lineRule="auto"/>
              <w:jc w:val="left"/>
            </w:pPr>
            <w:r>
              <w:t>Required action</w:t>
            </w:r>
          </w:p>
        </w:tc>
        <w:tc>
          <w:tcPr>
            <w:tcW w:type="dxa" w:w="5400"/>
          </w:tcPr>
          <w:p>
            <w:pPr>
              <w:spacing w:after="0" w:before="0" w:line="240" w:lineRule="auto"/>
              <w:jc w:val="left"/>
            </w:pPr>
            <w:r>
              <w:t>Specific work needed for completion</w:t>
            </w:r>
          </w:p>
        </w:tc>
      </w:tr>
      <w:tr>
        <w:tc>
          <w:tcPr>
            <w:tcW w:type="dxa" w:w="5400"/>
          </w:tcPr>
          <w:p>
            <w:pPr>
              <w:spacing w:after="0" w:before="0" w:line="240" w:lineRule="auto"/>
              <w:jc w:val="left"/>
            </w:pPr>
            <w:r>
              <w:t>Requirement reference</w:t>
            </w:r>
          </w:p>
        </w:tc>
        <w:tc>
          <w:tcPr>
            <w:tcW w:type="dxa" w:w="5400"/>
          </w:tcPr>
          <w:p>
            <w:pPr>
              <w:spacing w:after="0" w:before="0" w:line="240" w:lineRule="auto"/>
              <w:jc w:val="left"/>
            </w:pPr>
            <w:r>
              <w:t>Relevant specification, drawing, checklist, or contract clause</w:t>
            </w:r>
          </w:p>
        </w:tc>
      </w:tr>
      <w:tr>
        <w:tc>
          <w:tcPr>
            <w:tcW w:type="dxa" w:w="5400"/>
          </w:tcPr>
          <w:p>
            <w:pPr>
              <w:spacing w:after="0" w:before="0" w:line="240" w:lineRule="auto"/>
              <w:jc w:val="left"/>
            </w:pPr>
            <w:r>
              <w:t>Acceptance impact</w:t>
            </w:r>
          </w:p>
        </w:tc>
        <w:tc>
          <w:tcPr>
            <w:tcW w:type="dxa" w:w="5400"/>
          </w:tcPr>
          <w:p>
            <w:pPr>
              <w:spacing w:after="0" w:before="0" w:line="240" w:lineRule="auto"/>
              <w:jc w:val="left"/>
            </w:pPr>
            <w:r>
              <w:t>Effect on FAT, shipment, commissioning, or handover</w:t>
            </w:r>
          </w:p>
        </w:tc>
      </w:tr>
      <w:tr>
        <w:tc>
          <w:tcPr>
            <w:tcW w:type="dxa" w:w="5400"/>
          </w:tcPr>
          <w:p>
            <w:pPr>
              <w:spacing w:after="0" w:before="0" w:line="240" w:lineRule="auto"/>
              <w:jc w:val="left"/>
            </w:pPr>
            <w:r>
              <w:t>Class or priority</w:t>
            </w:r>
          </w:p>
        </w:tc>
        <w:tc>
          <w:tcPr>
            <w:tcW w:type="dxa" w:w="5400"/>
          </w:tcPr>
          <w:p>
            <w:pPr>
              <w:spacing w:after="0" w:before="0" w:line="240" w:lineRule="auto"/>
              <w:jc w:val="left"/>
            </w:pPr>
            <w:r>
              <w:t>Approved classification</w:t>
            </w:r>
          </w:p>
        </w:tc>
      </w:tr>
      <w:tr>
        <w:tc>
          <w:tcPr>
            <w:tcW w:type="dxa" w:w="5400"/>
          </w:tcPr>
          <w:p>
            <w:pPr>
              <w:spacing w:after="0" w:before="0" w:line="240" w:lineRule="auto"/>
              <w:jc w:val="left"/>
            </w:pPr>
            <w:r>
              <w:t>Owner</w:t>
            </w:r>
          </w:p>
        </w:tc>
        <w:tc>
          <w:tcPr>
            <w:tcW w:type="dxa" w:w="5400"/>
          </w:tcPr>
          <w:p>
            <w:pPr>
              <w:spacing w:after="0" w:before="0" w:line="240" w:lineRule="auto"/>
              <w:jc w:val="left"/>
            </w:pPr>
            <w:r>
              <w:t>Responsible person or organization</w:t>
            </w:r>
          </w:p>
        </w:tc>
      </w:tr>
      <w:tr>
        <w:tc>
          <w:tcPr>
            <w:tcW w:type="dxa" w:w="5400"/>
          </w:tcPr>
          <w:p>
            <w:pPr>
              <w:spacing w:after="0" w:before="0" w:line="240" w:lineRule="auto"/>
              <w:jc w:val="left"/>
            </w:pPr>
            <w:r>
              <w:t>Target date</w:t>
            </w:r>
          </w:p>
        </w:tc>
        <w:tc>
          <w:tcPr>
            <w:tcW w:type="dxa" w:w="5400"/>
          </w:tcPr>
          <w:p>
            <w:pPr>
              <w:spacing w:after="0" w:before="0" w:line="240" w:lineRule="auto"/>
              <w:jc w:val="left"/>
            </w:pPr>
            <w:r>
              <w:t>Agreed completion deadline</w:t>
            </w:r>
          </w:p>
        </w:tc>
      </w:tr>
      <w:tr>
        <w:tc>
          <w:tcPr>
            <w:tcW w:type="dxa" w:w="5400"/>
          </w:tcPr>
          <w:p>
            <w:pPr>
              <w:spacing w:after="0" w:before="0" w:line="240" w:lineRule="auto"/>
              <w:jc w:val="left"/>
            </w:pPr>
            <w:r>
              <w:t>Status</w:t>
            </w:r>
          </w:p>
        </w:tc>
        <w:tc>
          <w:tcPr>
            <w:tcW w:type="dxa" w:w="5400"/>
          </w:tcPr>
          <w:p>
            <w:pPr>
              <w:spacing w:after="0" w:before="0" w:line="240" w:lineRule="auto"/>
              <w:jc w:val="left"/>
            </w:pPr>
            <w:r>
              <w:t>Current workflow stage</w:t>
            </w:r>
          </w:p>
        </w:tc>
      </w:tr>
      <w:tr>
        <w:tc>
          <w:tcPr>
            <w:tcW w:type="dxa" w:w="5400"/>
          </w:tcPr>
          <w:p>
            <w:pPr>
              <w:spacing w:after="0" w:before="0" w:line="240" w:lineRule="auto"/>
              <w:jc w:val="left"/>
            </w:pPr>
            <w:r>
              <w:t>Dependency</w:t>
            </w:r>
          </w:p>
        </w:tc>
        <w:tc>
          <w:tcPr>
            <w:tcW w:type="dxa" w:w="5400"/>
          </w:tcPr>
          <w:p>
            <w:pPr>
              <w:spacing w:after="0" w:before="0" w:line="240" w:lineRule="auto"/>
              <w:jc w:val="left"/>
            </w:pPr>
            <w:r>
              <w:t>Condition or activity required before completion</w:t>
            </w:r>
          </w:p>
        </w:tc>
      </w:tr>
      <w:tr>
        <w:tc>
          <w:tcPr>
            <w:tcW w:type="dxa" w:w="5400"/>
          </w:tcPr>
          <w:p>
            <w:pPr>
              <w:spacing w:after="0" w:before="0" w:line="240" w:lineRule="auto"/>
              <w:jc w:val="left"/>
            </w:pPr>
            <w:r>
              <w:t>Closure evidence</w:t>
            </w:r>
          </w:p>
        </w:tc>
        <w:tc>
          <w:tcPr>
            <w:tcW w:type="dxa" w:w="5400"/>
          </w:tcPr>
          <w:p>
            <w:pPr>
              <w:spacing w:after="0" w:before="0" w:line="240" w:lineRule="auto"/>
              <w:jc w:val="left"/>
            </w:pPr>
            <w:r>
              <w:t>Record, photograph, drawing, test result, or other proof</w:t>
            </w:r>
          </w:p>
        </w:tc>
      </w:tr>
      <w:tr>
        <w:tc>
          <w:tcPr>
            <w:tcW w:type="dxa" w:w="5400"/>
          </w:tcPr>
          <w:p>
            <w:pPr>
              <w:spacing w:after="0" w:before="0" w:line="240" w:lineRule="auto"/>
              <w:jc w:val="left"/>
            </w:pPr>
            <w:r>
              <w:t>Verified by</w:t>
            </w:r>
          </w:p>
        </w:tc>
        <w:tc>
          <w:tcPr>
            <w:tcW w:type="dxa" w:w="5400"/>
          </w:tcPr>
          <w:p>
            <w:pPr>
              <w:spacing w:after="0" w:before="0" w:line="240" w:lineRule="auto"/>
              <w:jc w:val="left"/>
            </w:pPr>
            <w:r>
              <w:t>Person authorized to verify completion</w:t>
            </w:r>
          </w:p>
        </w:tc>
      </w:tr>
      <w:tr>
        <w:tc>
          <w:tcPr>
            <w:tcW w:type="dxa" w:w="5400"/>
          </w:tcPr>
          <w:p>
            <w:pPr>
              <w:spacing w:after="0" w:before="0" w:line="240" w:lineRule="auto"/>
              <w:jc w:val="left"/>
            </w:pPr>
            <w:r>
              <w:t>Closure date</w:t>
            </w:r>
          </w:p>
        </w:tc>
        <w:tc>
          <w:tcPr>
            <w:tcW w:type="dxa" w:w="5400"/>
          </w:tcPr>
          <w:p>
            <w:pPr>
              <w:spacing w:after="0" w:before="0" w:line="240" w:lineRule="auto"/>
              <w:jc w:val="left"/>
            </w:pPr>
            <w:r>
              <w:t>Date the item was accepted as closed</w:t>
            </w:r>
          </w:p>
        </w:tc>
      </w:tr>
      <w:tr>
        <w:tc>
          <w:tcPr>
            <w:tcW w:type="dxa" w:w="5400"/>
          </w:tcPr>
          <w:p>
            <w:pPr>
              <w:spacing w:after="0" w:before="0" w:line="240" w:lineRule="auto"/>
              <w:jc w:val="left"/>
            </w:pPr>
            <w:r>
              <w:t>Remarks</w:t>
            </w:r>
          </w:p>
        </w:tc>
        <w:tc>
          <w:tcPr>
            <w:tcW w:type="dxa" w:w="5400"/>
          </w:tcPr>
          <w:p>
            <w:pPr>
              <w:spacing w:after="0" w:before="0" w:line="240" w:lineRule="auto"/>
              <w:jc w:val="left"/>
            </w:pPr>
            <w:r>
              <w:t>Additional constraints or decisions</w:t>
            </w:r>
          </w:p>
        </w:tc>
      </w:tr>
    </w:tbl>
    <w:p/>
    <w:p>
      <w:r>
        <w:t>The owner is responsible for driving completion. The verifier is responsible for checking whether the stated requirement has actually been met. These roles may belong to different people.</w:t>
      </w:r>
    </w:p>
    <w:p>
      <w:pPr>
        <w:pStyle w:val="Heading2"/>
      </w:pPr>
      <w:r>
        <w:t>6. Writing Clear Punch-Point Descriptions</w:t>
      </w:r>
    </w:p>
    <w:p>
      <w:r>
        <w:t>A good punch point specifies the location, condition, required action, and expected evidence.</w:t>
      </w:r>
    </w:p>
    <w:p>
      <w:pPr>
        <w:pStyle w:val="Heading3"/>
      </w:pPr>
      <w:r>
        <w:t>6.1 Weak versus strong descriptions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Weak description</w:t>
            </w:r>
          </w:p>
        </w:tc>
        <w:tc>
          <w:tcPr>
            <w:tcW w:type="dxa" w:w="5400"/>
            <w:shd w:val="clear" w:color="auto" w:fill="EEF2F7"/>
          </w:tcPr>
          <w:p>
            <w:pPr>
              <w:spacing w:after="0" w:before="0" w:line="240" w:lineRule="auto"/>
              <w:jc w:val="left"/>
            </w:pPr>
            <w:r>
              <w:rPr>
                <w:b/>
                <w:color w:val="1A2E4A"/>
              </w:rPr>
              <w:t>Strong description</w:t>
            </w:r>
          </w:p>
        </w:tc>
      </w:tr>
      <w:tr>
        <w:tc>
          <w:tcPr>
            <w:tcW w:type="dxa" w:w="5400"/>
          </w:tcPr>
          <w:p>
            <w:pPr>
              <w:spacing w:after="0" w:before="0" w:line="240" w:lineRule="auto"/>
              <w:jc w:val="left"/>
            </w:pPr>
            <w:r>
              <w:t>Panel labels pending</w:t>
            </w:r>
          </w:p>
        </w:tc>
        <w:tc>
          <w:tcPr>
            <w:tcW w:type="dxa" w:w="5400"/>
          </w:tcPr>
          <w:p>
            <w:pPr>
              <w:spacing w:after="0" w:before="0" w:line="240" w:lineRule="auto"/>
              <w:jc w:val="left"/>
            </w:pPr>
            <w:r>
              <w:t>Install the missing terminal identification labels for terminals X12:15 to X12:20 and verify them against the approved electrical drawing</w:t>
            </w:r>
          </w:p>
        </w:tc>
      </w:tr>
      <w:tr>
        <w:tc>
          <w:tcPr>
            <w:tcW w:type="dxa" w:w="5400"/>
          </w:tcPr>
          <w:p>
            <w:pPr>
              <w:spacing w:after="0" w:before="0" w:line="240" w:lineRule="auto"/>
              <w:jc w:val="left"/>
            </w:pPr>
            <w:r>
              <w:t>Manual incomplete</w:t>
            </w:r>
          </w:p>
        </w:tc>
        <w:tc>
          <w:tcPr>
            <w:tcW w:type="dxa" w:w="5400"/>
          </w:tcPr>
          <w:p>
            <w:pPr>
              <w:spacing w:after="0" w:before="0" w:line="240" w:lineRule="auto"/>
              <w:jc w:val="left"/>
            </w:pPr>
            <w:r>
              <w:t>Submit the approved maintenance manual containing the required preventive-maintenance schedule and component identification list</w:t>
            </w:r>
          </w:p>
        </w:tc>
      </w:tr>
      <w:tr>
        <w:tc>
          <w:tcPr>
            <w:tcW w:type="dxa" w:w="5400"/>
          </w:tcPr>
          <w:p>
            <w:pPr>
              <w:spacing w:after="0" w:before="0" w:line="240" w:lineRule="auto"/>
              <w:jc w:val="left"/>
            </w:pPr>
            <w:r>
              <w:t>HMI correction</w:t>
            </w:r>
          </w:p>
        </w:tc>
        <w:tc>
          <w:tcPr>
            <w:tcW w:type="dxa" w:w="5400"/>
          </w:tcPr>
          <w:p>
            <w:pPr>
              <w:spacing w:after="0" w:before="0" w:line="240" w:lineRule="auto"/>
              <w:jc w:val="left"/>
            </w:pPr>
            <w:r>
              <w:t>Correct the displayed engineering unit on the specified pressure tag and verify the value against the approved PLC scaling</w:t>
            </w:r>
          </w:p>
        </w:tc>
      </w:tr>
      <w:tr>
        <w:tc>
          <w:tcPr>
            <w:tcW w:type="dxa" w:w="5400"/>
          </w:tcPr>
          <w:p>
            <w:pPr>
              <w:spacing w:after="0" w:before="0" w:line="240" w:lineRule="auto"/>
              <w:jc w:val="left"/>
            </w:pPr>
            <w:r>
              <w:t>Cable work pending</w:t>
            </w:r>
          </w:p>
        </w:tc>
        <w:tc>
          <w:tcPr>
            <w:tcW w:type="dxa" w:w="5400"/>
          </w:tcPr>
          <w:p>
            <w:pPr>
              <w:spacing w:after="0" w:before="0" w:line="240" w:lineRule="auto"/>
              <w:jc w:val="left"/>
            </w:pPr>
            <w:r>
              <w:t>Install the specified cable markers at the identified panel terminals and verify correspondence with the approved wiring diagram</w:t>
            </w:r>
          </w:p>
        </w:tc>
      </w:tr>
      <w:tr>
        <w:tc>
          <w:tcPr>
            <w:tcW w:type="dxa" w:w="5400"/>
          </w:tcPr>
          <w:p>
            <w:pPr>
              <w:spacing w:after="0" w:before="0" w:line="240" w:lineRule="auto"/>
              <w:jc w:val="left"/>
            </w:pPr>
            <w:r>
              <w:t>Robot documentation</w:t>
            </w:r>
          </w:p>
        </w:tc>
        <w:tc>
          <w:tcPr>
            <w:tcW w:type="dxa" w:w="5400"/>
          </w:tcPr>
          <w:p>
            <w:pPr>
              <w:spacing w:after="0" w:before="0" w:line="240" w:lineRule="auto"/>
              <w:jc w:val="left"/>
            </w:pPr>
            <w:r>
              <w:t>Submit the final approved robot program backup and record the applicable controller and program revisions</w:t>
            </w:r>
          </w:p>
        </w:tc>
      </w:tr>
      <w:tr>
        <w:tc>
          <w:tcPr>
            <w:tcW w:type="dxa" w:w="5400"/>
          </w:tcPr>
          <w:p>
            <w:pPr>
              <w:spacing w:after="0" w:before="0" w:line="240" w:lineRule="auto"/>
              <w:jc w:val="left"/>
            </w:pPr>
            <w:r>
              <w:t>Training pending</w:t>
            </w:r>
          </w:p>
        </w:tc>
        <w:tc>
          <w:tcPr>
            <w:tcW w:type="dxa" w:w="5400"/>
          </w:tcPr>
          <w:p>
            <w:pPr>
              <w:spacing w:after="0" w:before="0" w:line="240" w:lineRule="auto"/>
              <w:jc w:val="left"/>
            </w:pPr>
            <w:r>
              <w:t>Complete the agreed operator training session and retain the attendance and training-completion record</w:t>
            </w:r>
          </w:p>
        </w:tc>
      </w:tr>
    </w:tbl>
    <w:p/>
    <w:p>
      <w:pPr>
        <w:pStyle w:val="Heading3"/>
      </w:pPr>
      <w:r>
        <w:t>6.2 Recommended writing structure</w:t>
      </w:r>
    </w:p>
    <w:p>
      <w:pPr>
        <w:shd w:val="clear" w:color="auto" w:fill="F4F4F4"/>
        <w:spacing w:before="0" w:after="0" w:line="240" w:lineRule="auto"/>
        <w:ind w:left="216" w:right="216"/>
        <w:jc w:val="left"/>
      </w:pPr>
      <w:r>
        <w:rPr>
          <w:rFonts w:ascii="Consolas" w:hAnsi="Consolas"/>
          <w:color w:val="202020"/>
          <w:sz w:val="18"/>
        </w:rPr>
        <w:t>Punch-point ID:</w:t>
      </w:r>
    </w:p>
    <w:p>
      <w:pPr>
        <w:shd w:val="clear" w:color="auto" w:fill="F4F4F4"/>
        <w:spacing w:before="0" w:after="0" w:line="240" w:lineRule="auto"/>
        <w:ind w:left="216" w:right="216"/>
        <w:jc w:val="left"/>
      </w:pPr>
      <w:r>
        <w:rPr>
          <w:rFonts w:ascii="Consolas" w:hAnsi="Consolas"/>
          <w:color w:val="202020"/>
          <w:sz w:val="18"/>
        </w:rPr>
        <w:t>Equipment / document:</w:t>
      </w:r>
    </w:p>
    <w:p>
      <w:pPr>
        <w:shd w:val="clear" w:color="auto" w:fill="F4F4F4"/>
        <w:spacing w:before="0" w:after="0" w:line="240" w:lineRule="auto"/>
        <w:ind w:left="216" w:right="216"/>
        <w:jc w:val="left"/>
      </w:pPr>
      <w:r>
        <w:rPr>
          <w:rFonts w:ascii="Consolas" w:hAnsi="Consolas"/>
          <w:color w:val="202020"/>
          <w:sz w:val="18"/>
        </w:rPr>
        <w:t>Observed condition:</w:t>
      </w:r>
    </w:p>
    <w:p>
      <w:pPr>
        <w:shd w:val="clear" w:color="auto" w:fill="F4F4F4"/>
        <w:spacing w:before="0" w:after="0" w:line="240" w:lineRule="auto"/>
        <w:ind w:left="216" w:right="216"/>
        <w:jc w:val="left"/>
      </w:pPr>
      <w:r>
        <w:rPr>
          <w:rFonts w:ascii="Consolas" w:hAnsi="Consolas"/>
          <w:color w:val="202020"/>
          <w:sz w:val="18"/>
        </w:rPr>
        <w:t>Required action:</w:t>
      </w:r>
    </w:p>
    <w:p>
      <w:pPr>
        <w:shd w:val="clear" w:color="auto" w:fill="F4F4F4"/>
        <w:spacing w:before="0" w:after="0" w:line="240" w:lineRule="auto"/>
        <w:ind w:left="216" w:right="216"/>
        <w:jc w:val="left"/>
      </w:pPr>
      <w:r>
        <w:rPr>
          <w:rFonts w:ascii="Consolas" w:hAnsi="Consolas"/>
          <w:color w:val="202020"/>
          <w:sz w:val="18"/>
        </w:rPr>
        <w:t>Applicable requirement:</w:t>
      </w:r>
    </w:p>
    <w:p>
      <w:pPr>
        <w:shd w:val="clear" w:color="auto" w:fill="F4F4F4"/>
        <w:spacing w:before="0" w:after="0" w:line="240" w:lineRule="auto"/>
        <w:ind w:left="216" w:right="216"/>
        <w:jc w:val="left"/>
      </w:pPr>
      <w:r>
        <w:rPr>
          <w:rFonts w:ascii="Consolas" w:hAnsi="Consolas"/>
          <w:color w:val="202020"/>
          <w:sz w:val="18"/>
        </w:rPr>
        <w:t>Acceptance or milestone impact:</w:t>
      </w:r>
    </w:p>
    <w:p>
      <w:pPr>
        <w:shd w:val="clear" w:color="auto" w:fill="F4F4F4"/>
        <w:spacing w:before="0" w:after="0" w:line="240" w:lineRule="auto"/>
        <w:ind w:left="216" w:right="216"/>
        <w:jc w:val="left"/>
      </w:pPr>
      <w:r>
        <w:rPr>
          <w:rFonts w:ascii="Consolas" w:hAnsi="Consolas"/>
          <w:color w:val="202020"/>
          <w:sz w:val="18"/>
        </w:rPr>
        <w:t>Responsible owner:</w:t>
      </w:r>
    </w:p>
    <w:p>
      <w:pPr>
        <w:shd w:val="clear" w:color="auto" w:fill="F4F4F4"/>
        <w:spacing w:before="0" w:after="0" w:line="240" w:lineRule="auto"/>
        <w:ind w:left="216" w:right="216"/>
        <w:jc w:val="left"/>
      </w:pPr>
      <w:r>
        <w:rPr>
          <w:rFonts w:ascii="Consolas" w:hAnsi="Consolas"/>
          <w:color w:val="202020"/>
          <w:sz w:val="18"/>
        </w:rPr>
        <w:t>Target completion date:</w:t>
      </w:r>
    </w:p>
    <w:p>
      <w:pPr>
        <w:shd w:val="clear" w:color="auto" w:fill="F4F4F4"/>
        <w:spacing w:before="0" w:after="0" w:line="240" w:lineRule="auto"/>
        <w:ind w:left="216" w:right="216"/>
        <w:jc w:val="left"/>
      </w:pPr>
      <w:r>
        <w:rPr>
          <w:rFonts w:ascii="Consolas" w:hAnsi="Consolas"/>
          <w:color w:val="202020"/>
          <w:sz w:val="18"/>
        </w:rPr>
        <w:t>Required closure evidence:</w:t>
      </w:r>
    </w:p>
    <w:p>
      <w:pPr>
        <w:shd w:val="clear" w:color="auto" w:fill="F4F4F4"/>
        <w:spacing w:before="0" w:after="0" w:line="240" w:lineRule="auto"/>
        <w:ind w:left="216" w:right="216"/>
        <w:jc w:val="left"/>
      </w:pPr>
      <w:r>
        <w:rPr>
          <w:rFonts w:ascii="Consolas" w:hAnsi="Consolas"/>
          <w:color w:val="202020"/>
          <w:sz w:val="18"/>
        </w:rPr>
        <w:t>Verification authority:</w:t>
      </w:r>
    </w:p>
    <w:p/>
    <w:p>
      <w:r>
        <w:t>Use measurable wording such as "install," "submit," "correct," "verify," or "demonstrate." Avoid unclear terms such as "look into," "improve if possible," or "do the needful."</w:t>
      </w:r>
    </w:p>
    <w:p>
      <w:pPr>
        <w:pStyle w:val="Heading2"/>
      </w:pPr>
      <w:r>
        <w:t>7. Punch-Point Status and Workflow</w:t>
      </w:r>
    </w:p>
    <w:p>
      <w:r>
        <w:t>A punch point progresses from identification to verification and closure. The status should reflect what has actually happened.</w:t>
      </w:r>
    </w:p>
    <w:p>
      <w:pPr>
        <w:pStyle w:val="Heading3"/>
      </w:pPr>
      <w:r>
        <w:t>7.1 Typical workflow</w:t>
      </w:r>
    </w:p>
    <w:p>
      <w:pPr>
        <w:shd w:val="clear" w:color="auto" w:fill="F4F4F4"/>
        <w:spacing w:before="0" w:after="0" w:line="240" w:lineRule="auto"/>
        <w:ind w:left="216" w:right="216"/>
        <w:jc w:val="left"/>
      </w:pPr>
      <w:r>
        <w:rPr>
          <w:rFonts w:ascii="Consolas" w:hAnsi="Consolas"/>
          <w:color w:val="202020"/>
          <w:sz w:val="18"/>
        </w:rPr>
        <w:t>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Logged and Reviewed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Classified and Assigned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Action in Progress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Completion Evidence Submitted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Accepted and Closed</w:t>
      </w:r>
    </w:p>
    <w:p/>
    <w:p>
      <w:r>
        <w:t>If verification fails, the item returns to action in progress. If an item cannot be completed because of a dependency, it should be marked blocked or deferred according to the project's procedure, not falsely marked complete.</w:t>
      </w:r>
    </w:p>
    <w:p>
      <w:pPr>
        <w:pStyle w:val="Heading3"/>
      </w:pPr>
      <w:r>
        <w:t>7.2 Status definitions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Status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Open</w:t>
            </w:r>
          </w:p>
        </w:tc>
        <w:tc>
          <w:tcPr>
            <w:tcW w:type="dxa" w:w="5400"/>
          </w:tcPr>
          <w:p>
            <w:pPr>
              <w:spacing w:after="0" w:before="0" w:line="240" w:lineRule="auto"/>
              <w:jc w:val="left"/>
            </w:pPr>
            <w:r>
              <w:t>Item is recorded but work has not been completed</w:t>
            </w:r>
          </w:p>
        </w:tc>
      </w:tr>
      <w:tr>
        <w:tc>
          <w:tcPr>
            <w:tcW w:type="dxa" w:w="5400"/>
          </w:tcPr>
          <w:p>
            <w:pPr>
              <w:spacing w:after="0" w:before="0" w:line="240" w:lineRule="auto"/>
              <w:jc w:val="left"/>
            </w:pPr>
            <w:r>
              <w:t>Assigned</w:t>
            </w:r>
          </w:p>
        </w:tc>
        <w:tc>
          <w:tcPr>
            <w:tcW w:type="dxa" w:w="5400"/>
          </w:tcPr>
          <w:p>
            <w:pPr>
              <w:spacing w:after="0" w:before="0" w:line="240" w:lineRule="auto"/>
              <w:jc w:val="left"/>
            </w:pPr>
            <w:r>
              <w:t>Responsible owner has been identified</w:t>
            </w:r>
          </w:p>
        </w:tc>
      </w:tr>
      <w:tr>
        <w:tc>
          <w:tcPr>
            <w:tcW w:type="dxa" w:w="5400"/>
          </w:tcPr>
          <w:p>
            <w:pPr>
              <w:spacing w:after="0" w:before="0" w:line="240" w:lineRule="auto"/>
              <w:jc w:val="left"/>
            </w:pPr>
            <w:r>
              <w:t>In Progress</w:t>
            </w:r>
          </w:p>
        </w:tc>
        <w:tc>
          <w:tcPr>
            <w:tcW w:type="dxa" w:w="5400"/>
          </w:tcPr>
          <w:p>
            <w:pPr>
              <w:spacing w:after="0" w:before="0" w:line="240" w:lineRule="auto"/>
              <w:jc w:val="left"/>
            </w:pPr>
            <w:r>
              <w:t>Work is underway</w:t>
            </w:r>
          </w:p>
        </w:tc>
      </w:tr>
      <w:tr>
        <w:tc>
          <w:tcPr>
            <w:tcW w:type="dxa" w:w="5400"/>
          </w:tcPr>
          <w:p>
            <w:pPr>
              <w:spacing w:after="0" w:before="0" w:line="240" w:lineRule="auto"/>
              <w:jc w:val="left"/>
            </w:pPr>
            <w:r>
              <w:t>Blocked</w:t>
            </w:r>
          </w:p>
        </w:tc>
        <w:tc>
          <w:tcPr>
            <w:tcW w:type="dxa" w:w="5400"/>
          </w:tcPr>
          <w:p>
            <w:pPr>
              <w:spacing w:after="0" w:before="0" w:line="240" w:lineRule="auto"/>
              <w:jc w:val="left"/>
            </w:pPr>
            <w:r>
              <w:t>Completion depends on an unresolved prerequisite</w:t>
            </w:r>
          </w:p>
        </w:tc>
      </w:tr>
      <w:tr>
        <w:tc>
          <w:tcPr>
            <w:tcW w:type="dxa" w:w="5400"/>
          </w:tcPr>
          <w:p>
            <w:pPr>
              <w:spacing w:after="0" w:before="0" w:line="240" w:lineRule="auto"/>
              <w:jc w:val="left"/>
            </w:pPr>
            <w:r>
              <w:t>Awaiting Evidence</w:t>
            </w:r>
          </w:p>
        </w:tc>
        <w:tc>
          <w:tcPr>
            <w:tcW w:type="dxa" w:w="5400"/>
          </w:tcPr>
          <w:p>
            <w:pPr>
              <w:spacing w:after="0" w:before="0" w:line="240" w:lineRule="auto"/>
              <w:jc w:val="left"/>
            </w:pPr>
            <w:r>
              <w:t>Owner claims completion but proof has not been submitted</w:t>
            </w:r>
          </w:p>
        </w:tc>
      </w:tr>
      <w:tr>
        <w:tc>
          <w:tcPr>
            <w:tcW w:type="dxa" w:w="5400"/>
          </w:tcPr>
          <w:p>
            <w:pPr>
              <w:spacing w:after="0" w:before="0" w:line="240" w:lineRule="auto"/>
              <w:jc w:val="left"/>
            </w:pPr>
            <w:r>
              <w:t>Under Verification</w:t>
            </w:r>
          </w:p>
        </w:tc>
        <w:tc>
          <w:tcPr>
            <w:tcW w:type="dxa" w:w="5400"/>
          </w:tcPr>
          <w:p>
            <w:pPr>
              <w:spacing w:after="0" w:before="0" w:line="240" w:lineRule="auto"/>
              <w:jc w:val="left"/>
            </w:pPr>
            <w:r>
              <w:t>Evidence or completed work is being checked</w:t>
            </w:r>
          </w:p>
        </w:tc>
      </w:tr>
      <w:tr>
        <w:tc>
          <w:tcPr>
            <w:tcW w:type="dxa" w:w="5400"/>
          </w:tcPr>
          <w:p>
            <w:pPr>
              <w:spacing w:after="0" w:before="0" w:line="240" w:lineRule="auto"/>
              <w:jc w:val="left"/>
            </w:pPr>
            <w:r>
              <w:t>Rejected</w:t>
            </w:r>
          </w:p>
        </w:tc>
        <w:tc>
          <w:tcPr>
            <w:tcW w:type="dxa" w:w="5400"/>
          </w:tcPr>
          <w:p>
            <w:pPr>
              <w:spacing w:after="0" w:before="0" w:line="240" w:lineRule="auto"/>
              <w:jc w:val="left"/>
            </w:pPr>
            <w:r>
              <w:t>Submitted completion does not satisfy the requirement</w:t>
            </w:r>
          </w:p>
        </w:tc>
      </w:tr>
      <w:tr>
        <w:tc>
          <w:tcPr>
            <w:tcW w:type="dxa" w:w="5400"/>
          </w:tcPr>
          <w:p>
            <w:pPr>
              <w:spacing w:after="0" w:before="0" w:line="240" w:lineRule="auto"/>
              <w:jc w:val="left"/>
            </w:pPr>
            <w:r>
              <w:t>Closed</w:t>
            </w:r>
          </w:p>
        </w:tc>
        <w:tc>
          <w:tcPr>
            <w:tcW w:type="dxa" w:w="5400"/>
          </w:tcPr>
          <w:p>
            <w:pPr>
              <w:spacing w:after="0" w:before="0" w:line="240" w:lineRule="auto"/>
              <w:jc w:val="left"/>
            </w:pPr>
            <w:r>
              <w:t>Completion has been verified and authorized</w:t>
            </w:r>
          </w:p>
        </w:tc>
      </w:tr>
      <w:tr>
        <w:tc>
          <w:tcPr>
            <w:tcW w:type="dxa" w:w="5400"/>
          </w:tcPr>
          <w:p>
            <w:pPr>
              <w:spacing w:after="0" w:before="0" w:line="240" w:lineRule="auto"/>
              <w:jc w:val="left"/>
            </w:pPr>
            <w:r>
              <w:t>Deferred</w:t>
            </w:r>
          </w:p>
        </w:tc>
        <w:tc>
          <w:tcPr>
            <w:tcW w:type="dxa" w:w="5400"/>
          </w:tcPr>
          <w:p>
            <w:pPr>
              <w:spacing w:after="0" w:before="0" w:line="240" w:lineRule="auto"/>
              <w:jc w:val="left"/>
            </w:pPr>
            <w:r>
              <w:t>Completion is postponed under an approved disposition</w:t>
            </w:r>
          </w:p>
        </w:tc>
      </w:tr>
      <w:tr>
        <w:tc>
          <w:tcPr>
            <w:tcW w:type="dxa" w:w="5400"/>
          </w:tcPr>
          <w:p>
            <w:pPr>
              <w:spacing w:after="0" w:before="0" w:line="240" w:lineRule="auto"/>
              <w:jc w:val="left"/>
            </w:pPr>
            <w:r>
              <w:t>Cancelled</w:t>
            </w:r>
          </w:p>
        </w:tc>
        <w:tc>
          <w:tcPr>
            <w:tcW w:type="dxa" w:w="5400"/>
          </w:tcPr>
          <w:p>
            <w:pPr>
              <w:spacing w:after="0" w:before="0" w:line="240" w:lineRule="auto"/>
              <w:jc w:val="left"/>
            </w:pPr>
            <w:r>
              <w:t>Item is formally withdrawn with a documented reason and authorization</w:t>
            </w:r>
          </w:p>
        </w:tc>
      </w:tr>
    </w:tbl>
    <w:p/>
    <w:p>
      <w:r>
        <w:t>A status of "completed" is not necessarily the same as "closed." The person performing the work may not have the authority to accept it.</w:t>
      </w:r>
    </w:p>
    <w:p>
      <w:pPr>
        <w:pStyle w:val="Heading2"/>
      </w:pPr>
      <w:r>
        <w:t>8. Ownership, Target Dates, and Dependencies</w:t>
      </w:r>
    </w:p>
    <w:p>
      <w:r>
        <w:t>Each punch point should have one clearly accountable owner. Other parties may assist, but responsibility must not become so distributed that nobody actually drives the task.</w:t>
      </w:r>
    </w:p>
    <w:p>
      <w:pPr>
        <w:pStyle w:val="Heading3"/>
      </w:pPr>
      <w:r>
        <w:t>8.1 Typical ownership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Punch-point type</w:t>
            </w:r>
          </w:p>
        </w:tc>
        <w:tc>
          <w:tcPr>
            <w:tcW w:type="dxa" w:w="3600"/>
            <w:shd w:val="clear" w:color="auto" w:fill="EEF2F7"/>
          </w:tcPr>
          <w:p>
            <w:pPr>
              <w:spacing w:after="0" w:before="0" w:line="240" w:lineRule="auto"/>
              <w:jc w:val="left"/>
            </w:pPr>
            <w:r>
              <w:rPr>
                <w:b/>
                <w:color w:val="1A2E4A"/>
              </w:rPr>
              <w:t>Typical owner</w:t>
            </w:r>
          </w:p>
        </w:tc>
        <w:tc>
          <w:tcPr>
            <w:tcW w:type="dxa" w:w="3600"/>
            <w:shd w:val="clear" w:color="auto" w:fill="EEF2F7"/>
          </w:tcPr>
          <w:p>
            <w:pPr>
              <w:spacing w:after="0" w:before="0" w:line="240" w:lineRule="auto"/>
              <w:jc w:val="left"/>
            </w:pPr>
            <w:r>
              <w:rPr>
                <w:b/>
                <w:color w:val="1A2E4A"/>
              </w:rPr>
              <w:t>Possible verifier</w:t>
            </w:r>
          </w:p>
        </w:tc>
      </w:tr>
      <w:tr>
        <w:tc>
          <w:tcPr>
            <w:tcW w:type="dxa" w:w="3600"/>
          </w:tcPr>
          <w:p>
            <w:pPr>
              <w:spacing w:after="0" w:before="0" w:line="240" w:lineRule="auto"/>
              <w:jc w:val="left"/>
            </w:pPr>
            <w:r>
              <w:t>Electrical labels</w:t>
            </w:r>
          </w:p>
        </w:tc>
        <w:tc>
          <w:tcPr>
            <w:tcW w:type="dxa" w:w="3600"/>
          </w:tcPr>
          <w:p>
            <w:pPr>
              <w:spacing w:after="0" w:before="0" w:line="240" w:lineRule="auto"/>
              <w:jc w:val="left"/>
            </w:pPr>
            <w:r>
              <w:t>Panel builder</w:t>
            </w:r>
          </w:p>
        </w:tc>
        <w:tc>
          <w:tcPr>
            <w:tcW w:type="dxa" w:w="3600"/>
          </w:tcPr>
          <w:p>
            <w:pPr>
              <w:spacing w:after="0" w:before="0" w:line="240" w:lineRule="auto"/>
              <w:jc w:val="left"/>
            </w:pPr>
            <w:r>
              <w:t>Electrical design engineer or customer representative</w:t>
            </w:r>
          </w:p>
        </w:tc>
      </w:tr>
      <w:tr>
        <w:tc>
          <w:tcPr>
            <w:tcW w:type="dxa" w:w="3600"/>
          </w:tcPr>
          <w:p>
            <w:pPr>
              <w:spacing w:after="0" w:before="0" w:line="240" w:lineRule="auto"/>
              <w:jc w:val="left"/>
            </w:pPr>
            <w:r>
              <w:t>Mechanical adjustment</w:t>
            </w:r>
          </w:p>
        </w:tc>
        <w:tc>
          <w:tcPr>
            <w:tcW w:type="dxa" w:w="3600"/>
          </w:tcPr>
          <w:p>
            <w:pPr>
              <w:spacing w:after="0" w:before="0" w:line="240" w:lineRule="auto"/>
              <w:jc w:val="left"/>
            </w:pPr>
            <w:r>
              <w:t>Machine builder</w:t>
            </w:r>
          </w:p>
        </w:tc>
        <w:tc>
          <w:tcPr>
            <w:tcW w:type="dxa" w:w="3600"/>
          </w:tcPr>
          <w:p>
            <w:pPr>
              <w:spacing w:after="0" w:before="0" w:line="240" w:lineRule="auto"/>
              <w:jc w:val="left"/>
            </w:pPr>
            <w:r>
              <w:t>Mechanical engineer or customer representative</w:t>
            </w:r>
          </w:p>
        </w:tc>
      </w:tr>
      <w:tr>
        <w:tc>
          <w:tcPr>
            <w:tcW w:type="dxa" w:w="3600"/>
          </w:tcPr>
          <w:p>
            <w:pPr>
              <w:spacing w:after="0" w:before="0" w:line="240" w:lineRule="auto"/>
              <w:jc w:val="left"/>
            </w:pPr>
            <w:r>
              <w:t>PLC or HMI correction</w:t>
            </w:r>
          </w:p>
        </w:tc>
        <w:tc>
          <w:tcPr>
            <w:tcW w:type="dxa" w:w="3600"/>
          </w:tcPr>
          <w:p>
            <w:pPr>
              <w:spacing w:after="0" w:before="0" w:line="240" w:lineRule="auto"/>
              <w:jc w:val="left"/>
            </w:pPr>
            <w:r>
              <w:t>Controls vendor</w:t>
            </w:r>
          </w:p>
        </w:tc>
        <w:tc>
          <w:tcPr>
            <w:tcW w:type="dxa" w:w="3600"/>
          </w:tcPr>
          <w:p>
            <w:pPr>
              <w:spacing w:after="0" w:before="0" w:line="240" w:lineRule="auto"/>
              <w:jc w:val="left"/>
            </w:pPr>
            <w:r>
              <w:t>Automation lead or customer representative</w:t>
            </w:r>
          </w:p>
        </w:tc>
      </w:tr>
      <w:tr>
        <w:tc>
          <w:tcPr>
            <w:tcW w:type="dxa" w:w="3600"/>
          </w:tcPr>
          <w:p>
            <w:pPr>
              <w:spacing w:after="0" w:before="0" w:line="240" w:lineRule="auto"/>
              <w:jc w:val="left"/>
            </w:pPr>
            <w:r>
              <w:t>Robot program backup</w:t>
            </w:r>
          </w:p>
        </w:tc>
        <w:tc>
          <w:tcPr>
            <w:tcW w:type="dxa" w:w="3600"/>
          </w:tcPr>
          <w:p>
            <w:pPr>
              <w:spacing w:after="0" w:before="0" w:line="240" w:lineRule="auto"/>
              <w:jc w:val="left"/>
            </w:pPr>
            <w:r>
              <w:t>Robot integrator</w:t>
            </w:r>
          </w:p>
        </w:tc>
        <w:tc>
          <w:tcPr>
            <w:tcW w:type="dxa" w:w="3600"/>
          </w:tcPr>
          <w:p>
            <w:pPr>
              <w:spacing w:after="0" w:before="0" w:line="240" w:lineRule="auto"/>
              <w:jc w:val="left"/>
            </w:pPr>
            <w:r>
              <w:t>Controls lead or designated technical authority</w:t>
            </w:r>
          </w:p>
        </w:tc>
      </w:tr>
      <w:tr>
        <w:tc>
          <w:tcPr>
            <w:tcW w:type="dxa" w:w="3600"/>
          </w:tcPr>
          <w:p>
            <w:pPr>
              <w:spacing w:after="0" w:before="0" w:line="240" w:lineRule="auto"/>
              <w:jc w:val="left"/>
            </w:pPr>
            <w:r>
              <w:t>CNC interface documentation</w:t>
            </w:r>
          </w:p>
        </w:tc>
        <w:tc>
          <w:tcPr>
            <w:tcW w:type="dxa" w:w="3600"/>
          </w:tcPr>
          <w:p>
            <w:pPr>
              <w:spacing w:after="0" w:before="0" w:line="240" w:lineRule="auto"/>
              <w:jc w:val="left"/>
            </w:pPr>
            <w:r>
              <w:t>Machine builder or CNC supplier</w:t>
            </w:r>
          </w:p>
        </w:tc>
        <w:tc>
          <w:tcPr>
            <w:tcW w:type="dxa" w:w="3600"/>
          </w:tcPr>
          <w:p>
            <w:pPr>
              <w:spacing w:after="0" w:before="0" w:line="240" w:lineRule="auto"/>
              <w:jc w:val="left"/>
            </w:pPr>
            <w:r>
              <w:t>Automation integration lead</w:t>
            </w:r>
          </w:p>
        </w:tc>
      </w:tr>
      <w:tr>
        <w:tc>
          <w:tcPr>
            <w:tcW w:type="dxa" w:w="3600"/>
          </w:tcPr>
          <w:p>
            <w:pPr>
              <w:spacing w:after="0" w:before="0" w:line="240" w:lineRule="auto"/>
              <w:jc w:val="left"/>
            </w:pPr>
            <w:r>
              <w:t>As-built drawings</w:t>
            </w:r>
          </w:p>
        </w:tc>
        <w:tc>
          <w:tcPr>
            <w:tcW w:type="dxa" w:w="3600"/>
          </w:tcPr>
          <w:p>
            <w:pPr>
              <w:spacing w:after="0" w:before="0" w:line="240" w:lineRule="auto"/>
              <w:jc w:val="left"/>
            </w:pPr>
            <w:r>
              <w:t>Responsible design organization</w:t>
            </w:r>
          </w:p>
        </w:tc>
        <w:tc>
          <w:tcPr>
            <w:tcW w:type="dxa" w:w="3600"/>
          </w:tcPr>
          <w:p>
            <w:pPr>
              <w:spacing w:after="0" w:before="0" w:line="240" w:lineRule="auto"/>
              <w:jc w:val="left"/>
            </w:pPr>
            <w:r>
              <w:t>Engineering document reviewer</w:t>
            </w:r>
          </w:p>
        </w:tc>
      </w:tr>
      <w:tr>
        <w:tc>
          <w:tcPr>
            <w:tcW w:type="dxa" w:w="3600"/>
          </w:tcPr>
          <w:p>
            <w:pPr>
              <w:spacing w:after="0" w:before="0" w:line="240" w:lineRule="auto"/>
              <w:jc w:val="left"/>
            </w:pPr>
            <w:r>
              <w:t>Maintenance manuals</w:t>
            </w:r>
          </w:p>
        </w:tc>
        <w:tc>
          <w:tcPr>
            <w:tcW w:type="dxa" w:w="3600"/>
          </w:tcPr>
          <w:p>
            <w:pPr>
              <w:spacing w:after="0" w:before="0" w:line="240" w:lineRule="auto"/>
              <w:jc w:val="left"/>
            </w:pPr>
            <w:r>
              <w:t>Equipment supplier</w:t>
            </w:r>
          </w:p>
        </w:tc>
        <w:tc>
          <w:tcPr>
            <w:tcW w:type="dxa" w:w="3600"/>
          </w:tcPr>
          <w:p>
            <w:pPr>
              <w:spacing w:after="0" w:before="0" w:line="240" w:lineRule="auto"/>
              <w:jc w:val="left"/>
            </w:pPr>
            <w:r>
              <w:t>Maintenance representative</w:t>
            </w:r>
          </w:p>
        </w:tc>
      </w:tr>
      <w:tr>
        <w:tc>
          <w:tcPr>
            <w:tcW w:type="dxa" w:w="3600"/>
          </w:tcPr>
          <w:p>
            <w:pPr>
              <w:spacing w:after="0" w:before="0" w:line="240" w:lineRule="auto"/>
              <w:jc w:val="left"/>
            </w:pPr>
            <w:r>
              <w:t>Operator training</w:t>
            </w:r>
          </w:p>
        </w:tc>
        <w:tc>
          <w:tcPr>
            <w:tcW w:type="dxa" w:w="3600"/>
          </w:tcPr>
          <w:p>
            <w:pPr>
              <w:spacing w:after="0" w:before="0" w:line="240" w:lineRule="auto"/>
              <w:jc w:val="left"/>
            </w:pPr>
            <w:r>
              <w:t>Vendor trainer or project team</w:t>
            </w:r>
          </w:p>
        </w:tc>
        <w:tc>
          <w:tcPr>
            <w:tcW w:type="dxa" w:w="3600"/>
          </w:tcPr>
          <w:p>
            <w:pPr>
              <w:spacing w:after="0" w:before="0" w:line="240" w:lineRule="auto"/>
              <w:jc w:val="left"/>
            </w:pPr>
            <w:r>
              <w:t>Customer training coordinator</w:t>
            </w:r>
          </w:p>
        </w:tc>
      </w:tr>
      <w:tr>
        <w:tc>
          <w:tcPr>
            <w:tcW w:type="dxa" w:w="3600"/>
          </w:tcPr>
          <w:p>
            <w:pPr>
              <w:spacing w:after="0" w:before="0" w:line="240" w:lineRule="auto"/>
              <w:jc w:val="left"/>
            </w:pPr>
            <w:r>
              <w:t>Required test records</w:t>
            </w:r>
          </w:p>
        </w:tc>
        <w:tc>
          <w:tcPr>
            <w:tcW w:type="dxa" w:w="3600"/>
          </w:tcPr>
          <w:p>
            <w:pPr>
              <w:spacing w:after="0" w:before="0" w:line="240" w:lineRule="auto"/>
              <w:jc w:val="left"/>
            </w:pPr>
            <w:r>
              <w:t>Responsible test engineer</w:t>
            </w:r>
          </w:p>
        </w:tc>
        <w:tc>
          <w:tcPr>
            <w:tcW w:type="dxa" w:w="3600"/>
          </w:tcPr>
          <w:p>
            <w:pPr>
              <w:spacing w:after="0" w:before="0" w:line="240" w:lineRule="auto"/>
              <w:jc w:val="left"/>
            </w:pPr>
            <w:r>
              <w:t>FAT lead or authorized reviewer</w:t>
            </w:r>
          </w:p>
        </w:tc>
      </w:tr>
    </w:tbl>
    <w:p/>
    <w:p>
      <w:r>
        <w:t>Actual ownership and approval authority must follow the contract, responsibility matrix, and quality procedures.</w:t>
      </w:r>
    </w:p>
    <w:p>
      <w:pPr>
        <w:pStyle w:val="Heading3"/>
      </w:pPr>
      <w:r>
        <w:t>8.2 Target dates</w:t>
      </w:r>
    </w:p>
    <w:p>
      <w:r>
        <w:t>Target dates should reflect:</w:t>
      </w:r>
    </w:p>
    <w:p>
      <w:pPr>
        <w:pStyle w:val="ListBullet"/>
      </w:pPr>
      <w:r>
        <w:t>The acceptance milestone affected.</w:t>
      </w:r>
    </w:p>
    <w:p>
      <w:pPr>
        <w:pStyle w:val="ListBullet"/>
      </w:pPr>
      <w:r>
        <w:t>The time required for procurement or fabrication.</w:t>
      </w:r>
    </w:p>
    <w:p>
      <w:pPr>
        <w:pStyle w:val="ListBullet"/>
      </w:pPr>
      <w:r>
        <w:t>Required software-development and testing effort.</w:t>
      </w:r>
    </w:p>
    <w:p>
      <w:pPr>
        <w:pStyle w:val="ListBullet"/>
      </w:pPr>
      <w:r>
        <w:t>Availability of equipment, personnel, and test facilities.</w:t>
      </w:r>
    </w:p>
    <w:p>
      <w:pPr>
        <w:pStyle w:val="ListBullet"/>
      </w:pPr>
      <w:r>
        <w:t>Dependencies on other vendors.</w:t>
      </w:r>
    </w:p>
    <w:p>
      <w:pPr>
        <w:pStyle w:val="ListBullet"/>
      </w:pPr>
      <w:r>
        <w:t>Site readiness and installation constraints.</w:t>
      </w:r>
    </w:p>
    <w:p>
      <w:pPr>
        <w:pStyle w:val="ListBullet"/>
      </w:pPr>
      <w:r>
        <w:t>The time required for verification and approval.</w:t>
      </w:r>
    </w:p>
    <w:p>
      <w:r>
        <w:t>If a target date is missed, update the register and escalate the delay as required. Do not silently change the date to conceal overdue work.</w:t>
      </w:r>
    </w:p>
    <w:p>
      <w:pPr>
        <w:pStyle w:val="Heading3"/>
      </w:pPr>
      <w:r>
        <w:t>8.3 Dependency management</w:t>
      </w:r>
    </w:p>
    <w:p>
      <w:r>
        <w:t>Example:</w:t>
      </w:r>
    </w:p>
    <w:p>
      <w:pPr>
        <w:shd w:val="clear" w:color="auto" w:fill="F4F4F4"/>
        <w:spacing w:before="0" w:after="0" w:line="240" w:lineRule="auto"/>
        <w:ind w:left="216" w:right="216"/>
        <w:jc w:val="left"/>
      </w:pPr>
      <w:r>
        <w:rPr>
          <w:rFonts w:ascii="Consolas" w:hAnsi="Consolas"/>
          <w:color w:val="202020"/>
          <w:sz w:val="18"/>
        </w:rPr>
        <w:t>Punch point: Final as-built electrical drawing</w:t>
      </w:r>
    </w:p>
    <w:p>
      <w:pPr>
        <w:shd w:val="clear" w:color="auto" w:fill="F4F4F4"/>
        <w:spacing w:before="0" w:after="0" w:line="240" w:lineRule="auto"/>
        <w:ind w:left="216" w:right="216"/>
        <w:jc w:val="left"/>
      </w:pPr>
      <w:r>
        <w:rPr>
          <w:rFonts w:ascii="Consolas" w:hAnsi="Consolas"/>
          <w:color w:val="202020"/>
          <w:sz w:val="18"/>
        </w:rPr>
        <w:t>Dependency 1: Approved wiring changes incorporated</w:t>
      </w:r>
    </w:p>
    <w:p>
      <w:pPr>
        <w:shd w:val="clear" w:color="auto" w:fill="F4F4F4"/>
        <w:spacing w:before="0" w:after="0" w:line="240" w:lineRule="auto"/>
        <w:ind w:left="216" w:right="216"/>
        <w:jc w:val="left"/>
      </w:pPr>
      <w:r>
        <w:rPr>
          <w:rFonts w:ascii="Consolas" w:hAnsi="Consolas"/>
          <w:color w:val="202020"/>
          <w:sz w:val="18"/>
        </w:rPr>
        <w:t>Dependency 2: Terminal references checked</w:t>
      </w:r>
    </w:p>
    <w:p>
      <w:pPr>
        <w:shd w:val="clear" w:color="auto" w:fill="F4F4F4"/>
        <w:spacing w:before="0" w:after="0" w:line="240" w:lineRule="auto"/>
        <w:ind w:left="216" w:right="216"/>
        <w:jc w:val="left"/>
      </w:pPr>
      <w:r>
        <w:rPr>
          <w:rFonts w:ascii="Consolas" w:hAnsi="Consolas"/>
          <w:color w:val="202020"/>
          <w:sz w:val="18"/>
        </w:rPr>
        <w:t>Dependency 3: Revision reviewed by responsible engineer</w:t>
      </w:r>
    </w:p>
    <w:p>
      <w:pPr>
        <w:shd w:val="clear" w:color="auto" w:fill="F4F4F4"/>
        <w:spacing w:before="0" w:after="0" w:line="240" w:lineRule="auto"/>
        <w:ind w:left="216" w:right="216"/>
        <w:jc w:val="left"/>
      </w:pPr>
      <w:r>
        <w:rPr>
          <w:rFonts w:ascii="Consolas" w:hAnsi="Consolas"/>
          <w:color w:val="202020"/>
          <w:sz w:val="18"/>
        </w:rPr>
        <w:t>Closure evidence: Released drawing with controlled revision</w:t>
      </w:r>
    </w:p>
    <w:p/>
    <w:p>
      <w:r>
        <w:t>Dependencies should be explicit. A document cannot be finalized accurately if the underlying installation or configuration is still changing.</w:t>
      </w:r>
    </w:p>
    <w:p>
      <w:pPr>
        <w:pStyle w:val="Heading2"/>
      </w:pPr>
      <w:r>
        <w:t>9. FAT Acceptance and Deferred Punch Points</w:t>
      </w:r>
    </w:p>
    <w:p>
      <w:r>
        <w:t>Not all projects require every minor item to be closed before every milestone. However, deferral must follow the contractual acceptance rules and the project's formal approval process.</w:t>
      </w:r>
    </w:p>
    <w:p>
      <w:pPr>
        <w:pStyle w:val="Heading3"/>
      </w:pPr>
      <w:r>
        <w:t>9.1 Items that normally require resolution before acceptance</w:t>
      </w:r>
    </w:p>
    <w:p>
      <w:r>
        <w:t>Depending on the applicable requirements, these include:</w:t>
      </w:r>
    </w:p>
    <w:p>
      <w:pPr>
        <w:pStyle w:val="ListBullet"/>
      </w:pPr>
      <w:r>
        <w:t>Safety-critical failures.</w:t>
      </w:r>
    </w:p>
    <w:p>
      <w:pPr>
        <w:pStyle w:val="ListBullet"/>
      </w:pPr>
      <w:r>
        <w:t>Mandatory functionality failures.</w:t>
      </w:r>
    </w:p>
    <w:p>
      <w:pPr>
        <w:pStyle w:val="ListBullet"/>
      </w:pPr>
      <w:r>
        <w:t>Failed mandatory performance tests.</w:t>
      </w:r>
    </w:p>
    <w:p>
      <w:pPr>
        <w:pStyle w:val="ListBullet"/>
      </w:pPr>
      <w:r>
        <w:t>Unacceptable product-quality results.</w:t>
      </w:r>
    </w:p>
    <w:p>
      <w:pPr>
        <w:pStyle w:val="ListBullet"/>
      </w:pPr>
      <w:r>
        <w:t>Missing mandatory acceptance evidence.</w:t>
      </w:r>
    </w:p>
    <w:p>
      <w:pPr>
        <w:pStyle w:val="ListBullet"/>
      </w:pPr>
      <w:r>
        <w:t>Unresolved configuration discrepancies that prevent reliable testing.</w:t>
      </w:r>
    </w:p>
    <w:p>
      <w:pPr>
        <w:pStyle w:val="ListBullet"/>
      </w:pPr>
      <w:r>
        <w:t>Any item explicitly defined as acceptance-blocking in the contract or FAT procedure.</w:t>
      </w:r>
    </w:p>
    <w:p>
      <w:pPr>
        <w:pStyle w:val="Heading3"/>
      </w:pPr>
      <w:r>
        <w:t>9.2 Items that may be eligible for deferral</w:t>
      </w:r>
    </w:p>
    <w:p>
      <w:r>
        <w:t>Where explicitly permitted, examples can include:</w:t>
      </w:r>
    </w:p>
    <w:p>
      <w:pPr>
        <w:pStyle w:val="ListBullet"/>
      </w:pPr>
      <w:r>
        <w:t>Noncritical identification or finish corrections.</w:t>
      </w:r>
    </w:p>
    <w:p>
      <w:pPr>
        <w:pStyle w:val="ListBullet"/>
      </w:pPr>
      <w:r>
        <w:t>Minor document updates that do not invalidate the tested configuration.</w:t>
      </w:r>
    </w:p>
    <w:p>
      <w:pPr>
        <w:pStyle w:val="ListBullet"/>
      </w:pPr>
      <w:r>
        <w:t>Site-dependent activities that cannot reasonably be completed at the factory.</w:t>
      </w:r>
    </w:p>
    <w:p>
      <w:pPr>
        <w:pStyle w:val="ListBullet"/>
      </w:pPr>
      <w:r>
        <w:t>Training or handover tasks scheduled for a later authorized milestone.</w:t>
      </w:r>
    </w:p>
    <w:p>
      <w:r>
        <w:t>A project may permit deferral of some items, but the decision must be made by the authorized parties. A supplier cannot unilaterally declare an issue acceptable because it is difficult to resolve before shipment.</w:t>
      </w:r>
    </w:p>
    <w:p>
      <w:pPr>
        <w:pStyle w:val="Heading3"/>
      </w:pPr>
      <w:r>
        <w:t>9.3 Required deferral controls</w:t>
      </w:r>
    </w:p>
    <w:p>
      <w:r>
        <w:t>For each deferred item, record:</w:t>
      </w:r>
    </w:p>
    <w:p>
      <w:pPr>
        <w:pStyle w:val="ListBullet"/>
      </w:pPr>
      <w:r>
        <w:t>Why completion is deferred.</w:t>
      </w:r>
    </w:p>
    <w:p>
      <w:pPr>
        <w:pStyle w:val="ListBullet"/>
      </w:pPr>
      <w:r>
        <w:t>The approved acceptance or contractual basis.</w:t>
      </w:r>
    </w:p>
    <w:p>
      <w:pPr>
        <w:pStyle w:val="ListBullet"/>
      </w:pPr>
      <w:r>
        <w:t>The residual risk and operational restrictions, where applicable.</w:t>
      </w:r>
    </w:p>
    <w:p>
      <w:pPr>
        <w:pStyle w:val="ListBullet"/>
      </w:pPr>
      <w:r>
        <w:t>The responsible owner.</w:t>
      </w:r>
    </w:p>
    <w:p>
      <w:pPr>
        <w:pStyle w:val="ListBullet"/>
      </w:pPr>
      <w:r>
        <w:t>The final completion deadline.</w:t>
      </w:r>
    </w:p>
    <w:p>
      <w:pPr>
        <w:pStyle w:val="ListBullet"/>
      </w:pPr>
      <w:r>
        <w:t>The location or milestone where completion will occur.</w:t>
      </w:r>
    </w:p>
    <w:p>
      <w:pPr>
        <w:pStyle w:val="ListBullet"/>
      </w:pPr>
      <w:r>
        <w:t>The required verification evidence.</w:t>
      </w:r>
    </w:p>
    <w:p>
      <w:pPr>
        <w:pStyle w:val="ListBullet"/>
      </w:pPr>
      <w:r>
        <w:t>The approving authority.</w:t>
      </w:r>
    </w:p>
    <w:p>
      <w:pPr>
        <w:pStyle w:val="ListBullet"/>
      </w:pPr>
      <w:r>
        <w:t>The method for transferring the item to the commissioning or handover register.</w:t>
      </w:r>
    </w:p>
    <w:p>
      <w:r>
        <w:t>A deferred item remains open unless the approved procedure explicitly defines another disposition. Shipment or milestone completion must not be interpreted as proof that every outstanding item is closed.</w:t>
      </w:r>
    </w:p>
    <w:p>
      <w:pPr>
        <w:pStyle w:val="Heading2"/>
      </w:pPr>
      <w:r>
        <w:t>10. Punch-Point Review Meetings</w:t>
      </w:r>
    </w:p>
    <w:p>
      <w:r>
        <w:t>A punch-point review meeting is intended to make decisions and unblock work, not merely read a spreadsheet to people who already have the spreadsheet.</w:t>
      </w:r>
    </w:p>
    <w:p>
      <w:pPr>
        <w:pStyle w:val="Heading3"/>
      </w:pPr>
      <w:r>
        <w:t>10.1 Suggested meeting agenda</w:t>
      </w:r>
    </w:p>
    <w:p>
      <w:pPr>
        <w:tabs>
          <w:tab w:pos="403" w:val="left"/>
        </w:tabs>
        <w:spacing w:after="40" w:line="276" w:lineRule="auto"/>
        <w:ind w:left="403" w:hanging="403"/>
        <w:jc w:val="left"/>
      </w:pPr>
      <w:r>
        <w:rPr>
          <w:color w:val="1A2E4A"/>
        </w:rPr>
        <w:t>1.</w:t>
        <w:tab/>
      </w:r>
      <w:r>
        <w:t>Review newly identified items.</w:t>
      </w:r>
    </w:p>
    <w:p>
      <w:pPr>
        <w:tabs>
          <w:tab w:pos="403" w:val="left"/>
        </w:tabs>
        <w:spacing w:after="40" w:line="276" w:lineRule="auto"/>
        <w:ind w:left="403" w:hanging="403"/>
        <w:jc w:val="left"/>
      </w:pPr>
      <w:r>
        <w:rPr>
          <w:color w:val="1A2E4A"/>
        </w:rPr>
        <w:t>2.</w:t>
        <w:tab/>
      </w:r>
      <w:r>
        <w:t>Address safety-related and acceptance-blocking items first.</w:t>
      </w:r>
    </w:p>
    <w:p>
      <w:pPr>
        <w:tabs>
          <w:tab w:pos="403" w:val="left"/>
        </w:tabs>
        <w:spacing w:after="40" w:line="276" w:lineRule="auto"/>
        <w:ind w:left="403" w:hanging="403"/>
        <w:jc w:val="left"/>
      </w:pPr>
      <w:r>
        <w:rPr>
          <w:color w:val="1A2E4A"/>
        </w:rPr>
        <w:t>3.</w:t>
        <w:tab/>
      </w:r>
      <w:r>
        <w:t>Review overdue items and blocked dependencies.</w:t>
      </w:r>
    </w:p>
    <w:p>
      <w:pPr>
        <w:tabs>
          <w:tab w:pos="403" w:val="left"/>
        </w:tabs>
        <w:spacing w:after="40" w:line="276" w:lineRule="auto"/>
        <w:ind w:left="403" w:hanging="403"/>
        <w:jc w:val="left"/>
      </w:pPr>
      <w:r>
        <w:rPr>
          <w:color w:val="1A2E4A"/>
        </w:rPr>
        <w:t>4.</w:t>
        <w:tab/>
      </w:r>
      <w:r>
        <w:t>Examine items awaiting evidence or verification.</w:t>
      </w:r>
    </w:p>
    <w:p>
      <w:pPr>
        <w:tabs>
          <w:tab w:pos="403" w:val="left"/>
        </w:tabs>
        <w:spacing w:after="40" w:line="276" w:lineRule="auto"/>
        <w:ind w:left="403" w:hanging="403"/>
        <w:jc w:val="left"/>
      </w:pPr>
      <w:r>
        <w:rPr>
          <w:color w:val="1A2E4A"/>
        </w:rPr>
        <w:t>5.</w:t>
        <w:tab/>
      </w:r>
      <w:r>
        <w:t>Resolve ownership disputes.</w:t>
      </w:r>
    </w:p>
    <w:p>
      <w:pPr>
        <w:tabs>
          <w:tab w:pos="403" w:val="left"/>
        </w:tabs>
        <w:spacing w:after="40" w:line="276" w:lineRule="auto"/>
        <w:ind w:left="403" w:hanging="403"/>
        <w:jc w:val="left"/>
      </w:pPr>
      <w:r>
        <w:rPr>
          <w:color w:val="1A2E4A"/>
        </w:rPr>
        <w:t>6.</w:t>
        <w:tab/>
      </w:r>
      <w:r>
        <w:t>Review corrective actions and target dates.</w:t>
      </w:r>
    </w:p>
    <w:p>
      <w:pPr>
        <w:tabs>
          <w:tab w:pos="403" w:val="left"/>
        </w:tabs>
        <w:spacing w:after="40" w:line="276" w:lineRule="auto"/>
        <w:ind w:left="403" w:hanging="403"/>
        <w:jc w:val="left"/>
      </w:pPr>
      <w:r>
        <w:rPr>
          <w:color w:val="1A2E4A"/>
        </w:rPr>
        <w:t>7.</w:t>
        <w:tab/>
      </w:r>
      <w:r>
        <w:t>Decide which items require escalation.</w:t>
      </w:r>
    </w:p>
    <w:p>
      <w:pPr>
        <w:tabs>
          <w:tab w:pos="403" w:val="left"/>
        </w:tabs>
        <w:spacing w:after="40" w:line="276" w:lineRule="auto"/>
        <w:ind w:left="403" w:hanging="403"/>
        <w:jc w:val="left"/>
      </w:pPr>
      <w:r>
        <w:rPr>
          <w:color w:val="1A2E4A"/>
        </w:rPr>
        <w:t>8.</w:t>
        <w:tab/>
      </w:r>
      <w:r>
        <w:t>Evaluate proposed deferrals against project rules.</w:t>
      </w:r>
    </w:p>
    <w:p>
      <w:pPr>
        <w:tabs>
          <w:tab w:pos="403" w:val="left"/>
        </w:tabs>
        <w:spacing w:after="40" w:line="276" w:lineRule="auto"/>
        <w:ind w:left="403" w:hanging="403"/>
        <w:jc w:val="left"/>
      </w:pPr>
      <w:r>
        <w:rPr>
          <w:color w:val="1A2E4A"/>
        </w:rPr>
        <w:t>9.</w:t>
        <w:tab/>
      </w:r>
      <w:r>
        <w:t>Confirm completed items and authorized closures.</w:t>
      </w:r>
    </w:p>
    <w:p>
      <w:pPr>
        <w:tabs>
          <w:tab w:pos="403" w:val="left"/>
        </w:tabs>
        <w:spacing w:after="40" w:line="276" w:lineRule="auto"/>
        <w:ind w:left="403" w:hanging="403"/>
        <w:jc w:val="left"/>
      </w:pPr>
      <w:r>
        <w:rPr>
          <w:color w:val="1A2E4A"/>
        </w:rPr>
        <w:t>10.</w:t>
        <w:tab/>
      </w:r>
      <w:r>
        <w:t>Update the official register and communicate decisions.</w:t>
      </w:r>
    </w:p>
    <w:p>
      <w:pPr>
        <w:pStyle w:val="Heading3"/>
      </w:pPr>
      <w:r>
        <w:t>10.2 Questions to ask for each open item</w:t>
      </w:r>
    </w:p>
    <w:p>
      <w:pPr>
        <w:pStyle w:val="ListBullet"/>
      </w:pPr>
      <w:r>
        <w:t>What exactly remains incomplete?</w:t>
      </w:r>
    </w:p>
    <w:p>
      <w:pPr>
        <w:pStyle w:val="ListBullet"/>
      </w:pPr>
      <w:r>
        <w:t>Which requirement or deliverable governs the item?</w:t>
      </w:r>
    </w:p>
    <w:p>
      <w:pPr>
        <w:pStyle w:val="ListBullet"/>
      </w:pPr>
      <w:r>
        <w:t>What evidence supports the finding?</w:t>
      </w:r>
    </w:p>
    <w:p>
      <w:pPr>
        <w:pStyle w:val="ListBullet"/>
      </w:pPr>
      <w:r>
        <w:t>What action is required?</w:t>
      </w:r>
    </w:p>
    <w:p>
      <w:pPr>
        <w:pStyle w:val="ListBullet"/>
      </w:pPr>
      <w:r>
        <w:t>Who is accountable?</w:t>
      </w:r>
    </w:p>
    <w:p>
      <w:pPr>
        <w:pStyle w:val="ListBullet"/>
      </w:pPr>
      <w:r>
        <w:t>What prevents completion?</w:t>
      </w:r>
    </w:p>
    <w:p>
      <w:pPr>
        <w:pStyle w:val="ListBullet"/>
      </w:pPr>
      <w:r>
        <w:t>What is the agreed target date?</w:t>
      </w:r>
    </w:p>
    <w:p>
      <w:pPr>
        <w:pStyle w:val="ListBullet"/>
      </w:pPr>
      <w:r>
        <w:t>What evidence will prove completion?</w:t>
      </w:r>
    </w:p>
    <w:p>
      <w:pPr>
        <w:pStyle w:val="ListBullet"/>
      </w:pPr>
      <w:r>
        <w:t>Who will verify and approve closure?</w:t>
      </w:r>
    </w:p>
    <w:p>
      <w:pPr>
        <w:pStyle w:val="ListBullet"/>
      </w:pPr>
      <w:r>
        <w:t>Does the item affect FAT acceptance, shipment, installation, or production release?</w:t>
      </w:r>
    </w:p>
    <w:p>
      <w:r>
        <w:t>Meeting minutes should record decisions, owners, deadlines, and escalations. Verbal agreements that never reach the controlled register are difficult to enforce or audit.</w:t>
      </w:r>
    </w:p>
    <w:p>
      <w:pPr>
        <w:pStyle w:val="Heading2"/>
      </w:pPr>
      <w:r>
        <w:t>11. Closure Verification</w:t>
      </w:r>
    </w:p>
    <w:p>
      <w:r>
        <w:t>Closure verification determines whether the completed work satisfies the original requirement.</w:t>
      </w:r>
    </w:p>
    <w:p>
      <w:pPr>
        <w:pStyle w:val="Heading3"/>
      </w:pPr>
      <w:r>
        <w:t>11.1 Examples of acceptable closure evidence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Punch-point type</w:t>
            </w:r>
          </w:p>
        </w:tc>
        <w:tc>
          <w:tcPr>
            <w:tcW w:type="dxa" w:w="5400"/>
            <w:shd w:val="clear" w:color="auto" w:fill="EEF2F7"/>
          </w:tcPr>
          <w:p>
            <w:pPr>
              <w:spacing w:after="0" w:before="0" w:line="240" w:lineRule="auto"/>
              <w:jc w:val="left"/>
            </w:pPr>
            <w:r>
              <w:rPr>
                <w:b/>
                <w:color w:val="1A2E4A"/>
              </w:rPr>
              <w:t>Possible closure evidence</w:t>
            </w:r>
          </w:p>
        </w:tc>
      </w:tr>
      <w:tr>
        <w:tc>
          <w:tcPr>
            <w:tcW w:type="dxa" w:w="5400"/>
          </w:tcPr>
          <w:p>
            <w:pPr>
              <w:spacing w:after="0" w:before="0" w:line="240" w:lineRule="auto"/>
              <w:jc w:val="left"/>
            </w:pPr>
            <w:r>
              <w:t>Missing label</w:t>
            </w:r>
          </w:p>
        </w:tc>
        <w:tc>
          <w:tcPr>
            <w:tcW w:type="dxa" w:w="5400"/>
          </w:tcPr>
          <w:p>
            <w:pPr>
              <w:spacing w:after="0" w:before="0" w:line="240" w:lineRule="auto"/>
              <w:jc w:val="left"/>
            </w:pPr>
            <w:r>
              <w:t>Inspection record or photograph showing the installed label and correct reference</w:t>
            </w:r>
          </w:p>
        </w:tc>
      </w:tr>
      <w:tr>
        <w:tc>
          <w:tcPr>
            <w:tcW w:type="dxa" w:w="5400"/>
          </w:tcPr>
          <w:p>
            <w:pPr>
              <w:spacing w:after="0" w:before="0" w:line="240" w:lineRule="auto"/>
              <w:jc w:val="left"/>
            </w:pPr>
            <w:r>
              <w:t>Drawing correction</w:t>
            </w:r>
          </w:p>
        </w:tc>
        <w:tc>
          <w:tcPr>
            <w:tcW w:type="dxa" w:w="5400"/>
          </w:tcPr>
          <w:p>
            <w:pPr>
              <w:spacing w:after="0" w:before="0" w:line="240" w:lineRule="auto"/>
              <w:jc w:val="left"/>
            </w:pPr>
            <w:r>
              <w:t>Released drawing with controlled revision</w:t>
            </w:r>
          </w:p>
        </w:tc>
      </w:tr>
      <w:tr>
        <w:tc>
          <w:tcPr>
            <w:tcW w:type="dxa" w:w="5400"/>
          </w:tcPr>
          <w:p>
            <w:pPr>
              <w:spacing w:after="0" w:before="0" w:line="240" w:lineRule="auto"/>
              <w:jc w:val="left"/>
            </w:pPr>
            <w:r>
              <w:t>PLC logic correction</w:t>
            </w:r>
          </w:p>
        </w:tc>
        <w:tc>
          <w:tcPr>
            <w:tcW w:type="dxa" w:w="5400"/>
          </w:tcPr>
          <w:p>
            <w:pPr>
              <w:spacing w:after="0" w:before="0" w:line="240" w:lineRule="auto"/>
              <w:jc w:val="left"/>
            </w:pPr>
            <w:r>
              <w:t>Approved software revision and successful test record</w:t>
            </w:r>
          </w:p>
        </w:tc>
      </w:tr>
      <w:tr>
        <w:tc>
          <w:tcPr>
            <w:tcW w:type="dxa" w:w="5400"/>
          </w:tcPr>
          <w:p>
            <w:pPr>
              <w:spacing w:after="0" w:before="0" w:line="240" w:lineRule="auto"/>
              <w:jc w:val="left"/>
            </w:pPr>
            <w:r>
              <w:t>HMI display correction</w:t>
            </w:r>
          </w:p>
        </w:tc>
        <w:tc>
          <w:tcPr>
            <w:tcW w:type="dxa" w:w="5400"/>
          </w:tcPr>
          <w:p>
            <w:pPr>
              <w:spacing w:after="0" w:before="0" w:line="240" w:lineRule="auto"/>
              <w:jc w:val="left"/>
            </w:pPr>
            <w:r>
              <w:t>Test record or screenshot showing the correct display and tag behavior</w:t>
            </w:r>
          </w:p>
        </w:tc>
      </w:tr>
      <w:tr>
        <w:tc>
          <w:tcPr>
            <w:tcW w:type="dxa" w:w="5400"/>
          </w:tcPr>
          <w:p>
            <w:pPr>
              <w:spacing w:after="0" w:before="0" w:line="240" w:lineRule="auto"/>
              <w:jc w:val="left"/>
            </w:pPr>
            <w:r>
              <w:t>Maintenance manual</w:t>
            </w:r>
          </w:p>
        </w:tc>
        <w:tc>
          <w:tcPr>
            <w:tcW w:type="dxa" w:w="5400"/>
          </w:tcPr>
          <w:p>
            <w:pPr>
              <w:spacing w:after="0" w:before="0" w:line="240" w:lineRule="auto"/>
              <w:jc w:val="left"/>
            </w:pPr>
            <w:r>
              <w:t>Controlled document submission and review approval</w:t>
            </w:r>
          </w:p>
        </w:tc>
      </w:tr>
      <w:tr>
        <w:tc>
          <w:tcPr>
            <w:tcW w:type="dxa" w:w="5400"/>
          </w:tcPr>
          <w:p>
            <w:pPr>
              <w:spacing w:after="0" w:before="0" w:line="240" w:lineRule="auto"/>
              <w:jc w:val="left"/>
            </w:pPr>
            <w:r>
              <w:t>Robot backup</w:t>
            </w:r>
          </w:p>
        </w:tc>
        <w:tc>
          <w:tcPr>
            <w:tcW w:type="dxa" w:w="5400"/>
          </w:tcPr>
          <w:p>
            <w:pPr>
              <w:spacing w:after="0" w:before="0" w:line="240" w:lineRule="auto"/>
              <w:jc w:val="left"/>
            </w:pPr>
            <w:r>
              <w:t>Verified backup file, controller identification, program revision, and record of storage</w:t>
            </w:r>
          </w:p>
        </w:tc>
      </w:tr>
      <w:tr>
        <w:tc>
          <w:tcPr>
            <w:tcW w:type="dxa" w:w="5400"/>
          </w:tcPr>
          <w:p>
            <w:pPr>
              <w:spacing w:after="0" w:before="0" w:line="240" w:lineRule="auto"/>
              <w:jc w:val="left"/>
            </w:pPr>
            <w:r>
              <w:t>Training completion</w:t>
            </w:r>
          </w:p>
        </w:tc>
        <w:tc>
          <w:tcPr>
            <w:tcW w:type="dxa" w:w="5400"/>
          </w:tcPr>
          <w:p>
            <w:pPr>
              <w:spacing w:after="0" w:before="0" w:line="240" w:lineRule="auto"/>
              <w:jc w:val="left"/>
            </w:pPr>
            <w:r>
              <w:t>Training attendance and completion record</w:t>
            </w:r>
          </w:p>
        </w:tc>
      </w:tr>
      <w:tr>
        <w:tc>
          <w:tcPr>
            <w:tcW w:type="dxa" w:w="5400"/>
          </w:tcPr>
          <w:p>
            <w:pPr>
              <w:spacing w:after="0" w:before="0" w:line="240" w:lineRule="auto"/>
              <w:jc w:val="left"/>
            </w:pPr>
            <w:r>
              <w:t>Mechanical adjustment</w:t>
            </w:r>
          </w:p>
        </w:tc>
        <w:tc>
          <w:tcPr>
            <w:tcW w:type="dxa" w:w="5400"/>
          </w:tcPr>
          <w:p>
            <w:pPr>
              <w:spacing w:after="0" w:before="0" w:line="240" w:lineRule="auto"/>
              <w:jc w:val="left"/>
            </w:pPr>
            <w:r>
              <w:t>Inspection measurement or functional test result</w:t>
            </w:r>
          </w:p>
        </w:tc>
      </w:tr>
      <w:tr>
        <w:tc>
          <w:tcPr>
            <w:tcW w:type="dxa" w:w="5400"/>
          </w:tcPr>
          <w:p>
            <w:pPr>
              <w:spacing w:after="0" w:before="0" w:line="240" w:lineRule="auto"/>
              <w:jc w:val="left"/>
            </w:pPr>
            <w:r>
              <w:t>Missing test report</w:t>
            </w:r>
          </w:p>
        </w:tc>
        <w:tc>
          <w:tcPr>
            <w:tcW w:type="dxa" w:w="5400"/>
          </w:tcPr>
          <w:p>
            <w:pPr>
              <w:spacing w:after="0" w:before="0" w:line="240" w:lineRule="auto"/>
              <w:jc w:val="left"/>
            </w:pPr>
            <w:r>
              <w:t>Completed and approved report with traceable test results</w:t>
            </w:r>
          </w:p>
        </w:tc>
      </w:tr>
    </w:tbl>
    <w:p/>
    <w:p>
      <w:r>
        <w:t>Evidence must match the nature of the requirement. A photograph can prove that a label exists, but it cannot prove that a PLC interlock operates correctly.</w:t>
      </w:r>
    </w:p>
    <w:p>
      <w:pPr>
        <w:pStyle w:val="Heading3"/>
      </w:pPr>
      <w:r>
        <w:t>11.2 Closure checklist</w:t>
      </w:r>
    </w:p>
    <w:p>
      <w:pPr>
        <w:pStyle w:val="ListBullet"/>
      </w:pPr>
      <w:r>
        <w:t>Required action is complete.</w:t>
      </w:r>
    </w:p>
    <w:p>
      <w:pPr>
        <w:pStyle w:val="ListBullet"/>
      </w:pPr>
      <w:r>
        <w:t>The original requirement has been checked.</w:t>
      </w:r>
    </w:p>
    <w:p>
      <w:pPr>
        <w:pStyle w:val="ListBullet"/>
      </w:pPr>
      <w:r>
        <w:t>Relevant inspection or test has passed.</w:t>
      </w:r>
    </w:p>
    <w:p>
      <w:pPr>
        <w:pStyle w:val="ListBullet"/>
      </w:pPr>
      <w:r>
        <w:t>Required evidence is attached or referenced.</w:t>
      </w:r>
    </w:p>
    <w:p>
      <w:pPr>
        <w:pStyle w:val="ListBullet"/>
      </w:pPr>
      <w:r>
        <w:t>Relevant drawings and controlled documents are updated.</w:t>
      </w:r>
    </w:p>
    <w:p>
      <w:pPr>
        <w:pStyle w:val="ListBullet"/>
      </w:pPr>
      <w:r>
        <w:t>Configuration changes are recorded where applicable.</w:t>
      </w:r>
    </w:p>
    <w:p>
      <w:pPr>
        <w:pStyle w:val="ListBullet"/>
      </w:pPr>
      <w:r>
        <w:t>Dependencies have been resolved.</w:t>
      </w:r>
    </w:p>
    <w:p>
      <w:pPr>
        <w:pStyle w:val="ListBullet"/>
      </w:pPr>
      <w:r>
        <w:t>Authorized verification is complete.</w:t>
      </w:r>
    </w:p>
    <w:p>
      <w:pPr>
        <w:pStyle w:val="ListBullet"/>
      </w:pPr>
      <w:r>
        <w:t>Closure date and approval are recorded.</w:t>
      </w:r>
    </w:p>
    <w:p>
      <w:pPr>
        <w:pStyle w:val="ListBullet"/>
      </w:pPr>
      <w:r>
        <w:t>Related registers are updated if the item transferred between project phases.</w:t>
      </w:r>
    </w:p>
    <w:p>
      <w:pPr>
        <w:pStyle w:val="Heading2"/>
      </w:pPr>
      <w:r>
        <w:t>12. Punch-Point Metrics and Reporting</w:t>
      </w:r>
    </w:p>
    <w:p>
      <w:r>
        <w:t>Punch-point metrics help the project team assess completion progress and identify risks to upcoming milestones.</w:t>
      </w:r>
    </w:p>
    <w:p>
      <w:pPr>
        <w:pStyle w:val="Heading3"/>
      </w:pPr>
      <w:r>
        <w:t>12.1 Open-item count</w:t>
      </w:r>
    </w:p>
    <w:p>
      <w:pPr>
        <w:spacing w:before="120" w:after="160"/>
        <w:jc w:val="center"/>
      </w:pPr>
      <m:oMathPara>
        <m:oMath>
          <m:sSub>
            <m:e>
              <m:r>
                <m:t>N</m:t>
              </m:r>
            </m:e>
            <m:sub>
              <m:r>
                <m:rPr>
                  <m:nor/>
                </m:rPr>
                <m:t>open</m:t>
              </m:r>
            </m:sub>
          </m:sSub>
          <m:r>
            <m:t>=</m:t>
          </m:r>
          <m:r>
            <m:rPr>
              <m:nor/>
            </m:rPr>
            <m:t>Number of items not formally closed</m:t>
          </m:r>
        </m:oMath>
      </m:oMathPara>
    </w:p>
    <w:p>
      <w:r>
        <w:t>The count should include deferred items unless the reporting convention explicitly presents deferred items separately.</w:t>
      </w:r>
    </w:p>
    <w:p>
      <w:pPr>
        <w:pStyle w:val="Heading3"/>
      </w:pPr>
      <w:r>
        <w:t>12.2 Closure rate</w:t>
      </w:r>
    </w:p>
    <w:p>
      <w:pPr>
        <w:spacing w:before="120" w:after="160"/>
        <w:jc w:val="center"/>
      </w:pPr>
      <m:oMathPara>
        <m:oMath>
          <m:r>
            <m:rPr>
              <m:nor/>
            </m:rPr>
            <m:t>Closure rate</m:t>
          </m:r>
          <m:r>
            <m:t>=</m:t>
          </m:r>
          <m:f>
            <m:fPr>
              <m:type m:val="bar"/>
            </m:fPr>
            <m:num>
              <m:sSub>
                <m:e>
                  <m:r>
                    <m:t>N</m:t>
                  </m:r>
                </m:e>
                <m:sub>
                  <m:r>
                    <m:rPr>
                      <m:nor/>
                    </m:rPr>
                    <m:t>closed</m:t>
                  </m:r>
                </m:sub>
              </m:sSub>
            </m:num>
            <m:den>
              <m:sSub>
                <m:e>
                  <m:r>
                    <m:t>N</m:t>
                  </m:r>
                </m:e>
                <m:sub>
                  <m:r>
                    <m:rPr>
                      <m:nor/>
                    </m:rPr>
                    <m:t>recorded</m:t>
                  </m:r>
                </m:sub>
              </m:sSub>
            </m:den>
          </m:f>
          <m:r>
            <m:t>×100</m:t>
          </m:r>
        </m:oMath>
      </m:oMathPara>
    </w:p>
    <w:p>
      <w:r>
        <w:t>Define the reporting population and period consistently. If new items are added during the reporting period, a closure rate can be misleading unless the opening backlog and new entries are also shown.</w:t>
      </w:r>
    </w:p>
    <w:p>
      <w:pPr>
        <w:pStyle w:val="Heading3"/>
      </w:pPr>
      <w:r>
        <w:t>12.3 Overdue count</w:t>
      </w:r>
    </w:p>
    <w:p>
      <w:r>
        <w:t>Count open items whose target dates have passed, according to the project's reporting date and status definitions.</w:t>
      </w:r>
    </w:p>
    <w:p>
      <w:pPr>
        <w:pStyle w:val="Heading3"/>
      </w:pPr>
      <w:r>
        <w:t>12.4 Useful management indicators</w:t>
      </w:r>
    </w:p>
    <w:p>
      <w:pPr>
        <w:pStyle w:val="ListBullet"/>
      </w:pPr>
      <w:r>
        <w:t>Total items raised.</w:t>
      </w:r>
    </w:p>
    <w:p>
      <w:pPr>
        <w:pStyle w:val="ListBullet"/>
      </w:pPr>
      <w:r>
        <w:t>Open, closed, blocked, and deferred items.</w:t>
      </w:r>
    </w:p>
    <w:p>
      <w:pPr>
        <w:pStyle w:val="ListBullet"/>
      </w:pPr>
      <w:r>
        <w:t>Open items by class or severity.</w:t>
      </w:r>
    </w:p>
    <w:p>
      <w:pPr>
        <w:pStyle w:val="ListBullet"/>
      </w:pPr>
      <w:r>
        <w:t>Overdue items by responsible owner.</w:t>
      </w:r>
    </w:p>
    <w:p>
      <w:pPr>
        <w:pStyle w:val="ListBullet"/>
      </w:pPr>
      <w:r>
        <w:t>Items affecting the next acceptance milestone.</w:t>
      </w:r>
    </w:p>
    <w:p>
      <w:pPr>
        <w:pStyle w:val="ListBullet"/>
      </w:pPr>
      <w:r>
        <w:t>Items awaiting verification.</w:t>
      </w:r>
    </w:p>
    <w:p>
      <w:pPr>
        <w:pStyle w:val="ListBullet"/>
      </w:pPr>
      <w:r>
        <w:t>Average age of open items.</w:t>
      </w:r>
    </w:p>
    <w:p>
      <w:pPr>
        <w:pStyle w:val="ListBullet"/>
      </w:pPr>
      <w:r>
        <w:t>Repeatedly rejected closure submissions.</w:t>
      </w:r>
    </w:p>
    <w:p>
      <w:pPr>
        <w:pStyle w:val="ListBullet"/>
      </w:pPr>
      <w:r>
        <w:t>Items transferred from FAT to site commissioning.</w:t>
      </w:r>
    </w:p>
    <w:p>
      <w:pPr>
        <w:pStyle w:val="ListBullet"/>
      </w:pPr>
      <w:r>
        <w:t>Items reopened after apparent closure.</w:t>
      </w:r>
    </w:p>
    <w:p>
      <w:r>
        <w:t>A low open-item count does not automatically mean the project is ready for acceptance. One unresolved safety issue can matter more than dozens of minor items that have already been completed.</w:t>
      </w:r>
    </w:p>
    <w:p>
      <w:pPr>
        <w:pStyle w:val="Heading2"/>
      </w:pPr>
      <w:r>
        <w:t>13. Using Excel or a Digital Register</w:t>
      </w:r>
    </w:p>
    <w:p>
      <w:r>
        <w:t>For a small project, a controlled spreadsheet may be sufficient. Larger projects may use an issue-tracking system, a quality-management platform, or a project-management database.</w:t>
      </w:r>
    </w:p>
    <w:p>
      <w:pPr>
        <w:pStyle w:val="Heading3"/>
      </w:pPr>
      <w:r>
        <w:t>13.1 Recommended spreadsheet structure</w:t>
      </w:r>
    </w:p>
    <w:p>
      <w:r>
        <w:t>Keep one row per punch point and use consistent, controlled fields.</w:t>
      </w:r>
    </w:p>
    <w:p>
      <w:r>
        <w:t>Recommended columns:</w:t>
      </w:r>
    </w:p>
    <w:p>
      <w:pPr>
        <w:shd w:val="clear" w:color="auto" w:fill="F4F4F4"/>
        <w:spacing w:before="0" w:after="0" w:line="240" w:lineRule="auto"/>
        <w:ind w:left="216" w:right="216"/>
        <w:jc w:val="left"/>
      </w:pPr>
      <w:r>
        <w:rPr>
          <w:rFonts w:ascii="Consolas" w:hAnsi="Consolas"/>
          <w:color w:val="202020"/>
          <w:sz w:val="18"/>
        </w:rPr>
        <w:t>PP_ID</w:t>
      </w:r>
    </w:p>
    <w:p>
      <w:pPr>
        <w:shd w:val="clear" w:color="auto" w:fill="F4F4F4"/>
        <w:spacing w:before="0" w:after="0" w:line="240" w:lineRule="auto"/>
        <w:ind w:left="216" w:right="216"/>
        <w:jc w:val="left"/>
      </w:pPr>
      <w:r>
        <w:rPr>
          <w:rFonts w:ascii="Consolas" w:hAnsi="Consolas"/>
          <w:color w:val="202020"/>
          <w:sz w:val="18"/>
        </w:rPr>
        <w:t>DATE_RAISED</w:t>
      </w:r>
    </w:p>
    <w:p>
      <w:pPr>
        <w:shd w:val="clear" w:color="auto" w:fill="F4F4F4"/>
        <w:spacing w:before="0" w:after="0" w:line="240" w:lineRule="auto"/>
        <w:ind w:left="216" w:right="216"/>
        <w:jc w:val="left"/>
      </w:pPr>
      <w:r>
        <w:rPr>
          <w:rFonts w:ascii="Consolas" w:hAnsi="Consolas"/>
          <w:color w:val="202020"/>
          <w:sz w:val="18"/>
        </w:rPr>
        <w:t>EQUIPMENT</w:t>
      </w:r>
    </w:p>
    <w:p>
      <w:pPr>
        <w:shd w:val="clear" w:color="auto" w:fill="F4F4F4"/>
        <w:spacing w:before="0" w:after="0" w:line="240" w:lineRule="auto"/>
        <w:ind w:left="216" w:right="216"/>
        <w:jc w:val="left"/>
      </w:pPr>
      <w:r>
        <w:rPr>
          <w:rFonts w:ascii="Consolas" w:hAnsi="Consolas"/>
          <w:color w:val="202020"/>
          <w:sz w:val="18"/>
        </w:rPr>
        <w:t>CATEGORY</w:t>
      </w:r>
    </w:p>
    <w:p>
      <w:pPr>
        <w:shd w:val="clear" w:color="auto" w:fill="F4F4F4"/>
        <w:spacing w:before="0" w:after="0" w:line="240" w:lineRule="auto"/>
        <w:ind w:left="216" w:right="216"/>
        <w:jc w:val="left"/>
      </w:pPr>
      <w:r>
        <w:rPr>
          <w:rFonts w:ascii="Consolas" w:hAnsi="Consolas"/>
          <w:color w:val="202020"/>
          <w:sz w:val="18"/>
        </w:rPr>
        <w:t>DESCRIPTION</w:t>
      </w:r>
    </w:p>
    <w:p>
      <w:pPr>
        <w:shd w:val="clear" w:color="auto" w:fill="F4F4F4"/>
        <w:spacing w:before="0" w:after="0" w:line="240" w:lineRule="auto"/>
        <w:ind w:left="216" w:right="216"/>
        <w:jc w:val="left"/>
      </w:pPr>
      <w:r>
        <w:rPr>
          <w:rFonts w:ascii="Consolas" w:hAnsi="Consolas"/>
          <w:color w:val="202020"/>
          <w:sz w:val="18"/>
        </w:rPr>
        <w:t>REQUIRED_ACTION</w:t>
      </w:r>
    </w:p>
    <w:p>
      <w:pPr>
        <w:shd w:val="clear" w:color="auto" w:fill="F4F4F4"/>
        <w:spacing w:before="0" w:after="0" w:line="240" w:lineRule="auto"/>
        <w:ind w:left="216" w:right="216"/>
        <w:jc w:val="left"/>
      </w:pPr>
      <w:r>
        <w:rPr>
          <w:rFonts w:ascii="Consolas" w:hAnsi="Consolas"/>
          <w:color w:val="202020"/>
          <w:sz w:val="18"/>
        </w:rPr>
        <w:t>REQUIREMENT_REF</w:t>
      </w:r>
    </w:p>
    <w:p>
      <w:pPr>
        <w:shd w:val="clear" w:color="auto" w:fill="F4F4F4"/>
        <w:spacing w:before="0" w:after="0" w:line="240" w:lineRule="auto"/>
        <w:ind w:left="216" w:right="216"/>
        <w:jc w:val="left"/>
      </w:pPr>
      <w:r>
        <w:rPr>
          <w:rFonts w:ascii="Consolas" w:hAnsi="Consolas"/>
          <w:color w:val="202020"/>
          <w:sz w:val="18"/>
        </w:rPr>
        <w:t>CLASS</w:t>
      </w:r>
    </w:p>
    <w:p>
      <w:pPr>
        <w:shd w:val="clear" w:color="auto" w:fill="F4F4F4"/>
        <w:spacing w:before="0" w:after="0" w:line="240" w:lineRule="auto"/>
        <w:ind w:left="216" w:right="216"/>
        <w:jc w:val="left"/>
      </w:pPr>
      <w:r>
        <w:rPr>
          <w:rFonts w:ascii="Consolas" w:hAnsi="Consolas"/>
          <w:color w:val="202020"/>
          <w:sz w:val="18"/>
        </w:rPr>
        <w:t>OWNER</w:t>
      </w:r>
    </w:p>
    <w:p>
      <w:pPr>
        <w:shd w:val="clear" w:color="auto" w:fill="F4F4F4"/>
        <w:spacing w:before="0" w:after="0" w:line="240" w:lineRule="auto"/>
        <w:ind w:left="216" w:right="216"/>
        <w:jc w:val="left"/>
      </w:pPr>
      <w:r>
        <w:rPr>
          <w:rFonts w:ascii="Consolas" w:hAnsi="Consolas"/>
          <w:color w:val="202020"/>
          <w:sz w:val="18"/>
        </w:rPr>
        <w:t>TARGET_DATE</w:t>
      </w:r>
    </w:p>
    <w:p>
      <w:pPr>
        <w:shd w:val="clear" w:color="auto" w:fill="F4F4F4"/>
        <w:spacing w:before="0" w:after="0" w:line="240" w:lineRule="auto"/>
        <w:ind w:left="216" w:right="216"/>
        <w:jc w:val="left"/>
      </w:pPr>
      <w:r>
        <w:rPr>
          <w:rFonts w:ascii="Consolas" w:hAnsi="Consolas"/>
          <w:color w:val="202020"/>
          <w:sz w:val="18"/>
        </w:rPr>
        <w:t>STATUS</w:t>
      </w:r>
    </w:p>
    <w:p>
      <w:pPr>
        <w:shd w:val="clear" w:color="auto" w:fill="F4F4F4"/>
        <w:spacing w:before="0" w:after="0" w:line="240" w:lineRule="auto"/>
        <w:ind w:left="216" w:right="216"/>
        <w:jc w:val="left"/>
      </w:pPr>
      <w:r>
        <w:rPr>
          <w:rFonts w:ascii="Consolas" w:hAnsi="Consolas"/>
          <w:color w:val="202020"/>
          <w:sz w:val="18"/>
        </w:rPr>
        <w:t>DEPENDENCY</w:t>
      </w:r>
    </w:p>
    <w:p>
      <w:pPr>
        <w:shd w:val="clear" w:color="auto" w:fill="F4F4F4"/>
        <w:spacing w:before="0" w:after="0" w:line="240" w:lineRule="auto"/>
        <w:ind w:left="216" w:right="216"/>
        <w:jc w:val="left"/>
      </w:pPr>
      <w:r>
        <w:rPr>
          <w:rFonts w:ascii="Consolas" w:hAnsi="Consolas"/>
          <w:color w:val="202020"/>
          <w:sz w:val="18"/>
        </w:rPr>
        <w:t>EVIDENCE_REF</w:t>
      </w:r>
    </w:p>
    <w:p>
      <w:pPr>
        <w:shd w:val="clear" w:color="auto" w:fill="F4F4F4"/>
        <w:spacing w:before="0" w:after="0" w:line="240" w:lineRule="auto"/>
        <w:ind w:left="216" w:right="216"/>
        <w:jc w:val="left"/>
      </w:pPr>
      <w:r>
        <w:rPr>
          <w:rFonts w:ascii="Consolas" w:hAnsi="Consolas"/>
          <w:color w:val="202020"/>
          <w:sz w:val="18"/>
        </w:rPr>
        <w:t>VERIFIED_BY</w:t>
      </w:r>
    </w:p>
    <w:p>
      <w:pPr>
        <w:shd w:val="clear" w:color="auto" w:fill="F4F4F4"/>
        <w:spacing w:before="0" w:after="0" w:line="240" w:lineRule="auto"/>
        <w:ind w:left="216" w:right="216"/>
        <w:jc w:val="left"/>
      </w:pPr>
      <w:r>
        <w:rPr>
          <w:rFonts w:ascii="Consolas" w:hAnsi="Consolas"/>
          <w:color w:val="202020"/>
          <w:sz w:val="18"/>
        </w:rPr>
        <w:t>CLOSURE_DATE</w:t>
      </w:r>
    </w:p>
    <w:p>
      <w:pPr>
        <w:shd w:val="clear" w:color="auto" w:fill="F4F4F4"/>
        <w:spacing w:before="0" w:after="0" w:line="240" w:lineRule="auto"/>
        <w:ind w:left="216" w:right="216"/>
        <w:jc w:val="left"/>
      </w:pPr>
      <w:r>
        <w:rPr>
          <w:rFonts w:ascii="Consolas" w:hAnsi="Consolas"/>
          <w:color w:val="202020"/>
          <w:sz w:val="18"/>
        </w:rPr>
        <w:t>REMARKS</w:t>
      </w:r>
    </w:p>
    <w:p/>
    <w:p>
      <w:pPr>
        <w:pStyle w:val="Heading3"/>
      </w:pPr>
      <w:r>
        <w:t>13.2 Useful spreadsheet controls</w:t>
      </w:r>
    </w:p>
    <w:p>
      <w:pPr>
        <w:pStyle w:val="ListBullet"/>
      </w:pPr>
      <w:r>
        <w:t>Unique punch-point IDs.</w:t>
      </w:r>
    </w:p>
    <w:p>
      <w:pPr>
        <w:pStyle w:val="ListBullet"/>
      </w:pPr>
      <w:r>
        <w:t>Dropdowns for status, class, category, and owner.</w:t>
      </w:r>
    </w:p>
    <w:p>
      <w:pPr>
        <w:pStyle w:val="ListBullet"/>
      </w:pPr>
      <w:r>
        <w:t>Date validation for target and closure dates.</w:t>
      </w:r>
    </w:p>
    <w:p>
      <w:pPr>
        <w:pStyle w:val="ListBullet"/>
      </w:pPr>
      <w:r>
        <w:t>Conditional formatting for overdue items.</w:t>
      </w:r>
    </w:p>
    <w:p>
      <w:pPr>
        <w:pStyle w:val="ListBullet"/>
      </w:pPr>
      <w:r>
        <w:t>Filters for equipment, owner, class, and status.</w:t>
      </w:r>
    </w:p>
    <w:p>
      <w:pPr>
        <w:pStyle w:val="ListBullet"/>
      </w:pPr>
      <w:r>
        <w:t>Separate evidence links or document references.</w:t>
      </w:r>
    </w:p>
    <w:p>
      <w:pPr>
        <w:pStyle w:val="ListBullet"/>
      </w:pPr>
      <w:r>
        <w:t>Protected formula cells.</w:t>
      </w:r>
    </w:p>
    <w:p>
      <w:pPr>
        <w:pStyle w:val="ListBullet"/>
      </w:pPr>
      <w:r>
        <w:t>Controlled revision and access permissions.</w:t>
      </w:r>
    </w:p>
    <w:p>
      <w:pPr>
        <w:pStyle w:val="ListBullet"/>
      </w:pPr>
      <w:r>
        <w:t>A change history or audit trail where required.</w:t>
      </w:r>
    </w:p>
    <w:p>
      <w:pPr>
        <w:pStyle w:val="ListBullet"/>
      </w:pPr>
      <w:r>
        <w:t>A summary dashboard that reconciles with the underlying register.</w:t>
      </w:r>
    </w:p>
    <w:p>
      <w:r>
        <w:t>Avoid maintaining multiple uncontrolled copies of the same register. If vendor and customer copies are necessary, define which register is authoritative and how revisions are synchronized.</w:t>
      </w:r>
    </w:p>
    <w:p>
      <w:pPr>
        <w:pStyle w:val="Heading3"/>
      </w:pPr>
      <w:r>
        <w:t>13.3 Example overdue logic</w:t>
      </w:r>
    </w:p>
    <w:p>
      <w:r>
        <w:t>An item can be considered overdue when its target date is earlier than the reporting date and its status is not closed or otherwise excluded by the approved reporting rules.</w:t>
      </w:r>
    </w:p>
    <w:p>
      <w:r>
        <w:t xml:space="preserve">In Excel, a simple illustrative formula using a table named </w:t>
      </w:r>
      <w:r>
        <w:rPr>
          <w:rFonts w:ascii="Consolas" w:hAnsi="Consolas"/>
          <w:color w:val="333333"/>
          <w:sz w:val="19"/>
          <w:shd w:val="clear" w:color="auto" w:fill="EFEFEF"/>
        </w:rPr>
        <w:t>PunchPoints</w:t>
      </w:r>
      <w:r>
        <w:t xml:space="preserve"> could be:</w:t>
      </w:r>
    </w:p>
    <w:p>
      <w:pPr>
        <w:shd w:val="clear" w:color="auto" w:fill="F4F4F4"/>
        <w:spacing w:before="0" w:after="0" w:line="240" w:lineRule="auto"/>
        <w:ind w:left="216" w:right="216"/>
        <w:jc w:val="left"/>
      </w:pPr>
      <w:r>
        <w:rPr>
          <w:rFonts w:ascii="Consolas" w:hAnsi="Consolas"/>
          <w:color w:val="202020"/>
          <w:sz w:val="18"/>
        </w:rPr>
        <w:t>=IF(AND([@TARGET_DATE]&lt;TODAY(),[@STATUS]&lt;&gt;"Closed"),"Overdue","On Track")</w:t>
      </w:r>
    </w:p>
    <w:p/>
    <w:p>
      <w:r>
        <w:t>Adapt the formula if the project treats approved deferrals, cancelled items, or other statuses differently. This formula is a reporting aid, not a replacement for the formal acceptance process.</w:t>
      </w:r>
    </w:p>
    <w:p>
      <w:pPr>
        <w:pStyle w:val="Heading2"/>
      </w:pPr>
      <w:r>
        <w:t>14. Common Mistakes in Punch-Point Management</w:t>
      </w:r>
    </w:p>
    <w:p>
      <w:pPr>
        <w:pStyle w:val="ListBullet"/>
      </w:pPr>
      <w:r>
        <w:t>Using vague descriptions that do not define a verifiable action.</w:t>
      </w:r>
    </w:p>
    <w:p>
      <w:pPr>
        <w:pStyle w:val="ListBullet"/>
      </w:pPr>
      <w:r>
        <w:t>Failing to identify the requirement or deliverable involved.</w:t>
      </w:r>
    </w:p>
    <w:p>
      <w:pPr>
        <w:pStyle w:val="ListBullet"/>
      </w:pPr>
      <w:r>
        <w:t>Assigning multiple owners without one accountable lead.</w:t>
      </w:r>
    </w:p>
    <w:p>
      <w:pPr>
        <w:pStyle w:val="ListBullet"/>
      </w:pPr>
      <w:r>
        <w:t>Treating a completed action as automatically closed.</w:t>
      </w:r>
    </w:p>
    <w:p>
      <w:pPr>
        <w:pStyle w:val="ListBullet"/>
      </w:pPr>
      <w:r>
        <w:t>Accepting a photograph when functional testing is required.</w:t>
      </w:r>
    </w:p>
    <w:p>
      <w:pPr>
        <w:pStyle w:val="ListBullet"/>
      </w:pPr>
      <w:r>
        <w:t>Allowing deferred items to lose their original IDs and history.</w:t>
      </w:r>
    </w:p>
    <w:p>
      <w:pPr>
        <w:pStyle w:val="ListBullet"/>
      </w:pPr>
      <w:r>
        <w:t>Closing items without required authorization.</w:t>
      </w:r>
    </w:p>
    <w:p>
      <w:pPr>
        <w:pStyle w:val="ListBullet"/>
      </w:pPr>
      <w:r>
        <w:t>Moving unresolved defects to a punch list to reduce the apparent defect count.</w:t>
      </w:r>
    </w:p>
    <w:p>
      <w:pPr>
        <w:pStyle w:val="ListBullet"/>
      </w:pPr>
      <w:r>
        <w:t>Treating all minor-looking issues as safe to defer.</w:t>
      </w:r>
    </w:p>
    <w:p>
      <w:pPr>
        <w:pStyle w:val="ListBullet"/>
      </w:pPr>
      <w:r>
        <w:t>Failing to transfer site-dependent items to commissioning.</w:t>
      </w:r>
    </w:p>
    <w:p>
      <w:pPr>
        <w:pStyle w:val="ListBullet"/>
      </w:pPr>
      <w:r>
        <w:t>Keeping different register versions without revision control.</w:t>
      </w:r>
    </w:p>
    <w:p>
      <w:pPr>
        <w:pStyle w:val="ListBullet"/>
      </w:pPr>
      <w:r>
        <w:t>Changing target dates without recording the decision.</w:t>
      </w:r>
    </w:p>
    <w:p>
      <w:pPr>
        <w:pStyle w:val="ListBullet"/>
      </w:pPr>
      <w:r>
        <w:t>Ignoring overdue dependencies.</w:t>
      </w:r>
    </w:p>
    <w:p>
      <w:pPr>
        <w:pStyle w:val="ListBullet"/>
      </w:pPr>
      <w:r>
        <w:t>Closing documentation items without verifying the applicable revision.</w:t>
      </w:r>
    </w:p>
    <w:p>
      <w:pPr>
        <w:pStyle w:val="ListBullet"/>
      </w:pPr>
      <w:r>
        <w:t>Treating FAT completion as automatic authorization for shipment or production release.</w:t>
      </w:r>
    </w:p>
    <w:p>
      <w:pPr>
        <w:pStyle w:val="Heading2"/>
      </w:pPr>
      <w:r>
        <w:t>15. Practical Example: Punch Point From FAT to Handover</w:t>
      </w:r>
    </w:p>
    <w:p>
      <w:r>
        <w:t>Consider a machine whose noncritical panel identification labels are incomplete at the end of FAT.</w:t>
      </w:r>
    </w:p>
    <w:p>
      <w:pPr>
        <w:pStyle w:val="Heading3"/>
      </w:pPr>
      <w:r>
        <w:t>Step 1: Identify the item</w:t>
      </w:r>
    </w:p>
    <w:p>
      <w:r>
        <w:t>During panel inspection, several terminal labels are found missing compared with the approved electrical drawing.</w:t>
      </w:r>
    </w:p>
    <w:p>
      <w:pPr>
        <w:pStyle w:val="Heading3"/>
      </w:pPr>
      <w:r>
        <w:t>Step 2: Record the punch point</w:t>
      </w:r>
    </w:p>
    <w:p>
      <w:r>
        <w:t>Create a unique ID, identify the panel and terminal references, state the required action, and attach the inspection evidence.</w:t>
      </w:r>
    </w:p>
    <w:p>
      <w:pPr>
        <w:pStyle w:val="Heading3"/>
      </w:pPr>
      <w:r>
        <w:t>Step 3: Assess the impact</w:t>
      </w:r>
    </w:p>
    <w:p>
      <w:r>
        <w:t>Confirm that the issue does not conceal an unresolved wiring discrepancy or create a safety or electrical hazard. If the missing labels prevent safe identification or violate a mandatory requirement, the impact must be assessed accordingly rather than assumed to be minor.</w:t>
      </w:r>
    </w:p>
    <w:p>
      <w:pPr>
        <w:pStyle w:val="Heading3"/>
      </w:pPr>
      <w:r>
        <w:t>Step 4: Assign ownership</w:t>
      </w:r>
    </w:p>
    <w:p>
      <w:r>
        <w:t>Assign the panel builder or responsible electrical contractor, with an agreed target date.</w:t>
      </w:r>
    </w:p>
    <w:p>
      <w:pPr>
        <w:pStyle w:val="Heading3"/>
      </w:pPr>
      <w:r>
        <w:t>Step 5: Complete the work</w:t>
      </w:r>
    </w:p>
    <w:p>
      <w:r>
        <w:t>Install the correct labels and check the references against the approved drawing.</w:t>
      </w:r>
    </w:p>
    <w:p>
      <w:pPr>
        <w:pStyle w:val="Heading3"/>
      </w:pPr>
      <w:r>
        <w:t>Step 6: Verify closure</w:t>
      </w:r>
    </w:p>
    <w:p>
      <w:r>
        <w:t>Inspect the completed labels and retain evidence. Confirm that the correct drawing revision was used.</w:t>
      </w:r>
    </w:p>
    <w:p>
      <w:pPr>
        <w:pStyle w:val="Heading3"/>
      </w:pPr>
      <w:r>
        <w:t>Step 7: Close or transfer</w:t>
      </w:r>
    </w:p>
    <w:p>
      <w:r>
        <w:t>If the work is complete and accepted, close the item. If completion is formally permitted after FAT, record the authorized deferral, responsible owner, deadline, and receiving milestone.</w:t>
      </w:r>
    </w:p>
    <w:p>
      <w:r>
        <w:t>The same workflow applies to software backups, maintenance documents, and other outstanding deliverables, although the evidence and verification method will differ.</w:t>
      </w:r>
    </w:p>
    <w:p>
      <w:pPr>
        <w:pStyle w:val="Heading2"/>
      </w:pPr>
      <w:r>
        <w:t>16. Interview Questions and Answers</w:t>
      </w:r>
    </w:p>
    <w:p>
      <w:r>
        <w:t>1\. What is a punch-point list?</w:t>
      </w:r>
    </w:p>
    <w:p>
      <w:r>
        <w:t>A controlled register of outstanding items requiring completion, correction, verification, or formal disposition before a defined project milestone.</w:t>
      </w:r>
    </w:p>
    <w:p>
      <w:r>
        <w:t>2\. How is a punch-point list different from a defect list?</w:t>
      </w:r>
    </w:p>
    <w:p>
      <w:r>
        <w:t>A defect list primarily tracks failures and nonconformities. A punch-point list tracks outstanding work more broadly, including defects, missing documents, incomplete installation details, and pending verification activities.</w:t>
      </w:r>
    </w:p>
    <w:p>
      <w:r>
        <w:t>3\. What is a Class A punch point?</w:t>
      </w:r>
    </w:p>
    <w:p>
      <w:r>
        <w:t>In a project using the illustrative A/B/C classification described here, it represents a critical or acceptance-blocking item. The actual meaning must be confirmed from the project's classification procedure.</w:t>
      </w:r>
    </w:p>
    <w:p>
      <w:r>
        <w:t>4\. Can punch points remain open after FAT?</w:t>
      </w:r>
    </w:p>
    <w:p>
      <w:r>
        <w:t>Only when the applicable contract and acceptance procedure permit it and the item receives an authorized disposition. The owner, deadline, required evidence, and receiving milestone must be recorded.</w:t>
      </w:r>
    </w:p>
    <w:p>
      <w:r>
        <w:t>5\. What is the difference between completed and closed?</w:t>
      </w:r>
    </w:p>
    <w:p>
      <w:r>
        <w:t>Completed means the assigned work has been performed. Closed means the required verification and authorization have been completed.</w:t>
      </w:r>
    </w:p>
    <w:p>
      <w:r>
        <w:t>6\. Who should close a punch point?</w:t>
      </w:r>
    </w:p>
    <w:p>
      <w:r>
        <w:t>The person authorized by the project procedure, typically after reviewing the completion evidence and confirming that the original requirement has been met.</w:t>
      </w:r>
    </w:p>
    <w:p>
      <w:r>
        <w:t>7\. How do you handle an overdue punch point?</w:t>
      </w:r>
    </w:p>
    <w:p>
      <w:r>
        <w:t>Verify its current status, determine the cause of delay, confirm the owner and revised recovery plan, assess milestone impact, and escalate according to project rules. Any target-date change should be documented.</w:t>
      </w:r>
    </w:p>
    <w:p>
      <w:r>
        <w:t>8\. How do you prevent punch points from being forgotten during commissioning?</w:t>
      </w:r>
    </w:p>
    <w:p>
      <w:r>
        <w:t>Maintain unique IDs, preserve the original records, explicitly transfer site-dependent items into the commissioning register, assign receiving owners, and verify that the transferred items remain visible in milestone reports.</w:t>
      </w:r>
    </w:p>
    <w:p>
      <w:r>
        <w:t>9\. Can a safety issue be deferred as a minor punch point?</w:t>
      </w:r>
    </w:p>
    <w:p>
      <w:r>
        <w:t>Not merely for convenience or schedule reasons. Safety-related issues must be evaluated under the applicable safety and acceptance requirements. Any restriction on acceptance or operation must be respected.</w:t>
      </w:r>
    </w:p>
    <w:p>
      <w:r>
        <w:t>10\. What is the most important feature of a good punch-point register?</w:t>
      </w:r>
    </w:p>
    <w:p>
      <w:r>
        <w:t>Every item has a clear description, accountable owner, agreed deadline, defined acceptance impact, objective closure evidence, and authorized disposition.</w:t>
      </w:r>
    </w:p>
    <w:p>
      <w:pPr>
        <w:pStyle w:val="Heading2"/>
      </w:pPr>
      <w:r>
        <w:t>NEXT TOPIC</w:t>
      </w:r>
    </w:p>
    <w:p>
      <w:r>
        <w:rPr>
          <w:rFonts w:ascii="Consolas" w:hAnsi="Consolas"/>
          <w:color w:val="333333"/>
          <w:sz w:val="19"/>
          <w:shd w:val="clear" w:color="auto" w:fill="EFEFEF"/>
        </w:rPr>
        <w:t>02_PLAN_WISE_2026\02_INDUSTRY3_0\11_FAT\05_FAT_Report - FAT report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02_PLAN_WISE_2026\02_INDUSTRY3_0\11_FAT\04_Punch_Points - Punch points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