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Final Acceptance and Handover</w:t>
      </w:r>
    </w:p>
    <w:p>
      <w:pPr>
        <w:pStyle w:val="Heading2"/>
      </w:pPr>
      <w:r>
        <w:t>1. Definition of Final Acceptance and Handover</w:t>
      </w:r>
    </w:p>
    <w:p>
      <w:r>
        <w:t>Final acceptance is the formal confirmation that a machine, automation system, or project has satisfied the applicable contractual, technical, functional, safety, performance, and documentation requirements, subject to any formally permitted outstanding items.</w:t>
      </w:r>
    </w:p>
    <w:p>
      <w:r>
        <w:t>Handover is the controlled transfer of the accepted system, its documentation, configuration records, operational responsibilities, and maintenance responsibilities to the designated receiving team.</w:t>
      </w:r>
    </w:p>
    <w:p>
      <w:r>
        <w:t>In industrial automation, completing SAT does not automatically mean that final acceptance and handover are complete. Test results may still require review, documents may remain outstanding, and operational ownership may not yet have been formally transferred.</w:t>
      </w:r>
    </w:p>
    <w:p>
      <w:r>
        <w:t>For example, an automotive production station may complete all required SAT cycles successfully. However, if the final PLC backup is missing, safety validation records are incomplete, or unresolved critical defects remain, the station may not be ready for unconditional final acceptance.</w:t>
      </w:r>
    </w:p>
    <w:p>
      <w:r>
        <w:t>The central principle is that a system should be accepted and handed over based on verified evidence, defined responsibilities, and formal approval, not merely because it is running.</w:t>
      </w:r>
    </w:p>
    <w:p>
      <w:pPr>
        <w:pStyle w:val="Heading2"/>
      </w:pPr>
      <w:r>
        <w:t>2. Why Final Acceptance and Handover Matter</w:t>
      </w:r>
    </w:p>
    <w:p>
      <w:r>
        <w:t>Final acceptance establishes the technical and contractual status of the delivered system. Handover ensures that the receiving organization can operate, maintain, troubleshoot, and recover the system after the commissioning team leaves.</w:t>
      </w:r>
    </w:p>
    <w:p>
      <w:r>
        <w:t>The main objectives are to:</w:t>
      </w:r>
    </w:p>
    <w:p>
      <w:pPr>
        <w:pStyle w:val="ListBullet"/>
      </w:pPr>
      <w:r>
        <w:t>Confirm that the agreed scope of supply has been delivered.</w:t>
      </w:r>
    </w:p>
    <w:p>
      <w:pPr>
        <w:pStyle w:val="ListBullet"/>
      </w:pPr>
      <w:r>
        <w:t>Verify completion of required FAT, SAT, safety, functional, performance, and other applicable tests.</w:t>
      </w:r>
    </w:p>
    <w:p>
      <w:pPr>
        <w:pStyle w:val="ListBullet"/>
      </w:pPr>
      <w:r>
        <w:t>Confirm that deviations and punch-points are resolved or formally dispositioned.</w:t>
      </w:r>
    </w:p>
    <w:p>
      <w:pPr>
        <w:pStyle w:val="ListBullet"/>
      </w:pPr>
      <w:r>
        <w:t>Verify that final as-built documents and software backups are available.</w:t>
      </w:r>
    </w:p>
    <w:p>
      <w:pPr>
        <w:pStyle w:val="ListBullet"/>
      </w:pPr>
      <w:r>
        <w:t>Transfer operational knowledge to production and maintenance teams.</w:t>
      </w:r>
    </w:p>
    <w:p>
      <w:pPr>
        <w:pStyle w:val="ListBullet"/>
      </w:pPr>
      <w:r>
        <w:t>Establish ownership of the equipment and its associated records.</w:t>
      </w:r>
    </w:p>
    <w:p>
      <w:pPr>
        <w:pStyle w:val="ListBullet"/>
      </w:pPr>
      <w:r>
        <w:t>Confirm that required training, spare parts, licenses, and support arrangements are in place.</w:t>
      </w:r>
    </w:p>
    <w:p>
      <w:pPr>
        <w:pStyle w:val="ListBullet"/>
      </w:pPr>
      <w:r>
        <w:t>Record formal acceptance, conditions, exclusions, and outstanding obligations.</w:t>
      </w:r>
    </w:p>
    <w:p>
      <w:pPr>
        <w:pStyle w:val="ListBullet"/>
      </w:pPr>
      <w:r>
        <w:t>Establish a clear starting point for ongoing maintenance and lifecycle management.</w:t>
      </w:r>
    </w:p>
    <w:p>
      <w:r>
        <w:t>Without a controlled handover, the receiving team can inherit a working machine without knowing its approved configuration, known limitations, recovery procedure, or unresolved risks.</w:t>
      </w:r>
    </w:p>
    <w:p>
      <w:pPr>
        <w:pStyle w:val="Heading2"/>
      </w:pPr>
      <w:r>
        <w:t>3. Position in the Commissioning Lifecycle</w:t>
      </w:r>
    </w:p>
    <w:p>
      <w:r>
        <w:t>Final acceptance and handover normally follow the required commissioning and acceptance activities.</w:t>
      </w:r>
    </w:p>
    <w:p>
      <w:pPr>
        <w:shd w:val="clear" w:color="auto" w:fill="F4F4F4"/>
        <w:spacing w:before="0" w:after="0" w:line="240" w:lineRule="auto"/>
        <w:ind w:left="216" w:right="216"/>
        <w:jc w:val="left"/>
      </w:pPr>
      <w:r>
        <w:rPr>
          <w:rFonts w:ascii="Consolas" w:hAnsi="Consolas"/>
          <w:color w:val="202020"/>
          <w:sz w:val="18"/>
        </w:rPr>
        <w:t>Engineering and Procurement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Pre-Power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and Factory Corrections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Execution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Functional and Safety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Performance, and Stability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Punch-Point Review and Final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Acceptance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Operational and Maintenance Handover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Routine Production and Lifecycle Support</w:t>
      </w:r>
    </w:p>
    <w:p/>
    <w:p>
      <w:r>
        <w:t>This is a typical sequence, not a universal contractual order. Some organizations transfer operational control earlier under a staged or conditional handover process.</w:t>
      </w:r>
    </w:p>
    <w:p>
      <w:pPr>
        <w:pStyle w:val="Heading2"/>
      </w:pPr>
      <w:r>
        <w:t>4. Final Acceptance Versus Handover</w:t>
      </w:r>
    </w:p>
    <w:p>
      <w:r>
        <w:t>These activities are related but distinct.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Final acceptance</w:t>
            </w:r>
          </w:p>
        </w:tc>
        <w:tc>
          <w:tcPr>
            <w:tcW w:type="dxa" w:w="3600"/>
            <w:shd w:val="clear" w:color="auto" w:fill="EEF2F7"/>
          </w:tcPr>
          <w:p>
            <w:pPr>
              <w:spacing w:after="0" w:before="0" w:line="240" w:lineRule="auto"/>
              <w:jc w:val="left"/>
            </w:pPr>
            <w:r>
              <w:rPr>
                <w:b/>
                <w:color w:val="1A2E4A"/>
              </w:rPr>
              <w:t>Handover</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Formally determine whether the defined acceptance requirements have been met</w:t>
            </w:r>
          </w:p>
        </w:tc>
        <w:tc>
          <w:tcPr>
            <w:tcW w:type="dxa" w:w="3600"/>
          </w:tcPr>
          <w:p>
            <w:pPr>
              <w:spacing w:after="0" w:before="0" w:line="240" w:lineRule="auto"/>
              <w:jc w:val="left"/>
            </w:pPr>
            <w:r>
              <w:t>Transfer the system and its associated responsibilities and deliverables</w:t>
            </w:r>
          </w:p>
        </w:tc>
      </w:tr>
      <w:tr>
        <w:tc>
          <w:tcPr>
            <w:tcW w:type="dxa" w:w="3600"/>
          </w:tcPr>
          <w:p>
            <w:pPr>
              <w:spacing w:after="0" w:before="0" w:line="240" w:lineRule="auto"/>
              <w:jc w:val="left"/>
            </w:pPr>
            <w:r>
              <w:t>Primary focus</w:t>
            </w:r>
          </w:p>
        </w:tc>
        <w:tc>
          <w:tcPr>
            <w:tcW w:type="dxa" w:w="3600"/>
          </w:tcPr>
          <w:p>
            <w:pPr>
              <w:spacing w:after="0" w:before="0" w:line="240" w:lineRule="auto"/>
              <w:jc w:val="left"/>
            </w:pPr>
            <w:r>
              <w:t>Compliance, test evidence, deviations, and acceptance status</w:t>
            </w:r>
          </w:p>
        </w:tc>
        <w:tc>
          <w:tcPr>
            <w:tcW w:type="dxa" w:w="3600"/>
          </w:tcPr>
          <w:p>
            <w:pPr>
              <w:spacing w:after="0" w:before="0" w:line="240" w:lineRule="auto"/>
              <w:jc w:val="left"/>
            </w:pPr>
            <w:r>
              <w:t>Ownership, operating readiness, maintenance readiness, and information transfer</w:t>
            </w:r>
          </w:p>
        </w:tc>
      </w:tr>
      <w:tr>
        <w:tc>
          <w:tcPr>
            <w:tcW w:type="dxa" w:w="3600"/>
          </w:tcPr>
          <w:p>
            <w:pPr>
              <w:spacing w:after="0" w:before="0" w:line="240" w:lineRule="auto"/>
              <w:jc w:val="left"/>
            </w:pPr>
            <w:r>
              <w:t>Typical evidence</w:t>
            </w:r>
          </w:p>
        </w:tc>
        <w:tc>
          <w:tcPr>
            <w:tcW w:type="dxa" w:w="3600"/>
          </w:tcPr>
          <w:p>
            <w:pPr>
              <w:spacing w:after="0" w:before="0" w:line="240" w:lineRule="auto"/>
              <w:jc w:val="left"/>
            </w:pPr>
            <w:r>
              <w:t>SAT reports, acceptance matrix, test results, deviation dispositions</w:t>
            </w:r>
          </w:p>
        </w:tc>
        <w:tc>
          <w:tcPr>
            <w:tcW w:type="dxa" w:w="3600"/>
          </w:tcPr>
          <w:p>
            <w:pPr>
              <w:spacing w:after="0" w:before="0" w:line="240" w:lineRule="auto"/>
              <w:jc w:val="left"/>
            </w:pPr>
            <w:r>
              <w:t>Handover certificate, document register, backups, training records, asset records</w:t>
            </w:r>
          </w:p>
        </w:tc>
      </w:tr>
      <w:tr>
        <w:tc>
          <w:tcPr>
            <w:tcW w:type="dxa" w:w="3600"/>
          </w:tcPr>
          <w:p>
            <w:pPr>
              <w:spacing w:after="0" w:before="0" w:line="240" w:lineRule="auto"/>
              <w:jc w:val="left"/>
            </w:pPr>
            <w:r>
              <w:t>Responsible parties</w:t>
            </w:r>
          </w:p>
        </w:tc>
        <w:tc>
          <w:tcPr>
            <w:tcW w:type="dxa" w:w="3600"/>
          </w:tcPr>
          <w:p>
            <w:pPr>
              <w:spacing w:after="0" w:before="0" w:line="240" w:lineRule="auto"/>
              <w:jc w:val="left"/>
            </w:pPr>
            <w:r>
              <w:t>Authorized customer, project, engineering, quality, and supplier representatives as defined by contract</w:t>
            </w:r>
          </w:p>
        </w:tc>
        <w:tc>
          <w:tcPr>
            <w:tcW w:type="dxa" w:w="3600"/>
          </w:tcPr>
          <w:p>
            <w:pPr>
              <w:spacing w:after="0" w:before="0" w:line="240" w:lineRule="auto"/>
              <w:jc w:val="left"/>
            </w:pPr>
            <w:r>
              <w:t>Designated receiving organization and authorized transferring parties</w:t>
            </w:r>
          </w:p>
        </w:tc>
      </w:tr>
      <w:tr>
        <w:tc>
          <w:tcPr>
            <w:tcW w:type="dxa" w:w="3600"/>
          </w:tcPr>
          <w:p>
            <w:pPr>
              <w:spacing w:after="0" w:before="0" w:line="240" w:lineRule="auto"/>
              <w:jc w:val="left"/>
            </w:pPr>
            <w:r>
              <w:t>Outstanding items</w:t>
            </w:r>
          </w:p>
        </w:tc>
        <w:tc>
          <w:tcPr>
            <w:tcW w:type="dxa" w:w="3600"/>
          </w:tcPr>
          <w:p>
            <w:pPr>
              <w:spacing w:after="0" w:before="0" w:line="240" w:lineRule="auto"/>
              <w:jc w:val="left"/>
            </w:pPr>
            <w:r>
              <w:t>Evaluated against acceptance criteria and contractual rules</w:t>
            </w:r>
          </w:p>
        </w:tc>
        <w:tc>
          <w:tcPr>
            <w:tcW w:type="dxa" w:w="3600"/>
          </w:tcPr>
          <w:p>
            <w:pPr>
              <w:spacing w:after="0" w:before="0" w:line="240" w:lineRule="auto"/>
              <w:jc w:val="left"/>
            </w:pPr>
            <w:r>
              <w:t>Assigned to responsible owners with clear obligations and due dates</w:t>
            </w:r>
          </w:p>
        </w:tc>
      </w:tr>
      <w:tr>
        <w:tc>
          <w:tcPr>
            <w:tcW w:type="dxa" w:w="3600"/>
          </w:tcPr>
          <w:p>
            <w:pPr>
              <w:spacing w:after="0" w:before="0" w:line="240" w:lineRule="auto"/>
              <w:jc w:val="left"/>
            </w:pPr>
            <w:r>
              <w:t>Outcome</w:t>
            </w:r>
          </w:p>
        </w:tc>
        <w:tc>
          <w:tcPr>
            <w:tcW w:type="dxa" w:w="3600"/>
          </w:tcPr>
          <w:p>
            <w:pPr>
              <w:spacing w:after="0" w:before="0" w:line="240" w:lineRule="auto"/>
              <w:jc w:val="left"/>
            </w:pPr>
            <w:r>
              <w:t>Formal acceptance status and any applicable conditions</w:t>
            </w:r>
          </w:p>
        </w:tc>
        <w:tc>
          <w:tcPr>
            <w:tcW w:type="dxa" w:w="3600"/>
          </w:tcPr>
          <w:p>
            <w:pPr>
              <w:spacing w:after="0" w:before="0" w:line="240" w:lineRule="auto"/>
              <w:jc w:val="left"/>
            </w:pPr>
            <w:r>
              <w:t>Confirmed transfer of the agreed equipment, records, and responsibilities</w:t>
            </w:r>
          </w:p>
        </w:tc>
      </w:tr>
    </w:tbl>
    <w:p/>
    <w:p>
      <w:r>
        <w:t>A project may define acceptance and handover as one combined event or as separate milestones. The governing contract and site procedure determine the actual process.</w:t>
      </w:r>
    </w:p>
    <w:p>
      <w:pPr>
        <w:pStyle w:val="Heading2"/>
      </w:pPr>
      <w:r>
        <w:t>5. Conditions Required Before Final Acceptance</w:t>
      </w:r>
    </w:p>
    <w:p>
      <w:r>
        <w:t>Final acceptance should be evaluated against an agreed acceptance matrix or equivalent controlled process.</w:t>
      </w:r>
    </w:p>
    <w:p>
      <w:r>
        <w:t>Typical prerequisites include the following.</w:t>
      </w:r>
    </w:p>
    <w:p>
      <w:pPr>
        <w:pStyle w:val="Heading3"/>
      </w:pPr>
      <w:r>
        <w:t>5.1 Technical completion</w:t>
      </w:r>
    </w:p>
    <w:p>
      <w:pPr>
        <w:pStyle w:val="ListBullet"/>
      </w:pPr>
      <w:r>
        <w:t>The agreed equipment and scope have been delivered.</w:t>
      </w:r>
    </w:p>
    <w:p>
      <w:pPr>
        <w:pStyle w:val="ListBullet"/>
      </w:pPr>
      <w:r>
        <w:t>Installation and commissioning activities are complete.</w:t>
      </w:r>
    </w:p>
    <w:p>
      <w:pPr>
        <w:pStyle w:val="ListBullet"/>
      </w:pPr>
      <w:r>
        <w:t>Required machine functions operate correctly.</w:t>
      </w:r>
    </w:p>
    <w:p>
      <w:pPr>
        <w:pStyle w:val="ListBullet"/>
      </w:pPr>
      <w:r>
        <w:t>Required sequences and interlocks have been verified.</w:t>
      </w:r>
    </w:p>
    <w:p>
      <w:pPr>
        <w:pStyle w:val="ListBullet"/>
      </w:pPr>
      <w:r>
        <w:t>Performance and cycle-time requirements have been tested.</w:t>
      </w:r>
    </w:p>
    <w:p>
      <w:pPr>
        <w:pStyle w:val="ListBullet"/>
      </w:pPr>
      <w:r>
        <w:t>Stability and reliability tests are complete where required.</w:t>
      </w:r>
    </w:p>
    <w:p>
      <w:pPr>
        <w:pStyle w:val="ListBullet"/>
      </w:pPr>
      <w:r>
        <w:t>Interfaces with upstream and downstream equipment operate as specified.</w:t>
      </w:r>
    </w:p>
    <w:p>
      <w:pPr>
        <w:pStyle w:val="ListBullet"/>
      </w:pPr>
      <w:r>
        <w:t>Known defects have been evaluated and dispositioned.</w:t>
      </w:r>
    </w:p>
    <w:p>
      <w:pPr>
        <w:pStyle w:val="Heading3"/>
      </w:pPr>
      <w:r>
        <w:t>5.2 Safety completion</w:t>
      </w:r>
    </w:p>
    <w:p>
      <w:pPr>
        <w:pStyle w:val="ListBullet"/>
      </w:pPr>
      <w:r>
        <w:t>Required safety functions have been validated.</w:t>
      </w:r>
    </w:p>
    <w:p>
      <w:pPr>
        <w:pStyle w:val="ListBullet"/>
      </w:pPr>
      <w:r>
        <w:t>Emergency-stop and guard-related functions have been tested.</w:t>
      </w:r>
    </w:p>
    <w:p>
      <w:pPr>
        <w:pStyle w:val="ListBullet"/>
      </w:pPr>
      <w:r>
        <w:t>Safety-related configurations match the approved design.</w:t>
      </w:r>
    </w:p>
    <w:p>
      <w:pPr>
        <w:pStyle w:val="ListBullet"/>
      </w:pPr>
      <w:r>
        <w:t>Required risk-reduction measures are implemented.</w:t>
      </w:r>
    </w:p>
    <w:p>
      <w:pPr>
        <w:pStyle w:val="ListBullet"/>
      </w:pPr>
      <w:r>
        <w:t>Safety-related punch-points have been resolved through the applicable process.</w:t>
      </w:r>
    </w:p>
    <w:p>
      <w:pPr>
        <w:pStyle w:val="ListBullet"/>
      </w:pPr>
      <w:r>
        <w:t>Required safety records and approvals are available.</w:t>
      </w:r>
    </w:p>
    <w:p>
      <w:r>
        <w:t>Safety-critical deficiencies must not be treated as ordinary administrative punch-points. Acceptance cannot override applicable legal requirements or required safety controls.</w:t>
      </w:r>
    </w:p>
    <w:p>
      <w:pPr>
        <w:pStyle w:val="Heading3"/>
      </w:pPr>
      <w:r>
        <w:t>5.3 Documentation completion</w:t>
      </w:r>
    </w:p>
    <w:p>
      <w:pPr>
        <w:pStyle w:val="ListBullet"/>
      </w:pPr>
      <w:r>
        <w:t>Final as-built drawings are available.</w:t>
      </w:r>
    </w:p>
    <w:p>
      <w:pPr>
        <w:pStyle w:val="ListBullet"/>
      </w:pPr>
      <w:r>
        <w:t>Required PLC, HMI, drive, robot, and CNC backups are verified.</w:t>
      </w:r>
    </w:p>
    <w:p>
      <w:pPr>
        <w:pStyle w:val="ListBullet"/>
      </w:pPr>
      <w:r>
        <w:t>Operating and maintenance manuals are delivered.</w:t>
      </w:r>
    </w:p>
    <w:p>
      <w:pPr>
        <w:pStyle w:val="ListBullet"/>
      </w:pPr>
      <w:r>
        <w:t>Required calibration and inspection records are available.</w:t>
      </w:r>
    </w:p>
    <w:p>
      <w:pPr>
        <w:pStyle w:val="ListBullet"/>
      </w:pPr>
      <w:r>
        <w:t>FAT and SAT reports are complete.</w:t>
      </w:r>
    </w:p>
    <w:p>
      <w:pPr>
        <w:pStyle w:val="ListBullet"/>
      </w:pPr>
      <w:r>
        <w:t>Software versions and configuration records are identified.</w:t>
      </w:r>
    </w:p>
    <w:p>
      <w:pPr>
        <w:pStyle w:val="ListBullet"/>
      </w:pPr>
      <w:r>
        <w:t>Spare-parts information is available.</w:t>
      </w:r>
    </w:p>
    <w:p>
      <w:pPr>
        <w:pStyle w:val="ListBullet"/>
      </w:pPr>
      <w:r>
        <w:t>Required training records are complete.</w:t>
      </w:r>
    </w:p>
    <w:p>
      <w:pPr>
        <w:pStyle w:val="ListBullet"/>
      </w:pPr>
      <w:r>
        <w:t>Outstanding document discrepancies have been formally dispositioned.</w:t>
      </w:r>
    </w:p>
    <w:p>
      <w:pPr>
        <w:pStyle w:val="Heading3"/>
      </w:pPr>
      <w:r>
        <w:t>5.4 Operational readiness</w:t>
      </w:r>
    </w:p>
    <w:p>
      <w:pPr>
        <w:pStyle w:val="ListBullet"/>
      </w:pPr>
      <w:r>
        <w:t>Production personnel understand the operating sequence.</w:t>
      </w:r>
    </w:p>
    <w:p>
      <w:pPr>
        <w:pStyle w:val="ListBullet"/>
      </w:pPr>
      <w:r>
        <w:t>Maintenance personnel understand routine maintenance and troubleshooting.</w:t>
      </w:r>
    </w:p>
    <w:p>
      <w:pPr>
        <w:pStyle w:val="ListBullet"/>
      </w:pPr>
      <w:r>
        <w:t>Required tools and diagnostic software are available.</w:t>
      </w:r>
    </w:p>
    <w:p>
      <w:pPr>
        <w:pStyle w:val="ListBullet"/>
      </w:pPr>
      <w:r>
        <w:t>Recovery and escalation procedures are established.</w:t>
      </w:r>
    </w:p>
    <w:p>
      <w:pPr>
        <w:pStyle w:val="ListBullet"/>
      </w:pPr>
      <w:r>
        <w:t>Consumables and critical spare parts are available as required.</w:t>
      </w:r>
    </w:p>
    <w:p>
      <w:pPr>
        <w:pStyle w:val="ListBullet"/>
      </w:pPr>
      <w:r>
        <w:t>Required software licenses and access arrangements are in place.</w:t>
      </w:r>
    </w:p>
    <w:p>
      <w:pPr>
        <w:pStyle w:val="ListBullet"/>
      </w:pPr>
      <w:r>
        <w:t>Responsibilities for production, maintenance, engineering, and supplier support are defined.</w:t>
      </w:r>
    </w:p>
    <w:p>
      <w:r>
        <w:t>Not every project requires every item. The approved contract, acceptance matrix, risk assessment, and site procedures determine the mandatory prerequisites.</w:t>
      </w:r>
    </w:p>
    <w:p>
      <w:pPr>
        <w:pStyle w:val="Heading2"/>
      </w:pPr>
      <w:r>
        <w:t>6. Final Acceptance Criteria and Acceptance Matrix</w:t>
      </w:r>
    </w:p>
    <w:p>
      <w:r>
        <w:t>An acceptance matrix connects each requirement to the evidence needed to demonstrate compliance.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Verification evidence</w:t>
            </w:r>
          </w:p>
        </w:tc>
        <w:tc>
          <w:tcPr>
            <w:tcW w:type="dxa" w:w="3600"/>
            <w:shd w:val="clear" w:color="auto" w:fill="EEF2F7"/>
          </w:tcPr>
          <w:p>
            <w:pPr>
              <w:spacing w:after="0" w:before="0" w:line="240" w:lineRule="auto"/>
              <w:jc w:val="left"/>
            </w:pPr>
            <w:r>
              <w:rPr>
                <w:b/>
                <w:color w:val="1A2E4A"/>
              </w:rPr>
              <w:t>Typical decision</w:t>
            </w:r>
          </w:p>
        </w:tc>
      </w:tr>
      <w:tr>
        <w:tc>
          <w:tcPr>
            <w:tcW w:type="dxa" w:w="3600"/>
          </w:tcPr>
          <w:p>
            <w:pPr>
              <w:spacing w:after="0" w:before="0" w:line="240" w:lineRule="auto"/>
              <w:jc w:val="left"/>
            </w:pPr>
            <w:r>
              <w:t>Functional operation</w:t>
            </w:r>
          </w:p>
        </w:tc>
        <w:tc>
          <w:tcPr>
            <w:tcW w:type="dxa" w:w="3600"/>
          </w:tcPr>
          <w:p>
            <w:pPr>
              <w:spacing w:after="0" w:before="0" w:line="240" w:lineRule="auto"/>
              <w:jc w:val="left"/>
            </w:pPr>
            <w:r>
              <w:t>Approved functional test results</w:t>
            </w:r>
          </w:p>
        </w:tc>
        <w:tc>
          <w:tcPr>
            <w:tcW w:type="dxa" w:w="3600"/>
          </w:tcPr>
          <w:p>
            <w:pPr>
              <w:spacing w:after="0" w:before="0" w:line="240" w:lineRule="auto"/>
              <w:jc w:val="left"/>
            </w:pPr>
            <w:r>
              <w:t>Pass if required functions meet acceptance criteria</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 validation and required test records</w:t>
            </w:r>
          </w:p>
        </w:tc>
        <w:tc>
          <w:tcPr>
            <w:tcW w:type="dxa" w:w="3600"/>
          </w:tcPr>
          <w:p>
            <w:pPr>
              <w:spacing w:after="0" w:before="0" w:line="240" w:lineRule="auto"/>
              <w:jc w:val="left"/>
            </w:pPr>
            <w:r>
              <w:t>Pass only when required safety criteria are satisfied</w:t>
            </w:r>
          </w:p>
        </w:tc>
      </w:tr>
      <w:tr>
        <w:tc>
          <w:tcPr>
            <w:tcW w:type="dxa" w:w="3600"/>
          </w:tcPr>
          <w:p>
            <w:pPr>
              <w:spacing w:after="0" w:before="0" w:line="240" w:lineRule="auto"/>
              <w:jc w:val="left"/>
            </w:pPr>
            <w:r>
              <w:t>Cycle time</w:t>
            </w:r>
          </w:p>
        </w:tc>
        <w:tc>
          <w:tcPr>
            <w:tcW w:type="dxa" w:w="3600"/>
          </w:tcPr>
          <w:p>
            <w:pPr>
              <w:spacing w:after="0" w:before="0" w:line="240" w:lineRule="auto"/>
              <w:jc w:val="left"/>
            </w:pPr>
            <w:r>
              <w:t>Recorded cycle-time results</w:t>
            </w:r>
          </w:p>
        </w:tc>
        <w:tc>
          <w:tcPr>
            <w:tcW w:type="dxa" w:w="3600"/>
          </w:tcPr>
          <w:p>
            <w:pPr>
              <w:spacing w:after="0" w:before="0" w:line="240" w:lineRule="auto"/>
              <w:jc w:val="left"/>
            </w:pPr>
            <w:r>
              <w:t>Pass if required timing limits are met</w:t>
            </w:r>
          </w:p>
        </w:tc>
      </w:tr>
      <w:tr>
        <w:tc>
          <w:tcPr>
            <w:tcW w:type="dxa" w:w="3600"/>
          </w:tcPr>
          <w:p>
            <w:pPr>
              <w:spacing w:after="0" w:before="0" w:line="240" w:lineRule="auto"/>
              <w:jc w:val="left"/>
            </w:pPr>
            <w:r>
              <w:t>Production performance</w:t>
            </w:r>
          </w:p>
        </w:tc>
        <w:tc>
          <w:tcPr>
            <w:tcW w:type="dxa" w:w="3600"/>
          </w:tcPr>
          <w:p>
            <w:pPr>
              <w:spacing w:after="0" w:before="0" w:line="240" w:lineRule="auto"/>
              <w:jc w:val="left"/>
            </w:pPr>
            <w:r>
              <w:t>Defined production trial and output records</w:t>
            </w:r>
          </w:p>
        </w:tc>
        <w:tc>
          <w:tcPr>
            <w:tcW w:type="dxa" w:w="3600"/>
          </w:tcPr>
          <w:p>
            <w:pPr>
              <w:spacing w:after="0" w:before="0" w:line="240" w:lineRule="auto"/>
              <w:jc w:val="left"/>
            </w:pPr>
            <w:r>
              <w:t>Pass if specified performance requirements are achieved</w:t>
            </w:r>
          </w:p>
        </w:tc>
      </w:tr>
      <w:tr>
        <w:tc>
          <w:tcPr>
            <w:tcW w:type="dxa" w:w="3600"/>
          </w:tcPr>
          <w:p>
            <w:pPr>
              <w:spacing w:after="0" w:before="0" w:line="240" w:lineRule="auto"/>
              <w:jc w:val="left"/>
            </w:pPr>
            <w:r>
              <w:t>Stability</w:t>
            </w:r>
          </w:p>
        </w:tc>
        <w:tc>
          <w:tcPr>
            <w:tcW w:type="dxa" w:w="3600"/>
          </w:tcPr>
          <w:p>
            <w:pPr>
              <w:spacing w:after="0" w:before="0" w:line="240" w:lineRule="auto"/>
              <w:jc w:val="left"/>
            </w:pPr>
            <w:r>
              <w:t>Recorded trends and defined observation results</w:t>
            </w:r>
          </w:p>
        </w:tc>
        <w:tc>
          <w:tcPr>
            <w:tcW w:type="dxa" w:w="3600"/>
          </w:tcPr>
          <w:p>
            <w:pPr>
              <w:spacing w:after="0" w:before="0" w:line="240" w:lineRule="auto"/>
              <w:jc w:val="left"/>
            </w:pPr>
            <w:r>
              <w:t>Pass if the applicable stability criteria are met</w:t>
            </w:r>
          </w:p>
        </w:tc>
      </w:tr>
      <w:tr>
        <w:tc>
          <w:tcPr>
            <w:tcW w:type="dxa" w:w="3600"/>
          </w:tcPr>
          <w:p>
            <w:pPr>
              <w:spacing w:after="0" w:before="0" w:line="240" w:lineRule="auto"/>
              <w:jc w:val="left"/>
            </w:pPr>
            <w:r>
              <w:t>Reliability</w:t>
            </w:r>
          </w:p>
        </w:tc>
        <w:tc>
          <w:tcPr>
            <w:tcW w:type="dxa" w:w="3600"/>
          </w:tcPr>
          <w:p>
            <w:pPr>
              <w:spacing w:after="0" w:before="0" w:line="240" w:lineRule="auto"/>
              <w:jc w:val="left"/>
            </w:pPr>
            <w:r>
              <w:t>Required operating duration and failure records</w:t>
            </w:r>
          </w:p>
        </w:tc>
        <w:tc>
          <w:tcPr>
            <w:tcW w:type="dxa" w:w="3600"/>
          </w:tcPr>
          <w:p>
            <w:pPr>
              <w:spacing w:after="0" w:before="0" w:line="240" w:lineRule="auto"/>
              <w:jc w:val="left"/>
            </w:pPr>
            <w:r>
              <w:t>Pass if the defined reliability criteria are met</w:t>
            </w:r>
          </w:p>
        </w:tc>
      </w:tr>
      <w:tr>
        <w:tc>
          <w:tcPr>
            <w:tcW w:type="dxa" w:w="3600"/>
          </w:tcPr>
          <w:p>
            <w:pPr>
              <w:spacing w:after="0" w:before="0" w:line="240" w:lineRule="auto"/>
              <w:jc w:val="left"/>
            </w:pPr>
            <w:r>
              <w:t>Electrical installation</w:t>
            </w:r>
          </w:p>
        </w:tc>
        <w:tc>
          <w:tcPr>
            <w:tcW w:type="dxa" w:w="3600"/>
          </w:tcPr>
          <w:p>
            <w:pPr>
              <w:spacing w:after="0" w:before="0" w:line="240" w:lineRule="auto"/>
              <w:jc w:val="left"/>
            </w:pPr>
            <w:r>
              <w:t>Inspection records and approved drawings</w:t>
            </w:r>
          </w:p>
        </w:tc>
        <w:tc>
          <w:tcPr>
            <w:tcW w:type="dxa" w:w="3600"/>
          </w:tcPr>
          <w:p>
            <w:pPr>
              <w:spacing w:after="0" w:before="0" w:line="240" w:lineRule="auto"/>
              <w:jc w:val="left"/>
            </w:pPr>
            <w:r>
              <w:t>Pass if installation and documentation requirements are satisfied</w:t>
            </w:r>
          </w:p>
        </w:tc>
      </w:tr>
      <w:tr>
        <w:tc>
          <w:tcPr>
            <w:tcW w:type="dxa" w:w="3600"/>
          </w:tcPr>
          <w:p>
            <w:pPr>
              <w:spacing w:after="0" w:before="0" w:line="240" w:lineRule="auto"/>
              <w:jc w:val="left"/>
            </w:pPr>
            <w:r>
              <w:t>Software configuration</w:t>
            </w:r>
          </w:p>
        </w:tc>
        <w:tc>
          <w:tcPr>
            <w:tcW w:type="dxa" w:w="3600"/>
          </w:tcPr>
          <w:p>
            <w:pPr>
              <w:spacing w:after="0" w:before="0" w:line="240" w:lineRule="auto"/>
              <w:jc w:val="left"/>
            </w:pPr>
            <w:r>
              <w:t>Approved backups and configuration evidence</w:t>
            </w:r>
          </w:p>
        </w:tc>
        <w:tc>
          <w:tcPr>
            <w:tcW w:type="dxa" w:w="3600"/>
          </w:tcPr>
          <w:p>
            <w:pPr>
              <w:spacing w:after="0" w:before="0" w:line="240" w:lineRule="auto"/>
              <w:jc w:val="left"/>
            </w:pPr>
            <w:r>
              <w:t>Pass if the final configuration is identified and verified</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Completed deliverables register</w:t>
            </w:r>
          </w:p>
        </w:tc>
        <w:tc>
          <w:tcPr>
            <w:tcW w:type="dxa" w:w="3600"/>
          </w:tcPr>
          <w:p>
            <w:pPr>
              <w:spacing w:after="0" w:before="0" w:line="240" w:lineRule="auto"/>
              <w:jc w:val="left"/>
            </w:pPr>
            <w:r>
              <w:t>Pass if required deliverables meet the applicable criteria</w:t>
            </w:r>
          </w:p>
        </w:tc>
      </w:tr>
      <w:tr>
        <w:tc>
          <w:tcPr>
            <w:tcW w:type="dxa" w:w="3600"/>
          </w:tcPr>
          <w:p>
            <w:pPr>
              <w:spacing w:after="0" w:before="0" w:line="240" w:lineRule="auto"/>
              <w:jc w:val="left"/>
            </w:pPr>
            <w:r>
              <w:t>Training</w:t>
            </w:r>
          </w:p>
        </w:tc>
        <w:tc>
          <w:tcPr>
            <w:tcW w:type="dxa" w:w="3600"/>
          </w:tcPr>
          <w:p>
            <w:pPr>
              <w:spacing w:after="0" w:before="0" w:line="240" w:lineRule="auto"/>
              <w:jc w:val="left"/>
            </w:pPr>
            <w:r>
              <w:t>Training and competency records</w:t>
            </w:r>
          </w:p>
        </w:tc>
        <w:tc>
          <w:tcPr>
            <w:tcW w:type="dxa" w:w="3600"/>
          </w:tcPr>
          <w:p>
            <w:pPr>
              <w:spacing w:after="0" w:before="0" w:line="240" w:lineRule="auto"/>
              <w:jc w:val="left"/>
            </w:pPr>
            <w:r>
              <w:t>Pass if required training obligations are satisfied</w:t>
            </w:r>
          </w:p>
        </w:tc>
      </w:tr>
      <w:tr>
        <w:tc>
          <w:tcPr>
            <w:tcW w:type="dxa" w:w="3600"/>
          </w:tcPr>
          <w:p>
            <w:pPr>
              <w:spacing w:after="0" w:before="0" w:line="240" w:lineRule="auto"/>
              <w:jc w:val="left"/>
            </w:pPr>
            <w:r>
              <w:t>Spare parts</w:t>
            </w:r>
          </w:p>
        </w:tc>
        <w:tc>
          <w:tcPr>
            <w:tcW w:type="dxa" w:w="3600"/>
          </w:tcPr>
          <w:p>
            <w:pPr>
              <w:spacing w:after="0" w:before="0" w:line="240" w:lineRule="auto"/>
              <w:jc w:val="left"/>
            </w:pPr>
            <w:r>
              <w:t>Approved spare-parts list and delivery records</w:t>
            </w:r>
          </w:p>
        </w:tc>
        <w:tc>
          <w:tcPr>
            <w:tcW w:type="dxa" w:w="3600"/>
          </w:tcPr>
          <w:p>
            <w:pPr>
              <w:spacing w:after="0" w:before="0" w:line="240" w:lineRule="auto"/>
              <w:jc w:val="left"/>
            </w:pPr>
            <w:r>
              <w:t>Pass if the agreed spare-parts obligations are met</w:t>
            </w:r>
          </w:p>
        </w:tc>
      </w:tr>
      <w:tr>
        <w:tc>
          <w:tcPr>
            <w:tcW w:type="dxa" w:w="3600"/>
          </w:tcPr>
          <w:p>
            <w:pPr>
              <w:spacing w:after="0" w:before="0" w:line="240" w:lineRule="auto"/>
              <w:jc w:val="left"/>
            </w:pPr>
            <w:r>
              <w:t>Punch-points</w:t>
            </w:r>
          </w:p>
        </w:tc>
        <w:tc>
          <w:tcPr>
            <w:tcW w:type="dxa" w:w="3600"/>
          </w:tcPr>
          <w:p>
            <w:pPr>
              <w:spacing w:after="0" w:before="0" w:line="240" w:lineRule="auto"/>
              <w:jc w:val="left"/>
            </w:pPr>
            <w:r>
              <w:t>Closure evidence or authorized disposition</w:t>
            </w:r>
          </w:p>
        </w:tc>
        <w:tc>
          <w:tcPr>
            <w:tcW w:type="dxa" w:w="3600"/>
          </w:tcPr>
          <w:p>
            <w:pPr>
              <w:spacing w:after="0" w:before="0" w:line="240" w:lineRule="auto"/>
              <w:jc w:val="left"/>
            </w:pPr>
            <w:r>
              <w:t>Pass if outstanding items are handled according to project rules</w:t>
            </w:r>
          </w:p>
        </w:tc>
      </w:tr>
    </w:tbl>
    <w:p/>
    <w:p>
      <w:r>
        <w:t>A test report stating "PASS" is useful only if the underlying test was performed under the required conditions and the recorded result supports the acceptance decision.</w:t>
      </w:r>
    </w:p>
    <w:p>
      <w:pPr>
        <w:pStyle w:val="Heading2"/>
      </w:pPr>
      <w:r>
        <w:t>7. Punch-Point Classification and Closure</w:t>
      </w:r>
    </w:p>
    <w:p>
      <w:r>
        <w:t>Punch-points are defects, deviations, incomplete work, or outstanding deliverables identified during commissioning, testing, or handover.</w:t>
      </w:r>
    </w:p>
    <w:p>
      <w:r>
        <w:t>They should be classified using the project's approved severity and acceptance rules.</w:t>
      </w:r>
    </w:p>
    <w:p>
      <w:pPr>
        <w:pStyle w:val="Heading3"/>
      </w:pPr>
      <w:r>
        <w:t>7.1 Typical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description</w:t>
            </w:r>
          </w:p>
        </w:tc>
        <w:tc>
          <w:tcPr>
            <w:tcW w:type="dxa" w:w="3600"/>
            <w:shd w:val="clear" w:color="auto" w:fill="EEF2F7"/>
          </w:tcPr>
          <w:p>
            <w:pPr>
              <w:spacing w:after="0" w:before="0" w:line="240" w:lineRule="auto"/>
              <w:jc w:val="left"/>
            </w:pPr>
            <w:r>
              <w:rPr>
                <w:b/>
                <w:color w:val="1A2E4A"/>
              </w:rPr>
              <w:t>Acceptance implications</w:t>
            </w:r>
          </w:p>
        </w:tc>
      </w:tr>
      <w:tr>
        <w:tc>
          <w:tcPr>
            <w:tcW w:type="dxa" w:w="3600"/>
          </w:tcPr>
          <w:p>
            <w:pPr>
              <w:spacing w:after="0" w:before="0" w:line="240" w:lineRule="auto"/>
              <w:jc w:val="left"/>
            </w:pPr>
            <w:r>
              <w:t>Safety-critical</w:t>
            </w:r>
          </w:p>
        </w:tc>
        <w:tc>
          <w:tcPr>
            <w:tcW w:type="dxa" w:w="3600"/>
          </w:tcPr>
          <w:p>
            <w:pPr>
              <w:spacing w:after="0" w:before="0" w:line="240" w:lineRule="auto"/>
              <w:jc w:val="left"/>
            </w:pPr>
            <w:r>
              <w:t>A required safety function is missing, invalid, or fails its acceptance criteria</w:t>
            </w:r>
          </w:p>
        </w:tc>
        <w:tc>
          <w:tcPr>
            <w:tcW w:type="dxa" w:w="3600"/>
          </w:tcPr>
          <w:p>
            <w:pPr>
              <w:spacing w:after="0" w:before="0" w:line="240" w:lineRule="auto"/>
              <w:jc w:val="left"/>
            </w:pPr>
            <w:r>
              <w:t>Requires resolution and appropriate verification before affected operation or acceptance</w:t>
            </w:r>
          </w:p>
        </w:tc>
      </w:tr>
      <w:tr>
        <w:tc>
          <w:tcPr>
            <w:tcW w:type="dxa" w:w="3600"/>
          </w:tcPr>
          <w:p>
            <w:pPr>
              <w:spacing w:after="0" w:before="0" w:line="240" w:lineRule="auto"/>
              <w:jc w:val="left"/>
            </w:pPr>
            <w:r>
              <w:t>Critical functional</w:t>
            </w:r>
          </w:p>
        </w:tc>
        <w:tc>
          <w:tcPr>
            <w:tcW w:type="dxa" w:w="3600"/>
          </w:tcPr>
          <w:p>
            <w:pPr>
              <w:spacing w:after="0" w:before="0" w:line="240" w:lineRule="auto"/>
              <w:jc w:val="left"/>
            </w:pPr>
            <w:r>
              <w:t>A defect prevents required operation or creates an unacceptable risk</w:t>
            </w:r>
          </w:p>
        </w:tc>
        <w:tc>
          <w:tcPr>
            <w:tcW w:type="dxa" w:w="3600"/>
          </w:tcPr>
          <w:p>
            <w:pPr>
              <w:spacing w:after="0" w:before="0" w:line="240" w:lineRule="auto"/>
              <w:jc w:val="left"/>
            </w:pPr>
            <w:r>
              <w:t>Usually blocks acceptance of the affected system until resolved</w:t>
            </w:r>
          </w:p>
        </w:tc>
      </w:tr>
      <w:tr>
        <w:tc>
          <w:tcPr>
            <w:tcW w:type="dxa" w:w="3600"/>
          </w:tcPr>
          <w:p>
            <w:pPr>
              <w:spacing w:after="0" w:before="0" w:line="240" w:lineRule="auto"/>
              <w:jc w:val="left"/>
            </w:pPr>
            <w:r>
              <w:t>Major performance</w:t>
            </w:r>
          </w:p>
        </w:tc>
        <w:tc>
          <w:tcPr>
            <w:tcW w:type="dxa" w:w="3600"/>
          </w:tcPr>
          <w:p>
            <w:pPr>
              <w:spacing w:after="0" w:before="0" w:line="240" w:lineRule="auto"/>
              <w:jc w:val="left"/>
            </w:pPr>
            <w:r>
              <w:t>A requirement such as cycle time, process quality, or accuracy is not met</w:t>
            </w:r>
          </w:p>
        </w:tc>
        <w:tc>
          <w:tcPr>
            <w:tcW w:type="dxa" w:w="3600"/>
          </w:tcPr>
          <w:p>
            <w:pPr>
              <w:spacing w:after="0" w:before="0" w:line="240" w:lineRule="auto"/>
              <w:jc w:val="left"/>
            </w:pPr>
            <w:r>
              <w:t>Acceptance depends on contractual criteria and authorized disposition</w:t>
            </w:r>
          </w:p>
        </w:tc>
      </w:tr>
      <w:tr>
        <w:tc>
          <w:tcPr>
            <w:tcW w:type="dxa" w:w="3600"/>
          </w:tcPr>
          <w:p>
            <w:pPr>
              <w:spacing w:after="0" w:before="0" w:line="240" w:lineRule="auto"/>
              <w:jc w:val="left"/>
            </w:pPr>
            <w:r>
              <w:t>Minor functional</w:t>
            </w:r>
          </w:p>
        </w:tc>
        <w:tc>
          <w:tcPr>
            <w:tcW w:type="dxa" w:w="3600"/>
          </w:tcPr>
          <w:p>
            <w:pPr>
              <w:spacing w:after="0" w:before="0" w:line="240" w:lineRule="auto"/>
              <w:jc w:val="left"/>
            </w:pPr>
            <w:r>
              <w:t>A limited defect that does not invalidate required operation, subject to assessment</w:t>
            </w:r>
          </w:p>
        </w:tc>
        <w:tc>
          <w:tcPr>
            <w:tcW w:type="dxa" w:w="3600"/>
          </w:tcPr>
          <w:p>
            <w:pPr>
              <w:spacing w:after="0" w:before="0" w:line="240" w:lineRule="auto"/>
              <w:jc w:val="left"/>
            </w:pPr>
            <w:r>
              <w:t>May be accepted as outstanding only if permitted and formally approved</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Missing or incorrect drawings, reports, manuals, or configuration records</w:t>
            </w:r>
          </w:p>
        </w:tc>
        <w:tc>
          <w:tcPr>
            <w:tcW w:type="dxa" w:w="3600"/>
          </w:tcPr>
          <w:p>
            <w:pPr>
              <w:spacing w:after="0" w:before="0" w:line="240" w:lineRule="auto"/>
              <w:jc w:val="left"/>
            </w:pPr>
            <w:r>
              <w:t>Must be completed or formally dispositioned according to the deliverables requirements</w:t>
            </w:r>
          </w:p>
        </w:tc>
      </w:tr>
      <w:tr>
        <w:tc>
          <w:tcPr>
            <w:tcW w:type="dxa" w:w="3600"/>
          </w:tcPr>
          <w:p>
            <w:pPr>
              <w:spacing w:after="0" w:before="0" w:line="240" w:lineRule="auto"/>
              <w:jc w:val="left"/>
            </w:pPr>
            <w:r>
              <w:t>Cosmetic</w:t>
            </w:r>
          </w:p>
        </w:tc>
        <w:tc>
          <w:tcPr>
            <w:tcW w:type="dxa" w:w="3600"/>
          </w:tcPr>
          <w:p>
            <w:pPr>
              <w:spacing w:after="0" w:before="0" w:line="240" w:lineRule="auto"/>
              <w:jc w:val="left"/>
            </w:pPr>
            <w:r>
              <w:t>Labeling or finishing issue without an identified functional or safety impact</w:t>
            </w:r>
          </w:p>
        </w:tc>
        <w:tc>
          <w:tcPr>
            <w:tcW w:type="dxa" w:w="3600"/>
          </w:tcPr>
          <w:p>
            <w:pPr>
              <w:spacing w:after="0" w:before="0" w:line="240" w:lineRule="auto"/>
              <w:jc w:val="left"/>
            </w:pPr>
            <w:r>
              <w:t>May be permitted to remain open if the project process allows it</w:t>
            </w:r>
          </w:p>
        </w:tc>
      </w:tr>
    </w:tbl>
    <w:p/>
    <w:p>
      <w:r>
        <w:t>These classifications are illustrative. Actual definitions and acceptance rules must come from the project or site procedure.</w:t>
      </w:r>
    </w:p>
    <w:p>
      <w:pPr>
        <w:pStyle w:val="Heading3"/>
      </w:pPr>
      <w:r>
        <w:t>7.2 Punch-point register</w:t>
      </w:r>
    </w:p>
    <w:p>
      <w:r>
        <w:t>A useful register contains:</w:t>
      </w:r>
    </w:p>
    <w:p>
      <w:pPr>
        <w:pStyle w:val="ListBullet"/>
      </w:pPr>
      <w:r>
        <w:t>Punch-point ID.</w:t>
      </w:r>
    </w:p>
    <w:p>
      <w:pPr>
        <w:pStyle w:val="ListBullet"/>
      </w:pPr>
      <w:r>
        <w:t>Machine, station, or subsystem.</w:t>
      </w:r>
    </w:p>
    <w:p>
      <w:pPr>
        <w:pStyle w:val="ListBullet"/>
      </w:pPr>
      <w:r>
        <w:t>Description of the issue.</w:t>
      </w:r>
    </w:p>
    <w:p>
      <w:pPr>
        <w:pStyle w:val="ListBullet"/>
      </w:pPr>
      <w:r>
        <w:t>Category and priority.</w:t>
      </w:r>
    </w:p>
    <w:p>
      <w:pPr>
        <w:pStyle w:val="ListBullet"/>
      </w:pPr>
      <w:r>
        <w:t>Requirement or drawing reference.</w:t>
      </w:r>
    </w:p>
    <w:p>
      <w:pPr>
        <w:pStyle w:val="ListBullet"/>
      </w:pPr>
      <w:r>
        <w:t>Risk and production impact.</w:t>
      </w:r>
    </w:p>
    <w:p>
      <w:pPr>
        <w:pStyle w:val="ListBullet"/>
      </w:pPr>
      <w:r>
        <w:t>Responsible owner.</w:t>
      </w:r>
    </w:p>
    <w:p>
      <w:pPr>
        <w:pStyle w:val="ListBullet"/>
      </w:pPr>
      <w:r>
        <w:t>Corrective action.</w:t>
      </w:r>
    </w:p>
    <w:p>
      <w:pPr>
        <w:pStyle w:val="ListBullet"/>
      </w:pPr>
      <w:r>
        <w:t>Target completion date.</w:t>
      </w:r>
    </w:p>
    <w:p>
      <w:pPr>
        <w:pStyle w:val="ListBullet"/>
      </w:pPr>
      <w:r>
        <w:t>Retest or inspection requirement.</w:t>
      </w:r>
    </w:p>
    <w:p>
      <w:pPr>
        <w:pStyle w:val="ListBullet"/>
      </w:pPr>
      <w:r>
        <w:t>Closure evidence.</w:t>
      </w:r>
    </w:p>
    <w:p>
      <w:pPr>
        <w:pStyle w:val="ListBullet"/>
      </w:pPr>
      <w:r>
        <w:t>Authorized approval and final status.</w:t>
      </w:r>
    </w:p>
    <w:p>
      <w:pPr>
        <w:pStyle w:val="Heading3"/>
      </w:pPr>
      <w:r>
        <w:t>7.3 Correct closure process</w:t>
      </w:r>
    </w:p>
    <w:p>
      <w:pPr>
        <w:tabs>
          <w:tab w:pos="403" w:val="left"/>
        </w:tabs>
        <w:spacing w:after="40" w:line="276" w:lineRule="auto"/>
        <w:ind w:left="403" w:hanging="403"/>
        <w:jc w:val="left"/>
      </w:pPr>
      <w:r>
        <w:rPr>
          <w:color w:val="1A2E4A"/>
        </w:rPr>
        <w:t>1.</w:t>
        <w:tab/>
      </w:r>
      <w:r>
        <w:t>Record the issue with sufficient technical detail.</w:t>
      </w:r>
    </w:p>
    <w:p>
      <w:pPr>
        <w:tabs>
          <w:tab w:pos="403" w:val="left"/>
        </w:tabs>
        <w:spacing w:after="40" w:line="276" w:lineRule="auto"/>
        <w:ind w:left="403" w:hanging="403"/>
        <w:jc w:val="left"/>
      </w:pPr>
      <w:r>
        <w:rPr>
          <w:color w:val="1A2E4A"/>
        </w:rPr>
        <w:t>2.</w:t>
        <w:tab/>
      </w:r>
      <w:r>
        <w:t>Classify the issue according to the approved procedure.</w:t>
      </w:r>
    </w:p>
    <w:p>
      <w:pPr>
        <w:tabs>
          <w:tab w:pos="403" w:val="left"/>
        </w:tabs>
        <w:spacing w:after="40" w:line="276" w:lineRule="auto"/>
        <w:ind w:left="403" w:hanging="403"/>
        <w:jc w:val="left"/>
      </w:pPr>
      <w:r>
        <w:rPr>
          <w:color w:val="1A2E4A"/>
        </w:rPr>
        <w:t>3.</w:t>
        <w:tab/>
      </w:r>
      <w:r>
        <w:t>Assign a responsible owner and target date.</w:t>
      </w:r>
    </w:p>
    <w:p>
      <w:pPr>
        <w:tabs>
          <w:tab w:pos="403" w:val="left"/>
        </w:tabs>
        <w:spacing w:after="40" w:line="276" w:lineRule="auto"/>
        <w:ind w:left="403" w:hanging="403"/>
        <w:jc w:val="left"/>
      </w:pPr>
      <w:r>
        <w:rPr>
          <w:color w:val="1A2E4A"/>
        </w:rPr>
        <w:t>4.</w:t>
        <w:tab/>
      </w:r>
      <w:r>
        <w:t>Identify the required corrective action.</w:t>
      </w:r>
    </w:p>
    <w:p>
      <w:pPr>
        <w:tabs>
          <w:tab w:pos="403" w:val="left"/>
        </w:tabs>
        <w:spacing w:after="40" w:line="276" w:lineRule="auto"/>
        <w:ind w:left="403" w:hanging="403"/>
        <w:jc w:val="left"/>
      </w:pPr>
      <w:r>
        <w:rPr>
          <w:color w:val="1A2E4A"/>
        </w:rPr>
        <w:t>5.</w:t>
        <w:tab/>
      </w:r>
      <w:r>
        <w:t>Complete the correction under the approved change process.</w:t>
      </w:r>
    </w:p>
    <w:p>
      <w:pPr>
        <w:tabs>
          <w:tab w:pos="403" w:val="left"/>
        </w:tabs>
        <w:spacing w:after="40" w:line="276" w:lineRule="auto"/>
        <w:ind w:left="403" w:hanging="403"/>
        <w:jc w:val="left"/>
      </w:pPr>
      <w:r>
        <w:rPr>
          <w:color w:val="1A2E4A"/>
        </w:rPr>
        <w:t>6.</w:t>
        <w:tab/>
      </w:r>
      <w:r>
        <w:t>Perform the required retest or inspection.</w:t>
      </w:r>
    </w:p>
    <w:p>
      <w:pPr>
        <w:tabs>
          <w:tab w:pos="403" w:val="left"/>
        </w:tabs>
        <w:spacing w:after="40" w:line="276" w:lineRule="auto"/>
        <w:ind w:left="403" w:hanging="403"/>
        <w:jc w:val="left"/>
      </w:pPr>
      <w:r>
        <w:rPr>
          <w:color w:val="1A2E4A"/>
        </w:rPr>
        <w:t>7.</w:t>
        <w:tab/>
      </w:r>
      <w:r>
        <w:t>Attach objective evidence.</w:t>
      </w:r>
    </w:p>
    <w:p>
      <w:pPr>
        <w:tabs>
          <w:tab w:pos="403" w:val="left"/>
        </w:tabs>
        <w:spacing w:after="40" w:line="276" w:lineRule="auto"/>
        <w:ind w:left="403" w:hanging="403"/>
        <w:jc w:val="left"/>
      </w:pPr>
      <w:r>
        <w:rPr>
          <w:color w:val="1A2E4A"/>
        </w:rPr>
        <w:t>8.</w:t>
        <w:tab/>
      </w:r>
      <w:r>
        <w:t>Obtain the required closure approval.</w:t>
      </w:r>
    </w:p>
    <w:p>
      <w:pPr>
        <w:tabs>
          <w:tab w:pos="403" w:val="left"/>
        </w:tabs>
        <w:spacing w:after="40" w:line="276" w:lineRule="auto"/>
        <w:ind w:left="403" w:hanging="403"/>
        <w:jc w:val="left"/>
      </w:pPr>
      <w:r>
        <w:rPr>
          <w:color w:val="1A2E4A"/>
        </w:rPr>
        <w:t>9.</w:t>
        <w:tab/>
      </w:r>
      <w:r>
        <w:t>Update the register and communicate the final status.</w:t>
      </w:r>
    </w:p>
    <w:p>
      <w:r>
        <w:t>A supplier's statement that an issue has been fixed is not equivalent to verified closure when the procedure requires inspection, testing, or customer approval.</w:t>
      </w:r>
    </w:p>
    <w:p>
      <w:pPr>
        <w:pStyle w:val="Heading2"/>
      </w:pPr>
      <w:r>
        <w:t>8. Conditional Acceptance and Outstanding Items</w:t>
      </w:r>
    </w:p>
    <w:p>
      <w:r>
        <w:t>Some projects permit conditional acceptance when specified noncritical items remain open. This must be explicitly permitted by the contract or approved project procedure.</w:t>
      </w:r>
    </w:p>
    <w:p>
      <w:r>
        <w:t>Conditional acceptance should identify:</w:t>
      </w:r>
    </w:p>
    <w:p>
      <w:pPr>
        <w:pStyle w:val="ListBullet"/>
      </w:pPr>
      <w:r>
        <w:t>The exact outstanding item.</w:t>
      </w:r>
    </w:p>
    <w:p>
      <w:pPr>
        <w:pStyle w:val="ListBullet"/>
      </w:pPr>
      <w:r>
        <w:t>Why it does not prevent the permitted acceptance stage.</w:t>
      </w:r>
    </w:p>
    <w:p>
      <w:pPr>
        <w:pStyle w:val="ListBullet"/>
      </w:pPr>
      <w:r>
        <w:t>The operational limitations, if any.</w:t>
      </w:r>
    </w:p>
    <w:p>
      <w:pPr>
        <w:pStyle w:val="ListBullet"/>
      </w:pPr>
      <w:r>
        <w:t>The risk assessment and required controls.</w:t>
      </w:r>
    </w:p>
    <w:p>
      <w:pPr>
        <w:pStyle w:val="ListBullet"/>
      </w:pPr>
      <w:r>
        <w:t>The responsible owner.</w:t>
      </w:r>
    </w:p>
    <w:p>
      <w:pPr>
        <w:pStyle w:val="ListBullet"/>
      </w:pPr>
      <w:r>
        <w:t>The completion deadline.</w:t>
      </w:r>
    </w:p>
    <w:p>
      <w:pPr>
        <w:pStyle w:val="ListBullet"/>
      </w:pPr>
      <w:r>
        <w:t>The verification method.</w:t>
      </w:r>
    </w:p>
    <w:p>
      <w:pPr>
        <w:pStyle w:val="ListBullet"/>
      </w:pPr>
      <w:r>
        <w:t>The person authorized to approve the condition.</w:t>
      </w:r>
    </w:p>
    <w:p>
      <w:pPr>
        <w:pStyle w:val="ListBullet"/>
      </w:pPr>
      <w:r>
        <w:t>The consequences if the deadline is missed.</w:t>
      </w:r>
    </w:p>
    <w:p>
      <w:r>
        <w:t>A conditional acceptance is not a way to ignore missing safety controls, legal obligations, or mandatory acceptance requirements.</w:t>
      </w:r>
    </w:p>
    <w:p>
      <w:pPr>
        <w:pStyle w:val="Heading3"/>
      </w:pPr>
      <w:r>
        <w:t>Example</w:t>
      </w:r>
    </w:p>
    <w:p>
      <w:r>
        <w:t>A machine meets all required production and safety criteria, but an agreed noncritical spare-parts label is missing.</w:t>
      </w:r>
    </w:p>
    <w:p>
      <w:r>
        <w:t>If the project procedure permits this item to remain open, the authorized parties may document the condition, assign responsibility, and agree on a closure date.</w:t>
      </w:r>
    </w:p>
    <w:p>
      <w:r>
        <w:t>By contrast, a failed safety interlock cannot simply be listed as a minor outstanding item because production is waiting for the machine.</w:t>
      </w:r>
    </w:p>
    <w:p>
      <w:pPr>
        <w:pStyle w:val="Heading2"/>
      </w:pPr>
      <w:r>
        <w:t>9. Final Software and Configuration Handover</w:t>
      </w:r>
    </w:p>
    <w:p>
      <w:r>
        <w:t>Automation systems depend on software, parameters, calibration data, and configuration details. These are essential handover deliverables.</w:t>
      </w:r>
    </w:p>
    <w:p>
      <w:pPr>
        <w:pStyle w:val="Heading3"/>
      </w:pPr>
      <w:r>
        <w:t>9.1 PLC and HMI</w:t>
      </w:r>
    </w:p>
    <w:p>
      <w:r>
        <w:t>Verify that:</w:t>
      </w:r>
    </w:p>
    <w:p>
      <w:pPr>
        <w:pStyle w:val="ListBullet"/>
      </w:pPr>
      <w:r>
        <w:t>The final PLC project is identified by machine and controller.</w:t>
      </w:r>
    </w:p>
    <w:p>
      <w:pPr>
        <w:pStyle w:val="ListBullet"/>
      </w:pPr>
      <w:r>
        <w:t>The approved revision is recorded.</w:t>
      </w:r>
    </w:p>
    <w:p>
      <w:pPr>
        <w:pStyle w:val="ListBullet"/>
      </w:pPr>
      <w:r>
        <w:t>Hardware configuration and I/O mapping are correct.</w:t>
      </w:r>
    </w:p>
    <w:p>
      <w:pPr>
        <w:pStyle w:val="ListBullet"/>
      </w:pPr>
      <w:r>
        <w:t>Required retentive data, recipes, and configuration values are addressed in the recovery plan.</w:t>
      </w:r>
    </w:p>
    <w:p>
      <w:pPr>
        <w:pStyle w:val="ListBullet"/>
      </w:pPr>
      <w:r>
        <w:t>HMI and SCADA projects correspond to the final approved tag and alarm configuration.</w:t>
      </w:r>
    </w:p>
    <w:p>
      <w:pPr>
        <w:pStyle w:val="ListBullet"/>
      </w:pPr>
      <w:r>
        <w:t>Required libraries, drivers, software versions, and licenses are identified.</w:t>
      </w:r>
    </w:p>
    <w:p>
      <w:pPr>
        <w:pStyle w:val="ListBullet"/>
      </w:pPr>
      <w:r>
        <w:t>The backup is stored in the approved location.</w:t>
      </w:r>
    </w:p>
    <w:p>
      <w:pPr>
        <w:pStyle w:val="ListBullet"/>
      </w:pPr>
      <w:r>
        <w:t>Access and restoration instructions are provided through authorized channels.</w:t>
      </w:r>
    </w:p>
    <w:p>
      <w:pPr>
        <w:pStyle w:val="Heading3"/>
      </w:pPr>
      <w:r>
        <w:t>9.2 VFDs, servo drives, robots, and CNC</w:t>
      </w:r>
    </w:p>
    <w:p>
      <w:r>
        <w:t>Verify that:</w:t>
      </w:r>
    </w:p>
    <w:p>
      <w:pPr>
        <w:pStyle w:val="ListBullet"/>
      </w:pPr>
      <w:r>
        <w:t>Approved parameter sets are recorded.</w:t>
      </w:r>
    </w:p>
    <w:p>
      <w:pPr>
        <w:pStyle w:val="ListBullet"/>
      </w:pPr>
      <w:r>
        <w:t>Controller identity and software or firmware versions are documented where required.</w:t>
      </w:r>
    </w:p>
    <w:p>
      <w:pPr>
        <w:pStyle w:val="ListBullet"/>
      </w:pPr>
      <w:r>
        <w:t>Motor, encoder, payload, tooling, and other application-specific settings are identified.</w:t>
      </w:r>
    </w:p>
    <w:p>
      <w:pPr>
        <w:pStyle w:val="ListBullet"/>
      </w:pPr>
      <w:r>
        <w:t>Required mastering, calibration, and reference information is available.</w:t>
      </w:r>
    </w:p>
    <w:p>
      <w:pPr>
        <w:pStyle w:val="ListBullet"/>
      </w:pPr>
      <w:r>
        <w:t>Safety-related configuration and validation records are complete.</w:t>
      </w:r>
    </w:p>
    <w:p>
      <w:pPr>
        <w:pStyle w:val="ListBullet"/>
      </w:pPr>
      <w:r>
        <w:t>Backup dependencies and recovery constraints are documented.</w:t>
      </w:r>
    </w:p>
    <w:p>
      <w:r>
        <w:t>Restoring a backup to a different controller or machine without compatibility verification can create faults or hazardous behavior. The handover package should clearly identify the intended equipment and applicable restoration procedure.</w:t>
      </w:r>
    </w:p>
    <w:p>
      <w:pPr>
        <w:pStyle w:val="Heading3"/>
      </w:pPr>
      <w:r>
        <w:t>9.3 Backup quality</w:t>
      </w:r>
    </w:p>
    <w:p>
      <w:r>
        <w:t>A proper handover should establish:</w:t>
      </w:r>
    </w:p>
    <w:p>
      <w:pPr>
        <w:pStyle w:val="ListBullet"/>
      </w:pPr>
      <w:r>
        <w:t>What was backed up.</w:t>
      </w:r>
    </w:p>
    <w:p>
      <w:pPr>
        <w:pStyle w:val="ListBullet"/>
      </w:pPr>
      <w:r>
        <w:t>Which machine and controller the backup belongs to.</w:t>
      </w:r>
    </w:p>
    <w:p>
      <w:pPr>
        <w:pStyle w:val="ListBullet"/>
      </w:pPr>
      <w:r>
        <w:t>When it was created.</w:t>
      </w:r>
    </w:p>
    <w:p>
      <w:pPr>
        <w:pStyle w:val="ListBullet"/>
      </w:pPr>
      <w:r>
        <w:t>Which approved configuration it represents.</w:t>
      </w:r>
    </w:p>
    <w:p>
      <w:pPr>
        <w:pStyle w:val="ListBullet"/>
      </w:pPr>
      <w:r>
        <w:t>Who created and verified it.</w:t>
      </w:r>
    </w:p>
    <w:p>
      <w:pPr>
        <w:pStyle w:val="ListBullet"/>
      </w:pPr>
      <w:r>
        <w:t>Where it is stored.</w:t>
      </w:r>
    </w:p>
    <w:p>
      <w:pPr>
        <w:pStyle w:val="ListBullet"/>
      </w:pPr>
      <w:r>
        <w:t>Which tools and licenses are needed.</w:t>
      </w:r>
    </w:p>
    <w:p>
      <w:pPr>
        <w:pStyle w:val="ListBullet"/>
      </w:pPr>
      <w:r>
        <w:t>How it can be restored.</w:t>
      </w:r>
    </w:p>
    <w:p>
      <w:pPr>
        <w:pStyle w:val="ListBullet"/>
      </w:pPr>
      <w:r>
        <w:t>Any limitations on restoring runtime data or safety configurations.</w:t>
      </w:r>
    </w:p>
    <w:p>
      <w:r>
        <w:t>A checksum verifies file integrity against a reference checksum, but does not by itself prove that the file is the correct or restorable project.</w:t>
      </w:r>
    </w:p>
    <w:p>
      <w:pPr>
        <w:pStyle w:val="Heading2"/>
      </w:pPr>
      <w:r>
        <w:t>10. Physical Equipment and Asset Handover</w:t>
      </w:r>
    </w:p>
    <w:p>
      <w:r>
        <w:t>Final handover may include the physical transfer of equipment and related assets.</w:t>
      </w:r>
    </w:p>
    <w:p>
      <w:r>
        <w:t>Typical checks include:</w:t>
      </w:r>
    </w:p>
    <w:p>
      <w:pPr>
        <w:pStyle w:val="ListBullet"/>
      </w:pPr>
      <w:r>
        <w:t>Machine identification and asset number.</w:t>
      </w:r>
    </w:p>
    <w:p>
      <w:pPr>
        <w:pStyle w:val="ListBullet"/>
      </w:pPr>
      <w:r>
        <w:t>Installed equipment and major component inventory.</w:t>
      </w:r>
    </w:p>
    <w:p>
      <w:pPr>
        <w:pStyle w:val="ListBullet"/>
      </w:pPr>
      <w:r>
        <w:t>Control panel and field-device identification.</w:t>
      </w:r>
    </w:p>
    <w:p>
      <w:pPr>
        <w:pStyle w:val="ListBullet"/>
      </w:pPr>
      <w:r>
        <w:t>Tooling, fixtures, and special tools.</w:t>
      </w:r>
    </w:p>
    <w:p>
      <w:pPr>
        <w:pStyle w:val="ListBullet"/>
      </w:pPr>
      <w:r>
        <w:t>Accessories and supplied test equipment.</w:t>
      </w:r>
    </w:p>
    <w:p>
      <w:pPr>
        <w:pStyle w:val="ListBullet"/>
      </w:pPr>
      <w:r>
        <w:t>Keys and access devices, where applicable.</w:t>
      </w:r>
    </w:p>
    <w:p>
      <w:pPr>
        <w:pStyle w:val="ListBullet"/>
      </w:pPr>
      <w:r>
        <w:t>Required manuals and labels.</w:t>
      </w:r>
    </w:p>
    <w:p>
      <w:pPr>
        <w:pStyle w:val="ListBullet"/>
      </w:pPr>
      <w:r>
        <w:t>Spare parts and consumables.</w:t>
      </w:r>
    </w:p>
    <w:p>
      <w:pPr>
        <w:pStyle w:val="ListBullet"/>
      </w:pPr>
      <w:r>
        <w:t>Open defects and agreed operating restrictions.</w:t>
      </w:r>
    </w:p>
    <w:p>
      <w:pPr>
        <w:pStyle w:val="ListBullet"/>
      </w:pPr>
      <w:r>
        <w:t>Site location and responsible department.</w:t>
      </w:r>
    </w:p>
    <w:p>
      <w:pPr>
        <w:pStyle w:val="ListBullet"/>
      </w:pPr>
      <w:r>
        <w:t>Warranty and supplier-support information.</w:t>
      </w:r>
    </w:p>
    <w:p>
      <w:r>
        <w:t>Asset records should identify the equipment accurately enough for maintenance planning, procurement, breakdown response, and lifecycle tracking.</w:t>
      </w:r>
    </w:p>
    <w:p>
      <w:r>
        <w:t>For a manufacturing plant, it may also be necessary to connect the machine to the maintenance management system, asset register, spare-parts catalogue, and preventive maintenance plan.</w:t>
      </w:r>
    </w:p>
    <w:p>
      <w:pPr>
        <w:pStyle w:val="Heading2"/>
      </w:pPr>
      <w:r>
        <w:t>11. Operational Handover to Production</w:t>
      </w:r>
    </w:p>
    <w:p>
      <w:r>
        <w:t>Production handover focuses on whether the operating team can run the equipment correctly within the approved operating envelope.</w:t>
      </w:r>
    </w:p>
    <w:p>
      <w:r>
        <w:t>The operator should understand:</w:t>
      </w:r>
    </w:p>
    <w:p>
      <w:pPr>
        <w:pStyle w:val="ListBullet"/>
      </w:pPr>
      <w:r>
        <w:t>Machine purpose and production sequence.</w:t>
      </w:r>
    </w:p>
    <w:p>
      <w:pPr>
        <w:pStyle w:val="ListBullet"/>
      </w:pPr>
      <w:r>
        <w:t>Normal startup and shutdown.</w:t>
      </w:r>
    </w:p>
    <w:p>
      <w:pPr>
        <w:pStyle w:val="ListBullet"/>
      </w:pPr>
      <w:r>
        <w:t>Automatic, manual, setup, and permitted recovery modes.</w:t>
      </w:r>
    </w:p>
    <w:p>
      <w:pPr>
        <w:pStyle w:val="ListBullet"/>
      </w:pPr>
      <w:r>
        <w:t>Operator interface and status indicators.</w:t>
      </w:r>
    </w:p>
    <w:p>
      <w:pPr>
        <w:pStyle w:val="ListBullet"/>
      </w:pPr>
      <w:r>
        <w:t>Alarm meanings and required responses.</w:t>
      </w:r>
    </w:p>
    <w:p>
      <w:pPr>
        <w:pStyle w:val="ListBullet"/>
      </w:pPr>
      <w:r>
        <w:t>Part loading and unloading requirements.</w:t>
      </w:r>
    </w:p>
    <w:p>
      <w:pPr>
        <w:pStyle w:val="ListBullet"/>
      </w:pPr>
      <w:r>
        <w:t>Recipe or product changeover.</w:t>
      </w:r>
    </w:p>
    <w:p>
      <w:pPr>
        <w:pStyle w:val="ListBullet"/>
      </w:pPr>
      <w:r>
        <w:t>Quality checks and acceptance limits.</w:t>
      </w:r>
    </w:p>
    <w:p>
      <w:pPr>
        <w:pStyle w:val="ListBullet"/>
      </w:pPr>
      <w:r>
        <w:t>Safe behavior during abnormal conditions.</w:t>
      </w:r>
    </w:p>
    <w:p>
      <w:pPr>
        <w:pStyle w:val="ListBullet"/>
      </w:pPr>
      <w:r>
        <w:t>Escalation routes for unresolved faults.</w:t>
      </w:r>
    </w:p>
    <w:p>
      <w:r>
        <w:t>Training should be appropriate to the role. A production operator does not need the same level of controller programming knowledge as an automation engineer, but must know when and how to stop the process and escalate an abnormal condition.</w:t>
      </w:r>
    </w:p>
    <w:p>
      <w:pPr>
        <w:pStyle w:val="Heading2"/>
      </w:pPr>
      <w:r>
        <w:t>12. Maintenance and Engineering Handover</w:t>
      </w:r>
    </w:p>
    <w:p>
      <w:r>
        <w:t>Maintenance handover should provide the information needed to diagnose faults, restore equipment, and maintain it over time.</w:t>
      </w:r>
    </w:p>
    <w:p>
      <w:pPr>
        <w:pStyle w:val="Heading3"/>
      </w:pPr>
      <w:r>
        <w:t>12.1 Technical information</w:t>
      </w:r>
    </w:p>
    <w:p>
      <w:pPr>
        <w:pStyle w:val="ListBullet"/>
      </w:pPr>
      <w:r>
        <w:t>Final electrical and mechanical drawings.</w:t>
      </w:r>
    </w:p>
    <w:p>
      <w:pPr>
        <w:pStyle w:val="ListBullet"/>
      </w:pPr>
      <w:r>
        <w:t>I/O lists and device-tag references.</w:t>
      </w:r>
    </w:p>
    <w:p>
      <w:pPr>
        <w:pStyle w:val="ListBullet"/>
      </w:pPr>
      <w:r>
        <w:t>PLC, HMI, drive, robot, and CNC backups.</w:t>
      </w:r>
    </w:p>
    <w:p>
      <w:pPr>
        <w:pStyle w:val="ListBullet"/>
      </w:pPr>
      <w:r>
        <w:t>Network architecture and approved addressing records.</w:t>
      </w:r>
    </w:p>
    <w:p>
      <w:pPr>
        <w:pStyle w:val="ListBullet"/>
      </w:pPr>
      <w:r>
        <w:t>Software versions and required licenses.</w:t>
      </w:r>
    </w:p>
    <w:p>
      <w:pPr>
        <w:pStyle w:val="ListBullet"/>
      </w:pPr>
      <w:r>
        <w:t>Alarm lists and diagnostic guides.</w:t>
      </w:r>
    </w:p>
    <w:p>
      <w:pPr>
        <w:pStyle w:val="ListBullet"/>
      </w:pPr>
      <w:r>
        <w:t>Manufacturer manuals and datasheets.</w:t>
      </w:r>
    </w:p>
    <w:p>
      <w:pPr>
        <w:pStyle w:val="ListBullet"/>
      </w:pPr>
      <w:r>
        <w:t>Calibration and inspection requirements.</w:t>
      </w:r>
    </w:p>
    <w:p>
      <w:pPr>
        <w:pStyle w:val="ListBullet"/>
      </w:pPr>
      <w:r>
        <w:t>Known limitations and unresolved issues.</w:t>
      </w:r>
    </w:p>
    <w:p>
      <w:pPr>
        <w:pStyle w:val="Heading3"/>
      </w:pPr>
      <w:r>
        <w:t>12.2 Maintenance information</w:t>
      </w:r>
    </w:p>
    <w:p>
      <w:pPr>
        <w:pStyle w:val="ListBullet"/>
      </w:pPr>
      <w:r>
        <w:t>Preventive maintenance tasks and intervals.</w:t>
      </w:r>
    </w:p>
    <w:p>
      <w:pPr>
        <w:pStyle w:val="ListBullet"/>
      </w:pPr>
      <w:r>
        <w:t>Lubrication schedules.</w:t>
      </w:r>
    </w:p>
    <w:p>
      <w:pPr>
        <w:pStyle w:val="ListBullet"/>
      </w:pPr>
      <w:r>
        <w:t>Inspection and wear limits.</w:t>
      </w:r>
    </w:p>
    <w:p>
      <w:pPr>
        <w:pStyle w:val="ListBullet"/>
      </w:pPr>
      <w:r>
        <w:t>Calibration intervals.</w:t>
      </w:r>
    </w:p>
    <w:p>
      <w:pPr>
        <w:pStyle w:val="ListBullet"/>
      </w:pPr>
      <w:r>
        <w:t>Critical spare-parts lists.</w:t>
      </w:r>
    </w:p>
    <w:p>
      <w:pPr>
        <w:pStyle w:val="ListBullet"/>
      </w:pPr>
      <w:r>
        <w:t>Special tools and diagnostic equipment.</w:t>
      </w:r>
    </w:p>
    <w:p>
      <w:pPr>
        <w:pStyle w:val="ListBullet"/>
      </w:pPr>
      <w:r>
        <w:t>Recommended replacement parts.</w:t>
      </w:r>
    </w:p>
    <w:p>
      <w:pPr>
        <w:pStyle w:val="ListBullet"/>
      </w:pPr>
      <w:r>
        <w:t>Obsolescence and approved successor information.</w:t>
      </w:r>
    </w:p>
    <w:p>
      <w:pPr>
        <w:pStyle w:val="ListBullet"/>
      </w:pPr>
      <w:r>
        <w:t>Vendor support contacts and escalation arrangements.</w:t>
      </w:r>
    </w:p>
    <w:p>
      <w:pPr>
        <w:pStyle w:val="ListBullet"/>
      </w:pPr>
      <w:r>
        <w:t>Recovery procedures and backup restoration constraints.</w:t>
      </w:r>
    </w:p>
    <w:p>
      <w:pPr>
        <w:pStyle w:val="Heading3"/>
      </w:pPr>
      <w:r>
        <w:t>12.3 Maintenance system integration</w:t>
      </w:r>
    </w:p>
    <w:p>
      <w:r>
        <w:t>Where applicable, establish or verify:</w:t>
      </w:r>
    </w:p>
    <w:p>
      <w:pPr>
        <w:pStyle w:val="ListBullet"/>
      </w:pPr>
      <w:r>
        <w:t>Equipment master data in the computerized maintenance management system or ERP.</w:t>
      </w:r>
    </w:p>
    <w:p>
      <w:pPr>
        <w:pStyle w:val="ListBullet"/>
      </w:pPr>
      <w:r>
        <w:t>Functional location and asset hierarchy.</w:t>
      </w:r>
    </w:p>
    <w:p>
      <w:pPr>
        <w:pStyle w:val="ListBullet"/>
      </w:pPr>
      <w:r>
        <w:t>Bill of materials and spare-parts associations.</w:t>
      </w:r>
    </w:p>
    <w:p>
      <w:pPr>
        <w:pStyle w:val="ListBullet"/>
      </w:pPr>
      <w:r>
        <w:t>Preventive maintenance plans.</w:t>
      </w:r>
    </w:p>
    <w:p>
      <w:pPr>
        <w:pStyle w:val="ListBullet"/>
      </w:pPr>
      <w:r>
        <w:t>Task lists and job plans.</w:t>
      </w:r>
    </w:p>
    <w:p>
      <w:pPr>
        <w:pStyle w:val="ListBullet"/>
      </w:pPr>
      <w:r>
        <w:t>Criticality classification.</w:t>
      </w:r>
    </w:p>
    <w:p>
      <w:pPr>
        <w:pStyle w:val="ListBullet"/>
      </w:pPr>
      <w:r>
        <w:t>Warranty details.</w:t>
      </w:r>
    </w:p>
    <w:p>
      <w:pPr>
        <w:pStyle w:val="ListBullet"/>
      </w:pPr>
      <w:r>
        <w:t>Failure codes and breakdown reporting arrangements.</w:t>
      </w:r>
    </w:p>
    <w:p>
      <w:r>
        <w:t>For a plant using SAP, the equipment and functional-location records should correspond to the actual machine hierarchy and the site's maintenance strategy. Material records and bills of materials should identify the correct installed components rather than generic substitutes.</w:t>
      </w:r>
    </w:p>
    <w:p>
      <w:pPr>
        <w:pStyle w:val="Heading2"/>
      </w:pPr>
      <w:r>
        <w:t>13. Training and Knowledge Transfer</w:t>
      </w:r>
    </w:p>
    <w:p>
      <w:r>
        <w:t>A handover is incomplete when the documents are delivered but the receiving team does not understand the equipment.</w:t>
      </w:r>
    </w:p>
    <w:p>
      <w:r>
        <w:t>Training and knowledge transfer may include:</w:t>
      </w:r>
    </w:p>
    <w:p>
      <w:pPr>
        <w:pStyle w:val="ListBullet"/>
      </w:pPr>
      <w:r>
        <w:t>Machine operation.</w:t>
      </w:r>
    </w:p>
    <w:p>
      <w:pPr>
        <w:pStyle w:val="ListBullet"/>
      </w:pPr>
      <w:r>
        <w:t>Safety procedures.</w:t>
      </w:r>
    </w:p>
    <w:p>
      <w:pPr>
        <w:pStyle w:val="ListBullet"/>
      </w:pPr>
      <w:r>
        <w:t>Alarm interpretation.</w:t>
      </w:r>
    </w:p>
    <w:p>
      <w:pPr>
        <w:pStyle w:val="ListBullet"/>
      </w:pPr>
      <w:r>
        <w:t>Troubleshooting methods.</w:t>
      </w:r>
    </w:p>
    <w:p>
      <w:pPr>
        <w:pStyle w:val="ListBullet"/>
      </w:pPr>
      <w:r>
        <w:t>PLC and HMI diagnostics.</w:t>
      </w:r>
    </w:p>
    <w:p>
      <w:pPr>
        <w:pStyle w:val="ListBullet"/>
      </w:pPr>
      <w:r>
        <w:t>VFD and servo fault diagnosis.</w:t>
      </w:r>
    </w:p>
    <w:p>
      <w:pPr>
        <w:pStyle w:val="ListBullet"/>
      </w:pPr>
      <w:r>
        <w:t>Robot and CNC recovery.</w:t>
      </w:r>
    </w:p>
    <w:p>
      <w:pPr>
        <w:pStyle w:val="ListBullet"/>
      </w:pPr>
      <w:r>
        <w:t>Backup and restoration.</w:t>
      </w:r>
    </w:p>
    <w:p>
      <w:pPr>
        <w:pStyle w:val="ListBullet"/>
      </w:pPr>
      <w:r>
        <w:t>Routine preventive maintenance.</w:t>
      </w:r>
    </w:p>
    <w:p>
      <w:pPr>
        <w:pStyle w:val="ListBullet"/>
      </w:pPr>
      <w:r>
        <w:t>Calibration and quality checks.</w:t>
      </w:r>
    </w:p>
    <w:p>
      <w:pPr>
        <w:pStyle w:val="ListBullet"/>
      </w:pPr>
      <w:r>
        <w:t>Approved change management.</w:t>
      </w:r>
    </w:p>
    <w:p>
      <w:pPr>
        <w:pStyle w:val="ListBullet"/>
      </w:pPr>
      <w:r>
        <w:t>Supplier escalation and warranty procedures.</w:t>
      </w:r>
    </w:p>
    <w:p>
      <w:r>
        <w:t>Training records should identify the topic, date, instructor, participants, training material, and completion evidence as required.</w:t>
      </w:r>
    </w:p>
    <w:p>
      <w:r>
        <w:t>For specialist maintenance tasks, record any limitations on who may perform the work and what authorization or competency is required.</w:t>
      </w:r>
    </w:p>
    <w:p>
      <w:pPr>
        <w:pStyle w:val="Heading2"/>
      </w:pPr>
      <w:r>
        <w:t>14. Warranty, Support, and Contractual Handover</w:t>
      </w:r>
    </w:p>
    <w:p>
      <w:r>
        <w:t>Final acceptance can affect warranty, payment, service obligations, and responsibility for defects. These details depend on the contract.</w:t>
      </w:r>
    </w:p>
    <w:p>
      <w:r>
        <w:t>Verify the applicable provisions for:</w:t>
      </w:r>
    </w:p>
    <w:p>
      <w:pPr>
        <w:pStyle w:val="ListBullet"/>
      </w:pPr>
      <w:r>
        <w:t>Warranty start and end dates.</w:t>
      </w:r>
    </w:p>
    <w:p>
      <w:pPr>
        <w:pStyle w:val="ListBullet"/>
      </w:pPr>
      <w:r>
        <w:t>Covered equipment and components.</w:t>
      </w:r>
    </w:p>
    <w:p>
      <w:pPr>
        <w:pStyle w:val="ListBullet"/>
      </w:pPr>
      <w:r>
        <w:t>Exclusions and consumables.</w:t>
      </w:r>
    </w:p>
    <w:p>
      <w:pPr>
        <w:pStyle w:val="ListBullet"/>
      </w:pPr>
      <w:r>
        <w:t>Supplier response times.</w:t>
      </w:r>
    </w:p>
    <w:p>
      <w:pPr>
        <w:pStyle w:val="ListBullet"/>
      </w:pPr>
      <w:r>
        <w:t>Remote or onsite support.</w:t>
      </w:r>
    </w:p>
    <w:p>
      <w:pPr>
        <w:pStyle w:val="ListBullet"/>
      </w:pPr>
      <w:r>
        <w:t>Software support and license renewals.</w:t>
      </w:r>
    </w:p>
    <w:p>
      <w:pPr>
        <w:pStyle w:val="ListBullet"/>
      </w:pPr>
      <w:r>
        <w:t>Availability of replacement parts.</w:t>
      </w:r>
    </w:p>
    <w:p>
      <w:pPr>
        <w:pStyle w:val="ListBullet"/>
      </w:pPr>
      <w:r>
        <w:t>Escalation contacts.</w:t>
      </w:r>
    </w:p>
    <w:p>
      <w:pPr>
        <w:pStyle w:val="ListBullet"/>
      </w:pPr>
      <w:r>
        <w:t>Defect correction obligations.</w:t>
      </w:r>
    </w:p>
    <w:p>
      <w:pPr>
        <w:pStyle w:val="ListBullet"/>
      </w:pPr>
      <w:r>
        <w:t>Performance guarantees.</w:t>
      </w:r>
    </w:p>
    <w:p>
      <w:pPr>
        <w:pStyle w:val="ListBullet"/>
      </w:pPr>
      <w:r>
        <w:t>Training and documentation obligations.</w:t>
      </w:r>
    </w:p>
    <w:p>
      <w:pPr>
        <w:pStyle w:val="ListBullet"/>
      </w:pPr>
      <w:r>
        <w:t>Final payment or retention milestones.</w:t>
      </w:r>
    </w:p>
    <w:p>
      <w:pPr>
        <w:pStyle w:val="ListBullet"/>
      </w:pPr>
      <w:r>
        <w:t>Formal acceptance certificates and required signatures.</w:t>
      </w:r>
    </w:p>
    <w:p>
      <w:r>
        <w:t>Do not assume that warranty always begins at the same milestone. It may begin at delivery, commissioning, provisional acceptance, final acceptance, or another contractually defined event.</w:t>
      </w:r>
    </w:p>
    <w:p>
      <w:pPr>
        <w:pStyle w:val="Heading2"/>
      </w:pPr>
      <w:r>
        <w:t>15. Responsibilities and Ownership</w:t>
      </w:r>
    </w:p>
    <w:p>
      <w:r>
        <w:t>A successful handover defines who owns each activity after acceptance.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Project manager</w:t>
            </w:r>
          </w:p>
        </w:tc>
        <w:tc>
          <w:tcPr>
            <w:tcW w:type="dxa" w:w="5400"/>
          </w:tcPr>
          <w:p>
            <w:pPr>
              <w:spacing w:after="0" w:before="0" w:line="240" w:lineRule="auto"/>
              <w:jc w:val="left"/>
            </w:pPr>
            <w:r>
              <w:t>Coordinates completion, contractual deliverables, acceptance, and handover</w:t>
            </w:r>
          </w:p>
        </w:tc>
      </w:tr>
      <w:tr>
        <w:tc>
          <w:tcPr>
            <w:tcW w:type="dxa" w:w="5400"/>
          </w:tcPr>
          <w:p>
            <w:pPr>
              <w:spacing w:after="0" w:before="0" w:line="240" w:lineRule="auto"/>
              <w:jc w:val="left"/>
            </w:pPr>
            <w:r>
              <w:t>Commissioning engineer</w:t>
            </w:r>
          </w:p>
        </w:tc>
        <w:tc>
          <w:tcPr>
            <w:tcW w:type="dxa" w:w="5400"/>
          </w:tcPr>
          <w:p>
            <w:pPr>
              <w:spacing w:after="0" w:before="0" w:line="240" w:lineRule="auto"/>
              <w:jc w:val="left"/>
            </w:pPr>
            <w:r>
              <w:t>Provides commissioning results, configuration information, and technical closure evidence</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Verifies controls software, configuration records, and recovery information</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Confirms electrical installation records and as-built documentation</w:t>
            </w:r>
          </w:p>
        </w:tc>
      </w:tr>
      <w:tr>
        <w:tc>
          <w:tcPr>
            <w:tcW w:type="dxa" w:w="5400"/>
          </w:tcPr>
          <w:p>
            <w:pPr>
              <w:spacing w:after="0" w:before="0" w:line="240" w:lineRule="auto"/>
              <w:jc w:val="left"/>
            </w:pPr>
            <w:r>
              <w:t>Mechanical engineer</w:t>
            </w:r>
          </w:p>
        </w:tc>
        <w:tc>
          <w:tcPr>
            <w:tcW w:type="dxa" w:w="5400"/>
          </w:tcPr>
          <w:p>
            <w:pPr>
              <w:spacing w:after="0" w:before="0" w:line="240" w:lineRule="auto"/>
              <w:jc w:val="left"/>
            </w:pPr>
            <w:r>
              <w:t>Confirms mechanical installation, drawings, and maintenance requirements</w:t>
            </w:r>
          </w:p>
        </w:tc>
      </w:tr>
      <w:tr>
        <w:tc>
          <w:tcPr>
            <w:tcW w:type="dxa" w:w="5400"/>
          </w:tcPr>
          <w:p>
            <w:pPr>
              <w:spacing w:after="0" w:before="0" w:line="240" w:lineRule="auto"/>
              <w:jc w:val="left"/>
            </w:pPr>
            <w:r>
              <w:t>Safety or functional-safety specialist</w:t>
            </w:r>
          </w:p>
        </w:tc>
        <w:tc>
          <w:tcPr>
            <w:tcW w:type="dxa" w:w="5400"/>
          </w:tcPr>
          <w:p>
            <w:pPr>
              <w:spacing w:after="0" w:before="0" w:line="240" w:lineRule="auto"/>
              <w:jc w:val="left"/>
            </w:pPr>
            <w:r>
              <w:t>Verifies required safety evidence and outstanding safety issues</w:t>
            </w:r>
          </w:p>
        </w:tc>
      </w:tr>
      <w:tr>
        <w:tc>
          <w:tcPr>
            <w:tcW w:type="dxa" w:w="5400"/>
          </w:tcPr>
          <w:p>
            <w:pPr>
              <w:spacing w:after="0" w:before="0" w:line="240" w:lineRule="auto"/>
              <w:jc w:val="left"/>
            </w:pPr>
            <w:r>
              <w:t>Quality representative</w:t>
            </w:r>
          </w:p>
        </w:tc>
        <w:tc>
          <w:tcPr>
            <w:tcW w:type="dxa" w:w="5400"/>
          </w:tcPr>
          <w:p>
            <w:pPr>
              <w:spacing w:after="0" w:before="0" w:line="240" w:lineRule="auto"/>
              <w:jc w:val="left"/>
            </w:pPr>
            <w:r>
              <w:t>Confirms applicable inspection, quality, and acceptance records</w:t>
            </w:r>
          </w:p>
        </w:tc>
      </w:tr>
      <w:tr>
        <w:tc>
          <w:tcPr>
            <w:tcW w:type="dxa" w:w="5400"/>
          </w:tcPr>
          <w:p>
            <w:pPr>
              <w:spacing w:after="0" w:before="0" w:line="240" w:lineRule="auto"/>
              <w:jc w:val="left"/>
            </w:pPr>
            <w:r>
              <w:t>Production representative</w:t>
            </w:r>
          </w:p>
        </w:tc>
        <w:tc>
          <w:tcPr>
            <w:tcW w:type="dxa" w:w="5400"/>
          </w:tcPr>
          <w:p>
            <w:pPr>
              <w:spacing w:after="0" w:before="0" w:line="240" w:lineRule="auto"/>
              <w:jc w:val="left"/>
            </w:pPr>
            <w:r>
              <w:t>Confirms operational readiness and operator training</w:t>
            </w:r>
          </w:p>
        </w:tc>
      </w:tr>
      <w:tr>
        <w:tc>
          <w:tcPr>
            <w:tcW w:type="dxa" w:w="5400"/>
          </w:tcPr>
          <w:p>
            <w:pPr>
              <w:spacing w:after="0" w:before="0" w:line="240" w:lineRule="auto"/>
              <w:jc w:val="left"/>
            </w:pPr>
            <w:r>
              <w:t>Maintenance representative</w:t>
            </w:r>
          </w:p>
        </w:tc>
        <w:tc>
          <w:tcPr>
            <w:tcW w:type="dxa" w:w="5400"/>
          </w:tcPr>
          <w:p>
            <w:pPr>
              <w:spacing w:after="0" w:before="0" w:line="240" w:lineRule="auto"/>
              <w:jc w:val="left"/>
            </w:pPr>
            <w:r>
              <w:t>Confirms maintainability, spares, technical records, and maintenance readiness</w:t>
            </w:r>
          </w:p>
        </w:tc>
      </w:tr>
      <w:tr>
        <w:tc>
          <w:tcPr>
            <w:tcW w:type="dxa" w:w="5400"/>
          </w:tcPr>
          <w:p>
            <w:pPr>
              <w:spacing w:after="0" w:before="0" w:line="240" w:lineRule="auto"/>
              <w:jc w:val="left"/>
            </w:pPr>
            <w:r>
              <w:t>Supplier or integrator</w:t>
            </w:r>
          </w:p>
        </w:tc>
        <w:tc>
          <w:tcPr>
            <w:tcW w:type="dxa" w:w="5400"/>
          </w:tcPr>
          <w:p>
            <w:pPr>
              <w:spacing w:after="0" w:before="0" w:line="240" w:lineRule="auto"/>
              <w:jc w:val="left"/>
            </w:pPr>
            <w:r>
              <w:t>Delivers agreed technical documentation, corrections, backups, training, and support information</w:t>
            </w:r>
          </w:p>
        </w:tc>
      </w:tr>
      <w:tr>
        <w:tc>
          <w:tcPr>
            <w:tcW w:type="dxa" w:w="5400"/>
          </w:tcPr>
          <w:p>
            <w:pPr>
              <w:spacing w:after="0" w:before="0" w:line="240" w:lineRule="auto"/>
              <w:jc w:val="left"/>
            </w:pPr>
            <w:r>
              <w:t>Authorized customer representative</w:t>
            </w:r>
          </w:p>
        </w:tc>
        <w:tc>
          <w:tcPr>
            <w:tcW w:type="dxa" w:w="5400"/>
          </w:tcPr>
          <w:p>
            <w:pPr>
              <w:spacing w:after="0" w:before="0" w:line="240" w:lineRule="auto"/>
              <w:jc w:val="left"/>
            </w:pPr>
            <w:r>
              <w:t>Makes or approves the acceptance decision under the applicable process</w:t>
            </w:r>
          </w:p>
        </w:tc>
      </w:tr>
    </w:tbl>
    <w:p/>
    <w:p>
      <w:r>
        <w:t>These responsibilities vary by organization. A formal responsibility matrix should identify the actual accountable and approving parties.</w:t>
      </w:r>
    </w:p>
    <w:p>
      <w:pPr>
        <w:pStyle w:val="Heading2"/>
      </w:pPr>
      <w:r>
        <w:t>16. Final Acceptance and Handover Workflow</w:t>
      </w:r>
    </w:p>
    <w:p>
      <w:pPr>
        <w:pStyle w:val="Heading3"/>
      </w:pPr>
      <w:r>
        <w:t>Step 1: Review contractual requirements</w:t>
      </w:r>
    </w:p>
    <w:p>
      <w:r>
        <w:t>Confirm the agreed scope, acceptance milestones, required test results, document deliverables, and permitted conditions for outstanding items.</w:t>
      </w:r>
    </w:p>
    <w:p>
      <w:pPr>
        <w:pStyle w:val="Heading3"/>
      </w:pPr>
      <w:r>
        <w:t>Step 2: Consolidate test evidence</w:t>
      </w:r>
    </w:p>
    <w:p>
      <w:r>
        <w:t>Collect the approved FAT and SAT reports, safety validation records, functional and performance results, stability or reliability evidence where required, and related inspections.</w:t>
      </w:r>
    </w:p>
    <w:p>
      <w:pPr>
        <w:pStyle w:val="Heading3"/>
      </w:pPr>
      <w:r>
        <w:t>Step 3: Review outstanding defects</w:t>
      </w:r>
    </w:p>
    <w:p>
      <w:r>
        <w:t>Check every punch-point, its severity, corrective action, retest status, and formal disposition.</w:t>
      </w:r>
    </w:p>
    <w:p>
      <w:pPr>
        <w:pStyle w:val="Heading3"/>
      </w:pPr>
      <w:r>
        <w:t>Step 4: Verify final configuration</w:t>
      </w:r>
    </w:p>
    <w:p>
      <w:r>
        <w:t>Confirm the delivered hardware, software, parameters, calibration information, and installed arrangement match the approved final configuration.</w:t>
      </w:r>
    </w:p>
    <w:p>
      <w:pPr>
        <w:pStyle w:val="Heading3"/>
      </w:pPr>
      <w:r>
        <w:t>Step 5: Verify documentation</w:t>
      </w:r>
    </w:p>
    <w:p>
      <w:r>
        <w:t>Check the final as-built drawings, manuals, software backups, test reports, spare-parts lists, calibration records, and document register.</w:t>
      </w:r>
    </w:p>
    <w:p>
      <w:pPr>
        <w:pStyle w:val="Heading3"/>
      </w:pPr>
      <w:r>
        <w:t>Step 6: Confirm operational readiness</w:t>
      </w:r>
    </w:p>
    <w:p>
      <w:r>
        <w:t>Verify required training, operating procedures, safety information, production interfaces, maintenance readiness, and escalation arrangements.</w:t>
      </w:r>
    </w:p>
    <w:p>
      <w:pPr>
        <w:pStyle w:val="Heading3"/>
      </w:pPr>
      <w:r>
        <w:t>Step 7: Review commercial and support obligations</w:t>
      </w:r>
    </w:p>
    <w:p>
      <w:r>
        <w:t>Confirm warranty, supplier support, required licenses, service obligations, and other contractual deliverables.</w:t>
      </w:r>
    </w:p>
    <w:p>
      <w:pPr>
        <w:pStyle w:val="Heading3"/>
      </w:pPr>
      <w:r>
        <w:t>Step 8: Conduct the formal handover review</w:t>
      </w:r>
    </w:p>
    <w:p>
      <w:r>
        <w:t>Review the evidence with the designated receiving and approving parties. Record limitations, conditions, outstanding obligations, and the proposed acceptance status.</w:t>
      </w:r>
    </w:p>
    <w:p>
      <w:pPr>
        <w:pStyle w:val="Heading3"/>
      </w:pPr>
      <w:r>
        <w:t>Step 9: Record the acceptance decision</w:t>
      </w:r>
    </w:p>
    <w:p>
      <w:r>
        <w:t>Obtain the required formal approval. The decision may be acceptance, conditional acceptance where permitted, or rejection pending correction.</w:t>
      </w:r>
    </w:p>
    <w:p>
      <w:pPr>
        <w:pStyle w:val="Heading3"/>
      </w:pPr>
      <w:r>
        <w:t>Step 10: Transfer ownership and records</w:t>
      </w:r>
    </w:p>
    <w:p>
      <w:r>
        <w:t>Deliver the controlled documentation, verified backups, asset information, training records, spares, and other agreed deliverables. Record the effective date and responsible parties.</w:t>
      </w:r>
    </w:p>
    <w:p>
      <w:pPr>
        <w:pStyle w:val="Heading3"/>
      </w:pPr>
      <w:r>
        <w:t>Step 11: Close remaining obligations</w:t>
      </w:r>
    </w:p>
    <w:p>
      <w:r>
        <w:t>Track accepted outstanding items through to verified closure and update the applicable project, maintenance, and document-control systems.</w:t>
      </w:r>
    </w:p>
    <w:p>
      <w:pPr>
        <w:pStyle w:val="Heading2"/>
      </w:pPr>
      <w:r>
        <w:t>17. Final Acceptance and Handover Documents</w:t>
      </w:r>
    </w:p>
    <w:p>
      <w:r>
        <w:t>Typical records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Final acceptance certificate</w:t>
            </w:r>
          </w:p>
        </w:tc>
        <w:tc>
          <w:tcPr>
            <w:tcW w:type="dxa" w:w="5400"/>
          </w:tcPr>
          <w:p>
            <w:pPr>
              <w:spacing w:after="0" w:before="0" w:line="240" w:lineRule="auto"/>
              <w:jc w:val="left"/>
            </w:pPr>
            <w:r>
              <w:t>Records the formal acceptance decision</w:t>
            </w:r>
          </w:p>
        </w:tc>
      </w:tr>
      <w:tr>
        <w:tc>
          <w:tcPr>
            <w:tcW w:type="dxa" w:w="5400"/>
          </w:tcPr>
          <w:p>
            <w:pPr>
              <w:spacing w:after="0" w:before="0" w:line="240" w:lineRule="auto"/>
              <w:jc w:val="left"/>
            </w:pPr>
            <w:r>
              <w:t>Handover certificate or checklist</w:t>
            </w:r>
          </w:p>
        </w:tc>
        <w:tc>
          <w:tcPr>
            <w:tcW w:type="dxa" w:w="5400"/>
          </w:tcPr>
          <w:p>
            <w:pPr>
              <w:spacing w:after="0" w:before="0" w:line="240" w:lineRule="auto"/>
              <w:jc w:val="left"/>
            </w:pPr>
            <w:r>
              <w:t>Records transfer of the agreed system and responsibilities</w:t>
            </w:r>
          </w:p>
        </w:tc>
      </w:tr>
      <w:tr>
        <w:tc>
          <w:tcPr>
            <w:tcW w:type="dxa" w:w="5400"/>
          </w:tcPr>
          <w:p>
            <w:pPr>
              <w:spacing w:after="0" w:before="0" w:line="240" w:lineRule="auto"/>
              <w:jc w:val="left"/>
            </w:pPr>
            <w:r>
              <w:t>SAT completion report</w:t>
            </w:r>
          </w:p>
        </w:tc>
        <w:tc>
          <w:tcPr>
            <w:tcW w:type="dxa" w:w="5400"/>
          </w:tcPr>
          <w:p>
            <w:pPr>
              <w:spacing w:after="0" w:before="0" w:line="240" w:lineRule="auto"/>
              <w:jc w:val="left"/>
            </w:pPr>
            <w:r>
              <w:t>Summarizes site testing and results</w:t>
            </w:r>
          </w:p>
        </w:tc>
      </w:tr>
      <w:tr>
        <w:tc>
          <w:tcPr>
            <w:tcW w:type="dxa" w:w="5400"/>
          </w:tcPr>
          <w:p>
            <w:pPr>
              <w:spacing w:after="0" w:before="0" w:line="240" w:lineRule="auto"/>
              <w:jc w:val="left"/>
            </w:pPr>
            <w:r>
              <w:t>Final punch-point register</w:t>
            </w:r>
          </w:p>
        </w:tc>
        <w:tc>
          <w:tcPr>
            <w:tcW w:type="dxa" w:w="5400"/>
          </w:tcPr>
          <w:p>
            <w:pPr>
              <w:spacing w:after="0" w:before="0" w:line="240" w:lineRule="auto"/>
              <w:jc w:val="left"/>
            </w:pPr>
            <w:r>
              <w:t>Records open items, closure evidence, and approved dispositions</w:t>
            </w:r>
          </w:p>
        </w:tc>
      </w:tr>
      <w:tr>
        <w:tc>
          <w:tcPr>
            <w:tcW w:type="dxa" w:w="5400"/>
          </w:tcPr>
          <w:p>
            <w:pPr>
              <w:spacing w:after="0" w:before="0" w:line="240" w:lineRule="auto"/>
              <w:jc w:val="left"/>
            </w:pPr>
            <w:r>
              <w:t>Final document register</w:t>
            </w:r>
          </w:p>
        </w:tc>
        <w:tc>
          <w:tcPr>
            <w:tcW w:type="dxa" w:w="5400"/>
          </w:tcPr>
          <w:p>
            <w:pPr>
              <w:spacing w:after="0" w:before="0" w:line="240" w:lineRule="auto"/>
              <w:jc w:val="left"/>
            </w:pPr>
            <w:r>
              <w:t>Identifies the delivered document set and revisions</w:t>
            </w:r>
          </w:p>
        </w:tc>
      </w:tr>
      <w:tr>
        <w:tc>
          <w:tcPr>
            <w:tcW w:type="dxa" w:w="5400"/>
          </w:tcPr>
          <w:p>
            <w:pPr>
              <w:spacing w:after="0" w:before="0" w:line="240" w:lineRule="auto"/>
              <w:jc w:val="left"/>
            </w:pPr>
            <w:r>
              <w:t>As-built drawing package</w:t>
            </w:r>
          </w:p>
        </w:tc>
        <w:tc>
          <w:tcPr>
            <w:tcW w:type="dxa" w:w="5400"/>
          </w:tcPr>
          <w:p>
            <w:pPr>
              <w:spacing w:after="0" w:before="0" w:line="240" w:lineRule="auto"/>
              <w:jc w:val="left"/>
            </w:pPr>
            <w:r>
              <w:t>Records the final installed arrangement</w:t>
            </w:r>
          </w:p>
        </w:tc>
      </w:tr>
      <w:tr>
        <w:tc>
          <w:tcPr>
            <w:tcW w:type="dxa" w:w="5400"/>
          </w:tcPr>
          <w:p>
            <w:pPr>
              <w:spacing w:after="0" w:before="0" w:line="240" w:lineRule="auto"/>
              <w:jc w:val="left"/>
            </w:pPr>
            <w:r>
              <w:t>Software backup register</w:t>
            </w:r>
          </w:p>
        </w:tc>
        <w:tc>
          <w:tcPr>
            <w:tcW w:type="dxa" w:w="5400"/>
          </w:tcPr>
          <w:p>
            <w:pPr>
              <w:spacing w:after="0" w:before="0" w:line="240" w:lineRule="auto"/>
              <w:jc w:val="left"/>
            </w:pPr>
            <w:r>
              <w:t>Identifies approved backups and their equipment association</w:t>
            </w:r>
          </w:p>
        </w:tc>
      </w:tr>
      <w:tr>
        <w:tc>
          <w:tcPr>
            <w:tcW w:type="dxa" w:w="5400"/>
          </w:tcPr>
          <w:p>
            <w:pPr>
              <w:spacing w:after="0" w:before="0" w:line="240" w:lineRule="auto"/>
              <w:jc w:val="left"/>
            </w:pPr>
            <w:r>
              <w:t>Safety validation package</w:t>
            </w:r>
          </w:p>
        </w:tc>
        <w:tc>
          <w:tcPr>
            <w:tcW w:type="dxa" w:w="5400"/>
          </w:tcPr>
          <w:p>
            <w:pPr>
              <w:spacing w:after="0" w:before="0" w:line="240" w:lineRule="auto"/>
              <w:jc w:val="left"/>
            </w:pPr>
            <w:r>
              <w:t>Provides required safety-related evidence</w:t>
            </w:r>
          </w:p>
        </w:tc>
      </w:tr>
      <w:tr>
        <w:tc>
          <w:tcPr>
            <w:tcW w:type="dxa" w:w="5400"/>
          </w:tcPr>
          <w:p>
            <w:pPr>
              <w:spacing w:after="0" w:before="0" w:line="240" w:lineRule="auto"/>
              <w:jc w:val="left"/>
            </w:pPr>
            <w:r>
              <w:t>Calibration and inspection records</w:t>
            </w:r>
          </w:p>
        </w:tc>
        <w:tc>
          <w:tcPr>
            <w:tcW w:type="dxa" w:w="5400"/>
          </w:tcPr>
          <w:p>
            <w:pPr>
              <w:spacing w:after="0" w:before="0" w:line="240" w:lineRule="auto"/>
              <w:jc w:val="left"/>
            </w:pPr>
            <w:r>
              <w:t>Establishes required measurement and inspection status</w:t>
            </w:r>
          </w:p>
        </w:tc>
      </w:tr>
      <w:tr>
        <w:tc>
          <w:tcPr>
            <w:tcW w:type="dxa" w:w="5400"/>
          </w:tcPr>
          <w:p>
            <w:pPr>
              <w:spacing w:after="0" w:before="0" w:line="240" w:lineRule="auto"/>
              <w:jc w:val="left"/>
            </w:pPr>
            <w:r>
              <w:t>Asset and spare-parts records</w:t>
            </w:r>
          </w:p>
        </w:tc>
        <w:tc>
          <w:tcPr>
            <w:tcW w:type="dxa" w:w="5400"/>
          </w:tcPr>
          <w:p>
            <w:pPr>
              <w:spacing w:after="0" w:before="0" w:line="240" w:lineRule="auto"/>
              <w:jc w:val="left"/>
            </w:pPr>
            <w:r>
              <w:t>Supports maintenance and procurement</w:t>
            </w:r>
          </w:p>
        </w:tc>
      </w:tr>
      <w:tr>
        <w:tc>
          <w:tcPr>
            <w:tcW w:type="dxa" w:w="5400"/>
          </w:tcPr>
          <w:p>
            <w:pPr>
              <w:spacing w:after="0" w:before="0" w:line="240" w:lineRule="auto"/>
              <w:jc w:val="left"/>
            </w:pPr>
            <w:r>
              <w:t>Training records</w:t>
            </w:r>
          </w:p>
        </w:tc>
        <w:tc>
          <w:tcPr>
            <w:tcW w:type="dxa" w:w="5400"/>
          </w:tcPr>
          <w:p>
            <w:pPr>
              <w:spacing w:after="0" w:before="0" w:line="240" w:lineRule="auto"/>
              <w:jc w:val="left"/>
            </w:pPr>
            <w:r>
              <w:t>Documents required knowledge transfer</w:t>
            </w:r>
          </w:p>
        </w:tc>
      </w:tr>
      <w:tr>
        <w:tc>
          <w:tcPr>
            <w:tcW w:type="dxa" w:w="5400"/>
          </w:tcPr>
          <w:p>
            <w:pPr>
              <w:spacing w:after="0" w:before="0" w:line="240" w:lineRule="auto"/>
              <w:jc w:val="left"/>
            </w:pPr>
            <w:r>
              <w:t>Warranty and support records</w:t>
            </w:r>
          </w:p>
        </w:tc>
        <w:tc>
          <w:tcPr>
            <w:tcW w:type="dxa" w:w="5400"/>
          </w:tcPr>
          <w:p>
            <w:pPr>
              <w:spacing w:after="0" w:before="0" w:line="240" w:lineRule="auto"/>
              <w:jc w:val="left"/>
            </w:pPr>
            <w:r>
              <w:t>Establishes applicable service obligations</w:t>
            </w:r>
          </w:p>
        </w:tc>
      </w:tr>
      <w:tr>
        <w:tc>
          <w:tcPr>
            <w:tcW w:type="dxa" w:w="5400"/>
          </w:tcPr>
          <w:p>
            <w:pPr>
              <w:spacing w:after="0" w:before="0" w:line="240" w:lineRule="auto"/>
              <w:jc w:val="left"/>
            </w:pPr>
            <w:r>
              <w:t>Preventive maintenance plan</w:t>
            </w:r>
          </w:p>
        </w:tc>
        <w:tc>
          <w:tcPr>
            <w:tcW w:type="dxa" w:w="5400"/>
          </w:tcPr>
          <w:p>
            <w:pPr>
              <w:spacing w:after="0" w:before="0" w:line="240" w:lineRule="auto"/>
              <w:jc w:val="left"/>
            </w:pPr>
            <w:r>
              <w:t>Defines required recurring maintenance activities</w:t>
            </w:r>
          </w:p>
        </w:tc>
      </w:tr>
      <w:tr>
        <w:tc>
          <w:tcPr>
            <w:tcW w:type="dxa" w:w="5400"/>
          </w:tcPr>
          <w:p>
            <w:pPr>
              <w:spacing w:after="0" w:before="0" w:line="240" w:lineRule="auto"/>
              <w:jc w:val="left"/>
            </w:pPr>
            <w:r>
              <w:t>Change and deviation records</w:t>
            </w:r>
          </w:p>
        </w:tc>
        <w:tc>
          <w:tcPr>
            <w:tcW w:type="dxa" w:w="5400"/>
          </w:tcPr>
          <w:p>
            <w:pPr>
              <w:spacing w:after="0" w:before="0" w:line="240" w:lineRule="auto"/>
              <w:jc w:val="left"/>
            </w:pPr>
            <w:r>
              <w:t>Preserves the history and approval of accepted changes</w:t>
            </w:r>
          </w:p>
        </w:tc>
      </w:tr>
    </w:tbl>
    <w:p/>
    <w:p>
      <w:r>
        <w:t>The project may combine some records or use different document names. The important requirement is that the agreed information is complete, controlled, traceable, and approved.</w:t>
      </w:r>
    </w:p>
    <w:p>
      <w:pPr>
        <w:pStyle w:val="Heading2"/>
      </w:pPr>
      <w:r>
        <w:t>18. Common Mistakes During Final Acceptance</w:t>
      </w:r>
    </w:p>
    <w:p>
      <w:pPr>
        <w:pStyle w:val="ListBullet"/>
      </w:pPr>
      <w:r>
        <w:t>Treating a successful SAT run as automatic final acceptance.</w:t>
      </w:r>
    </w:p>
    <w:p>
      <w:pPr>
        <w:pStyle w:val="ListBullet"/>
      </w:pPr>
      <w:r>
        <w:t>Accepting unresolved safety defects because production is urgent.</w:t>
      </w:r>
    </w:p>
    <w:p>
      <w:pPr>
        <w:pStyle w:val="ListBullet"/>
      </w:pPr>
      <w:r>
        <w:t>Signing a certificate before reviewing the acceptance evidence.</w:t>
      </w:r>
    </w:p>
    <w:p>
      <w:pPr>
        <w:pStyle w:val="ListBullet"/>
      </w:pPr>
      <w:r>
        <w:t>Allowing verbal agreements to replace formal deviation approval.</w:t>
      </w:r>
    </w:p>
    <w:p>
      <w:pPr>
        <w:pStyle w:val="ListBullet"/>
      </w:pPr>
      <w:r>
        <w:t>Handing over old PLC or robot backups.</w:t>
      </w:r>
    </w:p>
    <w:p>
      <w:pPr>
        <w:pStyle w:val="ListBullet"/>
      </w:pPr>
      <w:r>
        <w:t>Omitting software licenses or required configuration dependencies.</w:t>
      </w:r>
    </w:p>
    <w:p>
      <w:pPr>
        <w:pStyle w:val="ListBullet"/>
      </w:pPr>
      <w:r>
        <w:t>Transferring equipment without maintenance ownership being defined.</w:t>
      </w:r>
    </w:p>
    <w:p>
      <w:pPr>
        <w:pStyle w:val="ListBullet"/>
      </w:pPr>
      <w:r>
        <w:t>Leaving preventive maintenance plans uncreated.</w:t>
      </w:r>
    </w:p>
    <w:p>
      <w:pPr>
        <w:pStyle w:val="ListBullet"/>
      </w:pPr>
      <w:r>
        <w:t>Failing to provide spare-parts and obsolescence information.</w:t>
      </w:r>
    </w:p>
    <w:p>
      <w:pPr>
        <w:pStyle w:val="ListBullet"/>
      </w:pPr>
      <w:r>
        <w:t>Treating an incomplete manual as acceptable without reviewing the contractual requirements.</w:t>
      </w:r>
    </w:p>
    <w:p>
      <w:pPr>
        <w:pStyle w:val="ListBullet"/>
      </w:pPr>
      <w:r>
        <w:t>Failing to document conditional acceptance and its limitations.</w:t>
      </w:r>
    </w:p>
    <w:p>
      <w:pPr>
        <w:pStyle w:val="ListBullet"/>
      </w:pPr>
      <w:r>
        <w:t>Closing punch-points without required retesting.</w:t>
      </w:r>
    </w:p>
    <w:p>
      <w:pPr>
        <w:pStyle w:val="ListBullet"/>
      </w:pPr>
      <w:r>
        <w:t>Forgetting warranty dates and supplier escalation procedures.</w:t>
      </w:r>
    </w:p>
    <w:p>
      <w:pPr>
        <w:pStyle w:val="ListBullet"/>
      </w:pPr>
      <w:r>
        <w:t>Failing to identify who owns outstanding actions after the commissioning team leaves.</w:t>
      </w:r>
    </w:p>
    <w:p>
      <w:pPr>
        <w:pStyle w:val="ListBullet"/>
      </w:pPr>
      <w:r>
        <w:t>Treating the handover meeting as a substitute for actual transfer of records and responsibilities.</w:t>
      </w:r>
    </w:p>
    <w:p>
      <w:r>
        <w:t>The recurring mistake is confusing the machine's current ability to run with the organization's ability to operate and maintain it reliably.</w:t>
      </w:r>
    </w:p>
    <w:p>
      <w:pPr>
        <w:pStyle w:val="Heading2"/>
      </w:pPr>
      <w:r>
        <w:t>19. Practical Automotive Manufacturing Example</w:t>
      </w:r>
    </w:p>
    <w:p>
      <w:r>
        <w:t>Consider a new automated transmission assembly station being commissioned at an automotive plant.</w:t>
      </w:r>
    </w:p>
    <w:p>
      <w:r>
        <w:t>The station contains a PLC, HMI, VFD-driven conveyors, servo positioning, barcode readers, pneumatic clamps, safety interlocks, and a quality measurement system.</w:t>
      </w:r>
    </w:p>
    <w:p>
      <w:pPr>
        <w:pStyle w:val="Heading3"/>
      </w:pPr>
      <w:r>
        <w:t>Final acceptance review</w:t>
      </w:r>
    </w:p>
    <w:p>
      <w:r>
        <w:t>The team verifies that:</w:t>
      </w:r>
    </w:p>
    <w:p>
      <w:pPr>
        <w:tabs>
          <w:tab w:pos="403" w:val="left"/>
        </w:tabs>
        <w:spacing w:after="40" w:line="276" w:lineRule="auto"/>
        <w:ind w:left="403" w:hanging="403"/>
        <w:jc w:val="left"/>
      </w:pPr>
      <w:r>
        <w:rPr>
          <w:color w:val="1A2E4A"/>
        </w:rPr>
        <w:t>1.</w:t>
        <w:tab/>
      </w:r>
      <w:r>
        <w:t>The agreed machine functions and sequences pass their SAT tests.</w:t>
      </w:r>
    </w:p>
    <w:p>
      <w:pPr>
        <w:tabs>
          <w:tab w:pos="403" w:val="left"/>
        </w:tabs>
        <w:spacing w:after="40" w:line="276" w:lineRule="auto"/>
        <w:ind w:left="403" w:hanging="403"/>
        <w:jc w:val="left"/>
      </w:pPr>
      <w:r>
        <w:rPr>
          <w:color w:val="1A2E4A"/>
        </w:rPr>
        <w:t>2.</w:t>
        <w:tab/>
      </w:r>
      <w:r>
        <w:t>Required safety functions have been validated.</w:t>
      </w:r>
    </w:p>
    <w:p>
      <w:pPr>
        <w:tabs>
          <w:tab w:pos="403" w:val="left"/>
        </w:tabs>
        <w:spacing w:after="40" w:line="276" w:lineRule="auto"/>
        <w:ind w:left="403" w:hanging="403"/>
        <w:jc w:val="left"/>
      </w:pPr>
      <w:r>
        <w:rPr>
          <w:color w:val="1A2E4A"/>
        </w:rPr>
        <w:t>3.</w:t>
        <w:tab/>
      </w:r>
      <w:r>
        <w:t>The specified production cycle time is achieved under the agreed conditions.</w:t>
      </w:r>
    </w:p>
    <w:p>
      <w:pPr>
        <w:tabs>
          <w:tab w:pos="403" w:val="left"/>
        </w:tabs>
        <w:spacing w:after="40" w:line="276" w:lineRule="auto"/>
        <w:ind w:left="403" w:hanging="403"/>
        <w:jc w:val="left"/>
      </w:pPr>
      <w:r>
        <w:rPr>
          <w:color w:val="1A2E4A"/>
        </w:rPr>
        <w:t>4.</w:t>
        <w:tab/>
      </w:r>
      <w:r>
        <w:t>Required stability and repeated-cycle tests meet their criteria.</w:t>
      </w:r>
    </w:p>
    <w:p>
      <w:pPr>
        <w:tabs>
          <w:tab w:pos="403" w:val="left"/>
        </w:tabs>
        <w:spacing w:after="40" w:line="276" w:lineRule="auto"/>
        <w:ind w:left="403" w:hanging="403"/>
        <w:jc w:val="left"/>
      </w:pPr>
      <w:r>
        <w:rPr>
          <w:color w:val="1A2E4A"/>
        </w:rPr>
        <w:t>5.</w:t>
        <w:tab/>
      </w:r>
      <w:r>
        <w:t>Quality measurements meet the specified acceptance requirements.</w:t>
      </w:r>
    </w:p>
    <w:p>
      <w:pPr>
        <w:tabs>
          <w:tab w:pos="403" w:val="left"/>
        </w:tabs>
        <w:spacing w:after="40" w:line="276" w:lineRule="auto"/>
        <w:ind w:left="403" w:hanging="403"/>
        <w:jc w:val="left"/>
      </w:pPr>
      <w:r>
        <w:rPr>
          <w:color w:val="1A2E4A"/>
        </w:rPr>
        <w:t>6.</w:t>
        <w:tab/>
      </w:r>
      <w:r>
        <w:t>All critical punch-points are closed.</w:t>
      </w:r>
    </w:p>
    <w:p>
      <w:pPr>
        <w:tabs>
          <w:tab w:pos="403" w:val="left"/>
        </w:tabs>
        <w:spacing w:after="40" w:line="276" w:lineRule="auto"/>
        <w:ind w:left="403" w:hanging="403"/>
        <w:jc w:val="left"/>
      </w:pPr>
      <w:r>
        <w:rPr>
          <w:color w:val="1A2E4A"/>
        </w:rPr>
        <w:t>7.</w:t>
        <w:tab/>
      </w:r>
      <w:r>
        <w:t>Any permitted outstanding items have authorized dispositions.</w:t>
      </w:r>
    </w:p>
    <w:p>
      <w:pPr>
        <w:tabs>
          <w:tab w:pos="403" w:val="left"/>
        </w:tabs>
        <w:spacing w:after="40" w:line="276" w:lineRule="auto"/>
        <w:ind w:left="403" w:hanging="403"/>
        <w:jc w:val="left"/>
      </w:pPr>
      <w:r>
        <w:rPr>
          <w:color w:val="1A2E4A"/>
        </w:rPr>
        <w:t>8.</w:t>
        <w:tab/>
      </w:r>
      <w:r>
        <w:t>Final as-built drawings and automation backups are verified.</w:t>
      </w:r>
    </w:p>
    <w:p>
      <w:pPr>
        <w:tabs>
          <w:tab w:pos="403" w:val="left"/>
        </w:tabs>
        <w:spacing w:after="40" w:line="276" w:lineRule="auto"/>
        <w:ind w:left="403" w:hanging="403"/>
        <w:jc w:val="left"/>
      </w:pPr>
      <w:r>
        <w:rPr>
          <w:color w:val="1A2E4A"/>
        </w:rPr>
        <w:t>9.</w:t>
        <w:tab/>
      </w:r>
      <w:r>
        <w:t>Required training and documentation are complete.</w:t>
      </w:r>
    </w:p>
    <w:p>
      <w:pPr>
        <w:pStyle w:val="Heading3"/>
      </w:pPr>
      <w:r>
        <w:t>Handover to production and maintenance</w:t>
      </w:r>
    </w:p>
    <w:p>
      <w:r>
        <w:t>The team then confirms that:</w:t>
      </w:r>
    </w:p>
    <w:p>
      <w:pPr>
        <w:pStyle w:val="ListBullet"/>
      </w:pPr>
      <w:r>
        <w:t>Production has received operating and recovery instructions.</w:t>
      </w:r>
    </w:p>
    <w:p>
      <w:pPr>
        <w:pStyle w:val="ListBullet"/>
      </w:pPr>
      <w:r>
        <w:t>Maintenance has received drawings, backups, alarm information, and troubleshooting guides.</w:t>
      </w:r>
    </w:p>
    <w:p>
      <w:pPr>
        <w:pStyle w:val="ListBullet"/>
      </w:pPr>
      <w:r>
        <w:t>Critical spare parts are identified and available as agreed.</w:t>
      </w:r>
    </w:p>
    <w:p>
      <w:pPr>
        <w:pStyle w:val="ListBullet"/>
      </w:pPr>
      <w:r>
        <w:t>Preventive maintenance tasks are created in the maintenance system.</w:t>
      </w:r>
    </w:p>
    <w:p>
      <w:pPr>
        <w:pStyle w:val="ListBullet"/>
      </w:pPr>
      <w:r>
        <w:t>The machine's asset hierarchy is established.</w:t>
      </w:r>
    </w:p>
    <w:p>
      <w:pPr>
        <w:pStyle w:val="ListBullet"/>
      </w:pPr>
      <w:r>
        <w:t>Required software and diagnostic tools are available to authorized personnel.</w:t>
      </w:r>
    </w:p>
    <w:p>
      <w:pPr>
        <w:pStyle w:val="ListBullet"/>
      </w:pPr>
      <w:r>
        <w:t>Warranty and supplier escalation information is recorded.</w:t>
      </w:r>
    </w:p>
    <w:p>
      <w:pPr>
        <w:pStyle w:val="ListBullet"/>
      </w:pPr>
      <w:r>
        <w:t>The final acceptance and handover records are signed by the designated representatives.</w:t>
      </w:r>
    </w:p>
    <w:p>
      <w:pPr>
        <w:pStyle w:val="Heading3"/>
      </w:pPr>
      <w:r>
        <w:t>Example of an acceptance decision</w:t>
      </w:r>
    </w:p>
    <w:p>
      <w:r>
        <w:t>If the station passes its technical tests but the approved final PLC backup is missing, the team must evaluate the issue against the contractual deliverables and acceptance procedure. If that backup is a mandatory prerequisite, acceptance must wait until the requirement is satisfied. If a formal procedure permits conditional acceptance for a particular noncritical deliverable, the condition must be explicitly documented and authorized.</w:t>
      </w:r>
    </w:p>
    <w:p>
      <w:r>
        <w:t>This avoids transferring a machine that is productive today but difficult or impossible to recover after a serious controls failure.</w:t>
      </w:r>
    </w:p>
    <w:p>
      <w:pPr>
        <w:pStyle w:val="Heading2"/>
      </w:pPr>
      <w:r>
        <w:t>20. Final Acceptance Checklist</w:t>
      </w:r>
    </w:p>
    <w:p>
      <w:pPr>
        <w:pStyle w:val="ListBullet"/>
      </w:pPr>
      <w:r>
        <w:t>Agreed scope of supply has been reviewed.</w:t>
      </w:r>
    </w:p>
    <w:p>
      <w:pPr>
        <w:pStyle w:val="ListBullet"/>
      </w:pPr>
      <w:r>
        <w:t>Required commissioning and SAT activities are complete.</w:t>
      </w:r>
    </w:p>
    <w:p>
      <w:pPr>
        <w:pStyle w:val="ListBullet"/>
      </w:pPr>
      <w:r>
        <w:t>Functional and sequence tests meet their acceptance criteria.</w:t>
      </w:r>
    </w:p>
    <w:p>
      <w:pPr>
        <w:pStyle w:val="ListBullet"/>
      </w:pPr>
      <w:r>
        <w:t>Required safety validation is complete and approved.</w:t>
      </w:r>
    </w:p>
    <w:p>
      <w:pPr>
        <w:pStyle w:val="ListBullet"/>
      </w:pPr>
      <w:r>
        <w:t>Performance, cycle-time, stability, and reliability evidence is complete where required.</w:t>
      </w:r>
    </w:p>
    <w:p>
      <w:pPr>
        <w:pStyle w:val="ListBullet"/>
      </w:pPr>
      <w:r>
        <w:t>Quality and measurement requirements are satisfied.</w:t>
      </w:r>
    </w:p>
    <w:p>
      <w:pPr>
        <w:pStyle w:val="ListBullet"/>
      </w:pPr>
      <w:r>
        <w:t>Critical defects and mandatory punch-points are closed.</w:t>
      </w:r>
    </w:p>
    <w:p>
      <w:pPr>
        <w:pStyle w:val="ListBullet"/>
      </w:pPr>
      <w:r>
        <w:t>Remaining items have approved dispositions where permitted.</w:t>
      </w:r>
    </w:p>
    <w:p>
      <w:pPr>
        <w:pStyle w:val="ListBullet"/>
      </w:pPr>
      <w:r>
        <w:t>Final as-built drawings are verified.</w:t>
      </w:r>
    </w:p>
    <w:p>
      <w:pPr>
        <w:pStyle w:val="ListBullet"/>
      </w:pPr>
      <w:r>
        <w:t>PLC, HMI, SCADA, drive, servo, robot, and CNC backups are verified as applicable.</w:t>
      </w:r>
    </w:p>
    <w:p>
      <w:pPr>
        <w:pStyle w:val="ListBullet"/>
      </w:pPr>
      <w:r>
        <w:t>Required calibration and inspection records are available.</w:t>
      </w:r>
    </w:p>
    <w:p>
      <w:pPr>
        <w:pStyle w:val="ListBullet"/>
      </w:pPr>
      <w:r>
        <w:t>Operating and maintenance manuals are complete.</w:t>
      </w:r>
    </w:p>
    <w:p>
      <w:pPr>
        <w:pStyle w:val="ListBullet"/>
      </w:pPr>
      <w:r>
        <w:t>Spare-parts and obsolescence information is available.</w:t>
      </w:r>
    </w:p>
    <w:p>
      <w:pPr>
        <w:pStyle w:val="ListBullet"/>
      </w:pPr>
      <w:r>
        <w:t>Preventive maintenance requirements are established.</w:t>
      </w:r>
    </w:p>
    <w:p>
      <w:pPr>
        <w:pStyle w:val="ListBullet"/>
      </w:pPr>
      <w:r>
        <w:t>Required operator and maintenance training is complete.</w:t>
      </w:r>
    </w:p>
    <w:p>
      <w:pPr>
        <w:pStyle w:val="ListBullet"/>
      </w:pPr>
      <w:r>
        <w:t>Asset and maintenance-system records are established as required.</w:t>
      </w:r>
    </w:p>
    <w:p>
      <w:pPr>
        <w:pStyle w:val="ListBullet"/>
      </w:pPr>
      <w:r>
        <w:t>Software licenses and recovery dependencies are identified.</w:t>
      </w:r>
    </w:p>
    <w:p>
      <w:pPr>
        <w:pStyle w:val="ListBullet"/>
      </w:pPr>
      <w:r>
        <w:t>Warranty and supplier support arrangements are recorded.</w:t>
      </w:r>
    </w:p>
    <w:p>
      <w:pPr>
        <w:pStyle w:val="ListBullet"/>
      </w:pPr>
      <w:r>
        <w:t>Document register and handover package are complete.</w:t>
      </w:r>
    </w:p>
    <w:p>
      <w:pPr>
        <w:pStyle w:val="ListBullet"/>
      </w:pPr>
      <w:r>
        <w:t>Receiving and approving parties are identified.</w:t>
      </w:r>
    </w:p>
    <w:p>
      <w:pPr>
        <w:pStyle w:val="ListBullet"/>
      </w:pPr>
      <w:r>
        <w:t>Final acceptance and handover approvals are recorded.</w:t>
      </w:r>
    </w:p>
    <w:p>
      <w:pPr>
        <w:pStyle w:val="ListBullet"/>
      </w:pPr>
      <w:r>
        <w:t>Ownership and responsibility for outstanding obligations are assigned.</w:t>
      </w:r>
    </w:p>
    <w:p>
      <w:pPr>
        <w:pStyle w:val="Heading2"/>
      </w:pPr>
      <w:r>
        <w:t>21. Interview Questions and Answers</w:t>
      </w:r>
    </w:p>
    <w:p>
      <w:pPr>
        <w:pStyle w:val="Heading3"/>
      </w:pPr>
      <w:r>
        <w:t>Q1. What is final acceptance?</w:t>
      </w:r>
    </w:p>
    <w:p>
      <w:r>
        <w:t>Final acceptance is the formal decision that the delivered system satisfies the applicable acceptance requirements, subject to any conditions explicitly permitted and authorized under the governing process.</w:t>
      </w:r>
    </w:p>
    <w:p>
      <w:pPr>
        <w:pStyle w:val="Heading3"/>
      </w:pPr>
      <w:r>
        <w:t>Q2. What is the difference between final acceptance and handover?</w:t>
      </w:r>
    </w:p>
    <w:p>
      <w:r>
        <w:t>Final acceptance establishes the system's acceptance status. Handover transfers the agreed equipment, records, knowledge, and responsibilities to the receiving organization.</w:t>
      </w:r>
    </w:p>
    <w:p>
      <w:pPr>
        <w:pStyle w:val="Heading3"/>
      </w:pPr>
      <w:r>
        <w:t>Q3. Can a machine pass SAT but fail final acceptance?</w:t>
      </w:r>
    </w:p>
    <w:p>
      <w:r>
        <w:t>Yes. Mandatory documentation, safety evidence, required deliverables, contractual obligations, or other acceptance conditions may remain incomplete even when the machine operates correctly.</w:t>
      </w:r>
    </w:p>
    <w:p>
      <w:pPr>
        <w:pStyle w:val="Heading3"/>
      </w:pPr>
      <w:r>
        <w:t>Q4. What is a punch-point?</w:t>
      </w:r>
    </w:p>
    <w:p>
      <w:r>
        <w:t>A punch-point is a recorded defect, deviation, incomplete task, or outstanding deliverable that requires correction, verification, or an authorized disposition.</w:t>
      </w:r>
    </w:p>
    <w:p>
      <w:pPr>
        <w:pStyle w:val="Heading3"/>
      </w:pPr>
      <w:r>
        <w:t>Q5. Can a machine be accepted with open punch-points?</w:t>
      </w:r>
    </w:p>
    <w:p>
      <w:r>
        <w:t>Only when the applicable acceptance process permits it and each outstanding item has the required assessment, controls, ownership, deadline, and authorization. Mandatory safety or legal requirements cannot be bypassed.</w:t>
      </w:r>
    </w:p>
    <w:p>
      <w:pPr>
        <w:pStyle w:val="Heading3"/>
      </w:pPr>
      <w:r>
        <w:t>Q6. What should be included in a technical handover?</w:t>
      </w:r>
    </w:p>
    <w:p>
      <w:r>
        <w:t>At minimum, the applicable approved drawings, software backups, configuration records, manuals, test evidence, maintenance information, spare-parts data, training records, and unresolved-item register.</w:t>
      </w:r>
    </w:p>
    <w:p>
      <w:pPr>
        <w:pStyle w:val="Heading3"/>
      </w:pPr>
      <w:r>
        <w:t>Q7. Why is the final PLC backup important?</w:t>
      </w:r>
    </w:p>
    <w:p>
      <w:r>
        <w:t>It provides a recovery reference for the approved installed control configuration. It must be associated with the correct machine and verified for completeness and intended restoration use.</w:t>
      </w:r>
    </w:p>
    <w:p>
      <w:pPr>
        <w:pStyle w:val="Heading3"/>
      </w:pPr>
      <w:r>
        <w:t>Q8. What is the purpose of a handover certificate?</w:t>
      </w:r>
    </w:p>
    <w:p>
      <w:r>
        <w:t>It formally records the transfer of the agreed system or deliverables, the effective date, relevant conditions, and the responsible parties according to the applicable procedure.</w:t>
      </w:r>
    </w:p>
    <w:p>
      <w:pPr>
        <w:pStyle w:val="Heading3"/>
      </w:pPr>
      <w:r>
        <w:t>Q9. Why must preventive maintenance be established before handover?</w:t>
      </w:r>
    </w:p>
    <w:p>
      <w:r>
        <w:t>Because the receiving maintenance team needs defined inspection, lubrication, calibration, replacement, and servicing requirements to maintain the equipment after commissioning.</w:t>
      </w:r>
    </w:p>
    <w:p>
      <w:pPr>
        <w:pStyle w:val="Heading3"/>
      </w:pPr>
      <w:r>
        <w:t>Q10. What is conditional acceptance?</w:t>
      </w:r>
    </w:p>
    <w:p>
      <w:r>
        <w:t>It is a formally authorized acceptance status that permits specified outstanding items under defined conditions, where the governing contract or procedure allows it.</w:t>
      </w:r>
    </w:p>
    <w:p>
      <w:pPr>
        <w:pStyle w:val="Heading3"/>
      </w:pPr>
      <w:r>
        <w:t>Q11. Who is responsible for final acceptance?</w:t>
      </w:r>
    </w:p>
    <w:p>
      <w:r>
        <w:t>The parties authorized by the contract and project governance make or approve the decision. Engineering, commissioning, safety, quality, production, maintenance, and the supplier provide the relevant evidence and input.</w:t>
      </w:r>
    </w:p>
    <w:p>
      <w:pPr>
        <w:pStyle w:val="Heading3"/>
      </w:pPr>
      <w:r>
        <w:t>Q12. What is the most important outcome of handover?</w:t>
      </w:r>
    </w:p>
    <w:p>
      <w:r>
        <w:t>The receiving organization has a clearly defined, approved, and supportable system, with the required technical information, operational knowledge, maintenance arrangements, and responsibilities in place.</w:t>
      </w:r>
    </w:p>
    <w:p>
      <w:pPr>
        <w:pStyle w:val="Heading2"/>
      </w:pPr>
      <w:r>
        <w:t>22. Final Principle</w:t>
      </w:r>
    </w:p>
    <w:p>
      <w:r>
        <w:t>Final acceptance and handover complete the transition from a commissioned project to an operational asset. The machine must meet its defined acceptance requirements, its final configuration and supporting records must be verified, and the receiving organization must understand its responsibilities.</w:t>
      </w:r>
    </w:p>
    <w:p>
      <w:r>
        <w:t>A successful handover means the receiving team is not merely given a running machine. It is given a verified system that can be operated, maintained, diagnosed, and recovered using controlled information and clearly assigned ownership.</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02_PLAN_WISE_2026\02_INDUSTRY3_0\15_PDI\01_Checklist - Checklist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Acceptance and Handover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