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Components</w:t>
      </w:r>
    </w:p>
    <w:p>
      <w:pPr>
        <w:pStyle w:val="Heading2"/>
      </w:pPr>
      <w:r>
        <w:t>1. Definition of Components in Industrial Equipment</w:t>
      </w:r>
    </w:p>
    <w:p>
      <w:r>
        <w:t>Components are the individual physical devices, assemblies, and functional elements that combine to form an industrial machine or automated system.</w:t>
      </w:r>
    </w:p>
    <w:p>
      <w:r>
        <w:t>In Pre-Delivery Inspection (PDI), component inspection verifies that the supplied equipment contains the correct components, in the correct quantities and configurations, with suitable ratings, mounting, identification, condition, and documentation.</w:t>
      </w:r>
    </w:p>
    <w:p>
      <w:r>
        <w:t>A machine may contain hundreds or thousands of components. Each component contributes to one or more functions, such as power distribution, motion, sensing, control, communication, safety, or quality measurement.</w:t>
      </w:r>
    </w:p>
    <w:p>
      <w:r>
        <w:t>For example, an automated automotive assembly station may contain a PLC, HMI, VFD, servo motor, pneumatic cylinders, proximity sensors, safety relays, circuit breakers, terminal blocks, connectors, and mechanical fixtures.</w:t>
      </w:r>
    </w:p>
    <w:p>
      <w:r>
        <w:t>PDI component verification is not simply counting devices. It establishes whether the actual installed components match the approved design and are suitable for their intended application.</w:t>
      </w:r>
    </w:p>
    <w:p>
      <w:pPr>
        <w:pStyle w:val="Heading2"/>
      </w:pPr>
      <w:r>
        <w:t>2. Objectives of Component Inspection</w:t>
      </w:r>
    </w:p>
    <w:p>
      <w:pPr>
        <w:pStyle w:val="ListBullet"/>
      </w:pPr>
      <w:r>
        <w:t>Verify component identity against the approved BOM, drawings, and specifications.</w:t>
      </w:r>
    </w:p>
    <w:p>
      <w:pPr>
        <w:pStyle w:val="ListBullet"/>
      </w:pPr>
      <w:r>
        <w:t>Confirm quantity, manufacturer, model, part number, and revision where applicable.</w:t>
      </w:r>
    </w:p>
    <w:p>
      <w:pPr>
        <w:pStyle w:val="ListBullet"/>
      </w:pPr>
      <w:r>
        <w:t>Verify electrical, mechanical, pneumatic, hydraulic, and environmental ratings.</w:t>
      </w:r>
    </w:p>
    <w:p>
      <w:pPr>
        <w:pStyle w:val="ListBullet"/>
      </w:pPr>
      <w:r>
        <w:t>Identify missing, damaged, substituted, obsolete, or incorrectly installed components.</w:t>
      </w:r>
    </w:p>
    <w:p>
      <w:pPr>
        <w:pStyle w:val="ListBullet"/>
      </w:pPr>
      <w:r>
        <w:t>Check mounting, fastening, connectors, wiring, tubing, and accessibility.</w:t>
      </w:r>
    </w:p>
    <w:p>
      <w:pPr>
        <w:pStyle w:val="ListBullet"/>
      </w:pPr>
      <w:r>
        <w:t>Verify component labels and identification against drawings and equipment tags.</w:t>
      </w:r>
    </w:p>
    <w:p>
      <w:pPr>
        <w:pStyle w:val="ListBullet"/>
      </w:pPr>
      <w:r>
        <w:t>Check safety-related components against approved safety requirements.</w:t>
      </w:r>
    </w:p>
    <w:p>
      <w:pPr>
        <w:pStyle w:val="ListBullet"/>
      </w:pPr>
      <w:r>
        <w:t>Confirm availability of required datasheets, certificates, manuals, and configuration files.</w:t>
      </w:r>
    </w:p>
    <w:p>
      <w:pPr>
        <w:pStyle w:val="ListBullet"/>
      </w:pPr>
      <w:r>
        <w:t>Identify spare parts, special tools, accessories, and loose items required for delivery.</w:t>
      </w:r>
    </w:p>
    <w:p>
      <w:pPr>
        <w:pStyle w:val="ListBullet"/>
      </w:pPr>
      <w:r>
        <w:t>Record discrepancies and ensure appropriate corrective action before acceptance.</w:t>
      </w:r>
    </w:p>
    <w:p>
      <w:pPr>
        <w:pStyle w:val="Heading2"/>
      </w:pPr>
      <w:r>
        <w:t>3. Component Hierarchy in an Industrial Machine</w:t>
      </w:r>
    </w:p>
    <w:p>
      <w:r>
        <w:t>A component hierarchy helps inspectors understand where a device belongs and which larger function depends on it.</w:t>
      </w:r>
    </w:p>
    <w:p>
      <w:pPr>
        <w:shd w:val="clear" w:color="auto" w:fill="F4F4F4"/>
        <w:spacing w:before="0" w:after="0" w:line="240" w:lineRule="auto"/>
        <w:ind w:left="216" w:right="216"/>
        <w:jc w:val="left"/>
      </w:pPr>
      <w:r>
        <w:rPr>
          <w:rFonts w:ascii="Consolas" w:hAnsi="Consolas"/>
          <w:color w:val="202020"/>
          <w:sz w:val="18"/>
        </w:rPr>
        <w:t>Industrial Machine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Subsystem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Assembly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Component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Part / Accessory</w:t>
      </w:r>
    </w:p>
    <w:p/>
    <w:p>
      <w:r>
        <w:t>Example:</w:t>
      </w:r>
    </w:p>
    <w:p>
      <w:pPr>
        <w:shd w:val="clear" w:color="auto" w:fill="F4F4F4"/>
        <w:spacing w:before="0" w:after="0" w:line="240" w:lineRule="auto"/>
        <w:ind w:left="216" w:right="216"/>
        <w:jc w:val="left"/>
      </w:pPr>
      <w:r>
        <w:rPr>
          <w:rFonts w:ascii="Consolas" w:hAnsi="Consolas"/>
          <w:color w:val="202020"/>
          <w:sz w:val="18"/>
        </w:rPr>
        <w:t>Automated Assembly Machine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Motion Control 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Axis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Motor Assembly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Encoder, Brake, Connector, Mounting Hardware</w:t>
      </w:r>
    </w:p>
    <w:p/>
    <w:p>
      <w:r>
        <w:t>The terminology can vary between manufacturers. A device considered an assembly in one BOM may be represented as a component in another. The approved engineering documentation defines the required hierarchy for inspection and traceability.</w:t>
      </w:r>
    </w:p>
    <w:p>
      <w:pPr>
        <w:pStyle w:val="Heading2"/>
      </w:pPr>
      <w:r>
        <w:t>4. Component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Category</w:t>
            </w:r>
          </w:p>
        </w:tc>
        <w:tc>
          <w:tcPr>
            <w:tcW w:type="dxa" w:w="3600"/>
            <w:shd w:val="clear" w:color="auto" w:fill="EEF2F7"/>
          </w:tcPr>
          <w:p>
            <w:pPr>
              <w:spacing w:after="0" w:before="0" w:line="240" w:lineRule="auto"/>
              <w:jc w:val="left"/>
            </w:pPr>
            <w:r>
              <w:rPr>
                <w:b/>
                <w:color w:val="1A2E4A"/>
              </w:rPr>
              <w:t>Examples</w:t>
            </w:r>
          </w:p>
        </w:tc>
        <w:tc>
          <w:tcPr>
            <w:tcW w:type="dxa" w:w="3600"/>
            <w:shd w:val="clear" w:color="auto" w:fill="EEF2F7"/>
          </w:tcPr>
          <w:p>
            <w:pPr>
              <w:spacing w:after="0" w:before="0" w:line="240" w:lineRule="auto"/>
              <w:jc w:val="left"/>
            </w:pPr>
            <w:r>
              <w:rPr>
                <w:b/>
                <w:color w:val="1A2E4A"/>
              </w:rPr>
              <w:t>Main PDI concern</w:t>
            </w:r>
          </w:p>
        </w:tc>
      </w:tr>
      <w:tr>
        <w:tc>
          <w:tcPr>
            <w:tcW w:type="dxa" w:w="3600"/>
          </w:tcPr>
          <w:p>
            <w:pPr>
              <w:spacing w:after="0" w:before="0" w:line="240" w:lineRule="auto"/>
              <w:jc w:val="left"/>
            </w:pPr>
            <w:r>
              <w:t>Electrical protection</w:t>
            </w:r>
          </w:p>
        </w:tc>
        <w:tc>
          <w:tcPr>
            <w:tcW w:type="dxa" w:w="3600"/>
          </w:tcPr>
          <w:p>
            <w:pPr>
              <w:spacing w:after="0" w:before="0" w:line="240" w:lineRule="auto"/>
              <w:jc w:val="left"/>
            </w:pPr>
            <w:r>
              <w:t>MCB, MCCB, fuse, overload relay</w:t>
            </w:r>
          </w:p>
        </w:tc>
        <w:tc>
          <w:tcPr>
            <w:tcW w:type="dxa" w:w="3600"/>
          </w:tcPr>
          <w:p>
            <w:pPr>
              <w:spacing w:after="0" w:before="0" w:line="240" w:lineRule="auto"/>
              <w:jc w:val="left"/>
            </w:pPr>
            <w:r>
              <w:t>Correct rating, type, coordination, and installation</w:t>
            </w:r>
          </w:p>
        </w:tc>
      </w:tr>
      <w:tr>
        <w:tc>
          <w:tcPr>
            <w:tcW w:type="dxa" w:w="3600"/>
          </w:tcPr>
          <w:p>
            <w:pPr>
              <w:spacing w:after="0" w:before="0" w:line="240" w:lineRule="auto"/>
              <w:jc w:val="left"/>
            </w:pPr>
            <w:r>
              <w:t>Power conversion</w:t>
            </w:r>
          </w:p>
        </w:tc>
        <w:tc>
          <w:tcPr>
            <w:tcW w:type="dxa" w:w="3600"/>
          </w:tcPr>
          <w:p>
            <w:pPr>
              <w:spacing w:after="0" w:before="0" w:line="240" w:lineRule="auto"/>
              <w:jc w:val="left"/>
            </w:pPr>
            <w:r>
              <w:t>VFD, servo drive, power supply</w:t>
            </w:r>
          </w:p>
        </w:tc>
        <w:tc>
          <w:tcPr>
            <w:tcW w:type="dxa" w:w="3600"/>
          </w:tcPr>
          <w:p>
            <w:pPr>
              <w:spacing w:after="0" w:before="0" w:line="240" w:lineRule="auto"/>
              <w:jc w:val="left"/>
            </w:pPr>
            <w:r>
              <w:t>Model, capacity, supply compatibility, cooling, and configuration</w:t>
            </w:r>
          </w:p>
        </w:tc>
      </w:tr>
      <w:tr>
        <w:tc>
          <w:tcPr>
            <w:tcW w:type="dxa" w:w="3600"/>
          </w:tcPr>
          <w:p>
            <w:pPr>
              <w:spacing w:after="0" w:before="0" w:line="240" w:lineRule="auto"/>
              <w:jc w:val="left"/>
            </w:pPr>
            <w:r>
              <w:t>Control</w:t>
            </w:r>
          </w:p>
        </w:tc>
        <w:tc>
          <w:tcPr>
            <w:tcW w:type="dxa" w:w="3600"/>
          </w:tcPr>
          <w:p>
            <w:pPr>
              <w:spacing w:after="0" w:before="0" w:line="240" w:lineRule="auto"/>
              <w:jc w:val="left"/>
            </w:pPr>
            <w:r>
              <w:t>PLC, remote I/O, relay, contactor</w:t>
            </w:r>
          </w:p>
        </w:tc>
        <w:tc>
          <w:tcPr>
            <w:tcW w:type="dxa" w:w="3600"/>
          </w:tcPr>
          <w:p>
            <w:pPr>
              <w:spacing w:after="0" w:before="0" w:line="240" w:lineRule="auto"/>
              <w:jc w:val="left"/>
            </w:pPr>
            <w:r>
              <w:t>Hardware identity, compatibility, and wiring</w:t>
            </w:r>
          </w:p>
        </w:tc>
      </w:tr>
      <w:tr>
        <w:tc>
          <w:tcPr>
            <w:tcW w:type="dxa" w:w="3600"/>
          </w:tcPr>
          <w:p>
            <w:pPr>
              <w:spacing w:after="0" w:before="0" w:line="240" w:lineRule="auto"/>
              <w:jc w:val="left"/>
            </w:pPr>
            <w:r>
              <w:t>HMI and visualization</w:t>
            </w:r>
          </w:p>
        </w:tc>
        <w:tc>
          <w:tcPr>
            <w:tcW w:type="dxa" w:w="3600"/>
          </w:tcPr>
          <w:p>
            <w:pPr>
              <w:spacing w:after="0" w:before="0" w:line="240" w:lineRule="auto"/>
              <w:jc w:val="left"/>
            </w:pPr>
            <w:r>
              <w:t>Operator panel, industrial PC</w:t>
            </w:r>
          </w:p>
        </w:tc>
        <w:tc>
          <w:tcPr>
            <w:tcW w:type="dxa" w:w="3600"/>
          </w:tcPr>
          <w:p>
            <w:pPr>
              <w:spacing w:after="0" w:before="0" w:line="240" w:lineRule="auto"/>
              <w:jc w:val="left"/>
            </w:pPr>
            <w:r>
              <w:t>Correct model, mounting, display, and interface</w:t>
            </w:r>
          </w:p>
        </w:tc>
      </w:tr>
      <w:tr>
        <w:tc>
          <w:tcPr>
            <w:tcW w:type="dxa" w:w="3600"/>
          </w:tcPr>
          <w:p>
            <w:pPr>
              <w:spacing w:after="0" w:before="0" w:line="240" w:lineRule="auto"/>
              <w:jc w:val="left"/>
            </w:pPr>
            <w:r>
              <w:t>Sensing</w:t>
            </w:r>
          </w:p>
        </w:tc>
        <w:tc>
          <w:tcPr>
            <w:tcW w:type="dxa" w:w="3600"/>
          </w:tcPr>
          <w:p>
            <w:pPr>
              <w:spacing w:after="0" w:before="0" w:line="240" w:lineRule="auto"/>
              <w:jc w:val="left"/>
            </w:pPr>
            <w:r>
              <w:t>Proximity sensor, photoelectric sensor, encoder</w:t>
            </w:r>
          </w:p>
        </w:tc>
        <w:tc>
          <w:tcPr>
            <w:tcW w:type="dxa" w:w="3600"/>
          </w:tcPr>
          <w:p>
            <w:pPr>
              <w:spacing w:after="0" w:before="0" w:line="240" w:lineRule="auto"/>
              <w:jc w:val="left"/>
            </w:pPr>
            <w:r>
              <w:t>Sensing type, range, output, mounting, and connector</w:t>
            </w:r>
          </w:p>
        </w:tc>
      </w:tr>
      <w:tr>
        <w:tc>
          <w:tcPr>
            <w:tcW w:type="dxa" w:w="3600"/>
          </w:tcPr>
          <w:p>
            <w:pPr>
              <w:spacing w:after="0" w:before="0" w:line="240" w:lineRule="auto"/>
              <w:jc w:val="left"/>
            </w:pPr>
            <w:r>
              <w:t>Actuation</w:t>
            </w:r>
          </w:p>
        </w:tc>
        <w:tc>
          <w:tcPr>
            <w:tcW w:type="dxa" w:w="3600"/>
          </w:tcPr>
          <w:p>
            <w:pPr>
              <w:spacing w:after="0" w:before="0" w:line="240" w:lineRule="auto"/>
              <w:jc w:val="left"/>
            </w:pPr>
            <w:r>
              <w:t>Motor, cylinder, solenoid valve, servo actuator</w:t>
            </w:r>
          </w:p>
        </w:tc>
        <w:tc>
          <w:tcPr>
            <w:tcW w:type="dxa" w:w="3600"/>
          </w:tcPr>
          <w:p>
            <w:pPr>
              <w:spacing w:after="0" w:before="0" w:line="240" w:lineRule="auto"/>
              <w:jc w:val="left"/>
            </w:pPr>
            <w:r>
              <w:t>Ratings, mounting, interfaces, and operating suitability</w:t>
            </w:r>
          </w:p>
        </w:tc>
      </w:tr>
      <w:tr>
        <w:tc>
          <w:tcPr>
            <w:tcW w:type="dxa" w:w="3600"/>
          </w:tcPr>
          <w:p>
            <w:pPr>
              <w:spacing w:after="0" w:before="0" w:line="240" w:lineRule="auto"/>
              <w:jc w:val="left"/>
            </w:pPr>
            <w:r>
              <w:t>Pneumatic</w:t>
            </w:r>
          </w:p>
        </w:tc>
        <w:tc>
          <w:tcPr>
            <w:tcW w:type="dxa" w:w="3600"/>
          </w:tcPr>
          <w:p>
            <w:pPr>
              <w:spacing w:after="0" w:before="0" w:line="240" w:lineRule="auto"/>
              <w:jc w:val="left"/>
            </w:pPr>
            <w:r>
              <w:t>Regulator, filter, valve manifold, tubing</w:t>
            </w:r>
          </w:p>
        </w:tc>
        <w:tc>
          <w:tcPr>
            <w:tcW w:type="dxa" w:w="3600"/>
          </w:tcPr>
          <w:p>
            <w:pPr>
              <w:spacing w:after="0" w:before="0" w:line="240" w:lineRule="auto"/>
              <w:jc w:val="left"/>
            </w:pPr>
            <w:r>
              <w:t>Pressure rating, port compatibility, routing, and leakage</w:t>
            </w:r>
          </w:p>
        </w:tc>
      </w:tr>
      <w:tr>
        <w:tc>
          <w:tcPr>
            <w:tcW w:type="dxa" w:w="3600"/>
          </w:tcPr>
          <w:p>
            <w:pPr>
              <w:spacing w:after="0" w:before="0" w:line="240" w:lineRule="auto"/>
              <w:jc w:val="left"/>
            </w:pPr>
            <w:r>
              <w:t>Hydraulic</w:t>
            </w:r>
          </w:p>
        </w:tc>
        <w:tc>
          <w:tcPr>
            <w:tcW w:type="dxa" w:w="3600"/>
          </w:tcPr>
          <w:p>
            <w:pPr>
              <w:spacing w:after="0" w:before="0" w:line="240" w:lineRule="auto"/>
              <w:jc w:val="left"/>
            </w:pPr>
            <w:r>
              <w:t>Pump, cylinder, directional valve, hose</w:t>
            </w:r>
          </w:p>
        </w:tc>
        <w:tc>
          <w:tcPr>
            <w:tcW w:type="dxa" w:w="3600"/>
          </w:tcPr>
          <w:p>
            <w:pPr>
              <w:spacing w:after="0" w:before="0" w:line="240" w:lineRule="auto"/>
              <w:jc w:val="left"/>
            </w:pPr>
            <w:r>
              <w:t>Pressure rating, compatibility, condition, and leakage</w:t>
            </w:r>
          </w:p>
        </w:tc>
      </w:tr>
      <w:tr>
        <w:tc>
          <w:tcPr>
            <w:tcW w:type="dxa" w:w="3600"/>
          </w:tcPr>
          <w:p>
            <w:pPr>
              <w:spacing w:after="0" w:before="0" w:line="240" w:lineRule="auto"/>
              <w:jc w:val="left"/>
            </w:pPr>
            <w:r>
              <w:t>Mechanical</w:t>
            </w:r>
          </w:p>
        </w:tc>
        <w:tc>
          <w:tcPr>
            <w:tcW w:type="dxa" w:w="3600"/>
          </w:tcPr>
          <w:p>
            <w:pPr>
              <w:spacing w:after="0" w:before="0" w:line="240" w:lineRule="auto"/>
              <w:jc w:val="left"/>
            </w:pPr>
            <w:r>
              <w:t>Bearing, coupling, gearbox, guide rail</w:t>
            </w:r>
          </w:p>
        </w:tc>
        <w:tc>
          <w:tcPr>
            <w:tcW w:type="dxa" w:w="3600"/>
          </w:tcPr>
          <w:p>
            <w:pPr>
              <w:spacing w:after="0" w:before="0" w:line="240" w:lineRule="auto"/>
              <w:jc w:val="left"/>
            </w:pPr>
            <w:r>
              <w:t>Dimensions, load suitability, alignment, and damage</w:t>
            </w:r>
          </w:p>
        </w:tc>
      </w:tr>
      <w:tr>
        <w:tc>
          <w:tcPr>
            <w:tcW w:type="dxa" w:w="3600"/>
          </w:tcPr>
          <w:p>
            <w:pPr>
              <w:spacing w:after="0" w:before="0" w:line="240" w:lineRule="auto"/>
              <w:jc w:val="left"/>
            </w:pPr>
            <w:r>
              <w:t>Safety</w:t>
            </w:r>
          </w:p>
        </w:tc>
        <w:tc>
          <w:tcPr>
            <w:tcW w:type="dxa" w:w="3600"/>
          </w:tcPr>
          <w:p>
            <w:pPr>
              <w:spacing w:after="0" w:before="0" w:line="240" w:lineRule="auto"/>
              <w:jc w:val="left"/>
            </w:pPr>
            <w:r>
              <w:t>Safety relay, light curtain, interlock switch, safety controller</w:t>
            </w:r>
          </w:p>
        </w:tc>
        <w:tc>
          <w:tcPr>
            <w:tcW w:type="dxa" w:w="3600"/>
          </w:tcPr>
          <w:p>
            <w:pPr>
              <w:spacing w:after="0" w:before="0" w:line="240" w:lineRule="auto"/>
              <w:jc w:val="left"/>
            </w:pPr>
            <w:r>
              <w:t>Approved safety function, ratings, installation, and verification</w:t>
            </w:r>
          </w:p>
        </w:tc>
      </w:tr>
      <w:tr>
        <w:tc>
          <w:tcPr>
            <w:tcW w:type="dxa" w:w="3600"/>
          </w:tcPr>
          <w:p>
            <w:pPr>
              <w:spacing w:after="0" w:before="0" w:line="240" w:lineRule="auto"/>
              <w:jc w:val="left"/>
            </w:pPr>
            <w:r>
              <w:t>Instrumentation</w:t>
            </w:r>
          </w:p>
        </w:tc>
        <w:tc>
          <w:tcPr>
            <w:tcW w:type="dxa" w:w="3600"/>
          </w:tcPr>
          <w:p>
            <w:pPr>
              <w:spacing w:after="0" w:before="0" w:line="240" w:lineRule="auto"/>
              <w:jc w:val="left"/>
            </w:pPr>
            <w:r>
              <w:t>Pressure transmitter, temperature sensor, load cell</w:t>
            </w:r>
          </w:p>
        </w:tc>
        <w:tc>
          <w:tcPr>
            <w:tcW w:type="dxa" w:w="3600"/>
          </w:tcPr>
          <w:p>
            <w:pPr>
              <w:spacing w:after="0" w:before="0" w:line="240" w:lineRule="auto"/>
              <w:jc w:val="left"/>
            </w:pPr>
            <w:r>
              <w:t>Range, accuracy, calibration, and signal compatibility</w:t>
            </w:r>
          </w:p>
        </w:tc>
      </w:tr>
      <w:tr>
        <w:tc>
          <w:tcPr>
            <w:tcW w:type="dxa" w:w="3600"/>
          </w:tcPr>
          <w:p>
            <w:pPr>
              <w:spacing w:after="0" w:before="0" w:line="240" w:lineRule="auto"/>
              <w:jc w:val="left"/>
            </w:pPr>
            <w:r>
              <w:t>Communication</w:t>
            </w:r>
          </w:p>
        </w:tc>
        <w:tc>
          <w:tcPr>
            <w:tcW w:type="dxa" w:w="3600"/>
          </w:tcPr>
          <w:p>
            <w:pPr>
              <w:spacing w:after="0" w:before="0" w:line="240" w:lineRule="auto"/>
              <w:jc w:val="left"/>
            </w:pPr>
            <w:r>
              <w:t>Industrial Ethernet switch, gateway, fieldbus coupler</w:t>
            </w:r>
          </w:p>
        </w:tc>
        <w:tc>
          <w:tcPr>
            <w:tcW w:type="dxa" w:w="3600"/>
          </w:tcPr>
          <w:p>
            <w:pPr>
              <w:spacing w:after="0" w:before="0" w:line="240" w:lineRule="auto"/>
              <w:jc w:val="left"/>
            </w:pPr>
            <w:r>
              <w:t>Protocol, port count, compatibility, and configuration</w:t>
            </w:r>
          </w:p>
        </w:tc>
      </w:tr>
      <w:tr>
        <w:tc>
          <w:tcPr>
            <w:tcW w:type="dxa" w:w="3600"/>
          </w:tcPr>
          <w:p>
            <w:pPr>
              <w:spacing w:after="0" w:before="0" w:line="240" w:lineRule="auto"/>
              <w:jc w:val="left"/>
            </w:pPr>
            <w:r>
              <w:t>Wiring infrastructure</w:t>
            </w:r>
          </w:p>
        </w:tc>
        <w:tc>
          <w:tcPr>
            <w:tcW w:type="dxa" w:w="3600"/>
          </w:tcPr>
          <w:p>
            <w:pPr>
              <w:spacing w:after="0" w:before="0" w:line="240" w:lineRule="auto"/>
              <w:jc w:val="left"/>
            </w:pPr>
            <w:r>
              <w:t>Terminal block, cable, connector, cable gland</w:t>
            </w:r>
          </w:p>
        </w:tc>
        <w:tc>
          <w:tcPr>
            <w:tcW w:type="dxa" w:w="3600"/>
          </w:tcPr>
          <w:p>
            <w:pPr>
              <w:spacing w:after="0" w:before="0" w:line="240" w:lineRule="auto"/>
              <w:jc w:val="left"/>
            </w:pPr>
            <w:r>
              <w:t>Conductor suitability, protection, identification, and termination</w:t>
            </w:r>
          </w:p>
        </w:tc>
      </w:tr>
      <w:tr>
        <w:tc>
          <w:tcPr>
            <w:tcW w:type="dxa" w:w="3600"/>
          </w:tcPr>
          <w:p>
            <w:pPr>
              <w:spacing w:after="0" w:before="0" w:line="240" w:lineRule="auto"/>
              <w:jc w:val="left"/>
            </w:pPr>
            <w:r>
              <w:t>Cooling and filtration</w:t>
            </w:r>
          </w:p>
        </w:tc>
        <w:tc>
          <w:tcPr>
            <w:tcW w:type="dxa" w:w="3600"/>
          </w:tcPr>
          <w:p>
            <w:pPr>
              <w:spacing w:after="0" w:before="0" w:line="240" w:lineRule="auto"/>
              <w:jc w:val="left"/>
            </w:pPr>
            <w:r>
              <w:t>Cabinet fan, filter, heat exchanger</w:t>
            </w:r>
          </w:p>
        </w:tc>
        <w:tc>
          <w:tcPr>
            <w:tcW w:type="dxa" w:w="3600"/>
          </w:tcPr>
          <w:p>
            <w:pPr>
              <w:spacing w:after="0" w:before="0" w:line="240" w:lineRule="auto"/>
              <w:jc w:val="left"/>
            </w:pPr>
            <w:r>
              <w:t>Capacity, airflow, condition, and installation</w:t>
            </w:r>
          </w:p>
        </w:tc>
      </w:tr>
      <w:tr>
        <w:tc>
          <w:tcPr>
            <w:tcW w:type="dxa" w:w="3600"/>
          </w:tcPr>
          <w:p>
            <w:pPr>
              <w:spacing w:after="0" w:before="0" w:line="240" w:lineRule="auto"/>
              <w:jc w:val="left"/>
            </w:pPr>
            <w:r>
              <w:t>Accessories</w:t>
            </w:r>
          </w:p>
        </w:tc>
        <w:tc>
          <w:tcPr>
            <w:tcW w:type="dxa" w:w="3600"/>
          </w:tcPr>
          <w:p>
            <w:pPr>
              <w:spacing w:after="0" w:before="0" w:line="240" w:lineRule="auto"/>
              <w:jc w:val="left"/>
            </w:pPr>
            <w:r>
              <w:t>Mounting brackets, cables, connectors, keys</w:t>
            </w:r>
          </w:p>
        </w:tc>
        <w:tc>
          <w:tcPr>
            <w:tcW w:type="dxa" w:w="3600"/>
          </w:tcPr>
          <w:p>
            <w:pPr>
              <w:spacing w:after="0" w:before="0" w:line="240" w:lineRule="auto"/>
              <w:jc w:val="left"/>
            </w:pPr>
            <w:r>
              <w:t>Completeness, compatibility, and identification</w:t>
            </w:r>
          </w:p>
        </w:tc>
      </w:tr>
    </w:tbl>
    <w:p/>
    <w:p>
      <w:pPr>
        <w:pStyle w:val="Heading2"/>
      </w:pPr>
      <w:r>
        <w:t>5. Bill of Materials (BOM)</w:t>
      </w:r>
    </w:p>
    <w:p>
      <w:r>
        <w:t>A Bill of Materials (BOM) is the structured list of materials, assemblies, components, quantities, and relevant identifying information required to build or maintain a machine.</w:t>
      </w:r>
    </w:p>
    <w:p>
      <w:r>
        <w:t>The BOM is one of the main references used during component PDI.</w:t>
      </w:r>
    </w:p>
    <w:p>
      <w:r>
        <w:t>A useful BOM record may contain:</w:t>
      </w:r>
    </w:p>
    <w:p>
      <w:pPr>
        <w:pStyle w:val="ListBullet"/>
      </w:pPr>
      <w:r>
        <w:t>Item number.</w:t>
      </w:r>
    </w:p>
    <w:p>
      <w:pPr>
        <w:pStyle w:val="ListBullet"/>
      </w:pPr>
      <w:r>
        <w:t>Component tag or reference designation.</w:t>
      </w:r>
    </w:p>
    <w:p>
      <w:pPr>
        <w:pStyle w:val="ListBullet"/>
      </w:pPr>
      <w:r>
        <w:t>Description.</w:t>
      </w:r>
    </w:p>
    <w:p>
      <w:pPr>
        <w:pStyle w:val="ListBullet"/>
      </w:pPr>
      <w:r>
        <w:t>Manufacturer.</w:t>
      </w:r>
    </w:p>
    <w:p>
      <w:pPr>
        <w:pStyle w:val="ListBullet"/>
      </w:pPr>
      <w:r>
        <w:t>Manufacturer part number.</w:t>
      </w:r>
    </w:p>
    <w:p>
      <w:pPr>
        <w:pStyle w:val="ListBullet"/>
      </w:pPr>
      <w:r>
        <w:t>Required quantity.</w:t>
      </w:r>
    </w:p>
    <w:p>
      <w:pPr>
        <w:pStyle w:val="ListBullet"/>
      </w:pPr>
      <w:r>
        <w:t>Installed quantity.</w:t>
      </w:r>
    </w:p>
    <w:p>
      <w:pPr>
        <w:pStyle w:val="ListBullet"/>
      </w:pPr>
      <w:r>
        <w:t>Electrical or mechanical rating.</w:t>
      </w:r>
    </w:p>
    <w:p>
      <w:pPr>
        <w:pStyle w:val="ListBullet"/>
      </w:pPr>
      <w:r>
        <w:t>Revision or approved configuration.</w:t>
      </w:r>
    </w:p>
    <w:p>
      <w:pPr>
        <w:pStyle w:val="ListBullet"/>
      </w:pPr>
      <w:r>
        <w:t>Approved alternative, if applicable.</w:t>
      </w:r>
    </w:p>
    <w:p>
      <w:pPr>
        <w:pStyle w:val="ListBullet"/>
      </w:pPr>
      <w:r>
        <w:t>Location in the machine.</w:t>
      </w:r>
    </w:p>
    <w:p>
      <w:pPr>
        <w:pStyle w:val="ListBullet"/>
      </w:pPr>
      <w:r>
        <w:t>Datasheet or document reference.</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Item</w:t>
            </w:r>
          </w:p>
        </w:tc>
        <w:tc>
          <w:tcPr>
            <w:tcW w:type="dxa" w:w="2160"/>
            <w:shd w:val="clear" w:color="auto" w:fill="EEF2F7"/>
          </w:tcPr>
          <w:p>
            <w:pPr>
              <w:spacing w:after="0" w:before="0" w:line="240" w:lineRule="auto"/>
              <w:jc w:val="left"/>
            </w:pPr>
            <w:r>
              <w:rPr>
                <w:b/>
                <w:color w:val="1A2E4A"/>
              </w:rPr>
              <w:t>Component</w:t>
            </w:r>
          </w:p>
        </w:tc>
        <w:tc>
          <w:tcPr>
            <w:tcW w:type="dxa" w:w="2160"/>
            <w:shd w:val="clear" w:color="auto" w:fill="EEF2F7"/>
          </w:tcPr>
          <w:p>
            <w:pPr>
              <w:spacing w:after="0" w:before="0" w:line="240" w:lineRule="auto"/>
              <w:jc w:val="left"/>
            </w:pPr>
            <w:r>
              <w:rPr>
                <w:b/>
                <w:color w:val="1A2E4A"/>
              </w:rPr>
              <w:t>Manufacturer part number</w:t>
            </w:r>
          </w:p>
        </w:tc>
        <w:tc>
          <w:tcPr>
            <w:tcW w:type="dxa" w:w="2160"/>
            <w:shd w:val="clear" w:color="auto" w:fill="EEF2F7"/>
          </w:tcPr>
          <w:p>
            <w:pPr>
              <w:spacing w:after="0" w:before="0" w:line="240" w:lineRule="auto"/>
              <w:jc w:val="left"/>
            </w:pPr>
            <w:r>
              <w:rPr>
                <w:b/>
                <w:color w:val="1A2E4A"/>
              </w:rPr>
              <w:t>Required quantity</w:t>
            </w:r>
          </w:p>
        </w:tc>
        <w:tc>
          <w:tcPr>
            <w:tcW w:type="dxa" w:w="2160"/>
            <w:shd w:val="clear" w:color="auto" w:fill="EEF2F7"/>
          </w:tcPr>
          <w:p>
            <w:pPr>
              <w:spacing w:after="0" w:before="0" w:line="240" w:lineRule="auto"/>
              <w:jc w:val="left"/>
            </w:pPr>
            <w:r>
              <w:rPr>
                <w:b/>
                <w:color w:val="1A2E4A"/>
              </w:rPr>
              <w:t>Actual quantity</w:t>
            </w:r>
          </w:p>
        </w:tc>
      </w:tr>
      <w:tr>
        <w:tc>
          <w:tcPr>
            <w:tcW w:type="dxa" w:w="2160"/>
          </w:tcPr>
          <w:p>
            <w:pPr>
              <w:spacing w:after="0" w:before="0" w:line="240" w:lineRule="auto"/>
              <w:jc w:val="left"/>
            </w:pPr>
            <w:r>
              <w:t>1</w:t>
            </w:r>
          </w:p>
        </w:tc>
        <w:tc>
          <w:tcPr>
            <w:tcW w:type="dxa" w:w="2160"/>
          </w:tcPr>
          <w:p>
            <w:pPr>
              <w:spacing w:after="0" w:before="0" w:line="240" w:lineRule="auto"/>
              <w:jc w:val="left"/>
            </w:pPr>
            <w:r>
              <w:t>PLC CPU</w:t>
            </w:r>
          </w:p>
        </w:tc>
        <w:tc>
          <w:tcPr>
            <w:tcW w:type="dxa" w:w="2160"/>
          </w:tcPr>
          <w:p>
            <w:pPr>
              <w:spacing w:after="0" w:before="0" w:line="240" w:lineRule="auto"/>
              <w:jc w:val="left"/>
            </w:pPr>
            <w:r>
              <w:t>Approved model from BOM</w:t>
            </w:r>
          </w:p>
        </w:tc>
        <w:tc>
          <w:tcPr>
            <w:tcW w:type="dxa" w:w="2160"/>
          </w:tcPr>
          <w:p>
            <w:pPr>
              <w:spacing w:after="0" w:before="0" w:line="240" w:lineRule="auto"/>
              <w:jc w:val="left"/>
            </w:pPr>
            <w:r>
              <w:t>1</w:t>
            </w:r>
          </w:p>
        </w:tc>
        <w:tc>
          <w:tcPr>
            <w:tcW w:type="dxa" w:w="2160"/>
          </w:tcPr>
          <w:p>
            <w:pPr>
              <w:spacing w:after="0" w:before="0" w:line="240" w:lineRule="auto"/>
              <w:jc w:val="left"/>
            </w:pPr>
            <w:r>
              <w:t>1</w:t>
            </w:r>
          </w:p>
        </w:tc>
      </w:tr>
      <w:tr>
        <w:tc>
          <w:tcPr>
            <w:tcW w:type="dxa" w:w="2160"/>
          </w:tcPr>
          <w:p>
            <w:pPr>
              <w:spacing w:after="0" w:before="0" w:line="240" w:lineRule="auto"/>
              <w:jc w:val="left"/>
            </w:pPr>
            <w:r>
              <w:t>2</w:t>
            </w:r>
          </w:p>
        </w:tc>
        <w:tc>
          <w:tcPr>
            <w:tcW w:type="dxa" w:w="2160"/>
          </w:tcPr>
          <w:p>
            <w:pPr>
              <w:spacing w:after="0" w:before="0" w:line="240" w:lineRule="auto"/>
              <w:jc w:val="left"/>
            </w:pPr>
            <w:r>
              <w:t>Digital input module</w:t>
            </w:r>
          </w:p>
        </w:tc>
        <w:tc>
          <w:tcPr>
            <w:tcW w:type="dxa" w:w="2160"/>
          </w:tcPr>
          <w:p>
            <w:pPr>
              <w:spacing w:after="0" w:before="0" w:line="240" w:lineRule="auto"/>
              <w:jc w:val="left"/>
            </w:pPr>
            <w:r>
              <w:t>Approved model from BOM</w:t>
            </w:r>
          </w:p>
        </w:tc>
        <w:tc>
          <w:tcPr>
            <w:tcW w:type="dxa" w:w="2160"/>
          </w:tcPr>
          <w:p>
            <w:pPr>
              <w:spacing w:after="0" w:before="0" w:line="240" w:lineRule="auto"/>
              <w:jc w:val="left"/>
            </w:pPr>
            <w:r>
              <w:t>2</w:t>
            </w:r>
          </w:p>
        </w:tc>
        <w:tc>
          <w:tcPr>
            <w:tcW w:type="dxa" w:w="2160"/>
          </w:tcPr>
          <w:p>
            <w:pPr>
              <w:spacing w:after="0" w:before="0" w:line="240" w:lineRule="auto"/>
              <w:jc w:val="left"/>
            </w:pPr>
            <w:r>
              <w:t>2</w:t>
            </w:r>
          </w:p>
        </w:tc>
      </w:tr>
      <w:tr>
        <w:tc>
          <w:tcPr>
            <w:tcW w:type="dxa" w:w="2160"/>
          </w:tcPr>
          <w:p>
            <w:pPr>
              <w:spacing w:after="0" w:before="0" w:line="240" w:lineRule="auto"/>
              <w:jc w:val="left"/>
            </w:pPr>
            <w:r>
              <w:t>3</w:t>
            </w:r>
          </w:p>
        </w:tc>
        <w:tc>
          <w:tcPr>
            <w:tcW w:type="dxa" w:w="2160"/>
          </w:tcPr>
          <w:p>
            <w:pPr>
              <w:spacing w:after="0" w:before="0" w:line="240" w:lineRule="auto"/>
              <w:jc w:val="left"/>
            </w:pPr>
            <w:r>
              <w:t>24 V DC power supply</w:t>
            </w:r>
          </w:p>
        </w:tc>
        <w:tc>
          <w:tcPr>
            <w:tcW w:type="dxa" w:w="2160"/>
          </w:tcPr>
          <w:p>
            <w:pPr>
              <w:spacing w:after="0" w:before="0" w:line="240" w:lineRule="auto"/>
              <w:jc w:val="left"/>
            </w:pPr>
            <w:r>
              <w:t>Approved model from BOM</w:t>
            </w:r>
          </w:p>
        </w:tc>
        <w:tc>
          <w:tcPr>
            <w:tcW w:type="dxa" w:w="2160"/>
          </w:tcPr>
          <w:p>
            <w:pPr>
              <w:spacing w:after="0" w:before="0" w:line="240" w:lineRule="auto"/>
              <w:jc w:val="left"/>
            </w:pPr>
            <w:r>
              <w:t>1</w:t>
            </w:r>
          </w:p>
        </w:tc>
        <w:tc>
          <w:tcPr>
            <w:tcW w:type="dxa" w:w="2160"/>
          </w:tcPr>
          <w:p>
            <w:pPr>
              <w:spacing w:after="0" w:before="0" w:line="240" w:lineRule="auto"/>
              <w:jc w:val="left"/>
            </w:pPr>
            <w:r>
              <w:t>1</w:t>
            </w:r>
          </w:p>
        </w:tc>
      </w:tr>
      <w:tr>
        <w:tc>
          <w:tcPr>
            <w:tcW w:type="dxa" w:w="2160"/>
          </w:tcPr>
          <w:p>
            <w:pPr>
              <w:spacing w:after="0" w:before="0" w:line="240" w:lineRule="auto"/>
              <w:jc w:val="left"/>
            </w:pPr>
            <w:r>
              <w:t>4</w:t>
            </w:r>
          </w:p>
        </w:tc>
        <w:tc>
          <w:tcPr>
            <w:tcW w:type="dxa" w:w="2160"/>
          </w:tcPr>
          <w:p>
            <w:pPr>
              <w:spacing w:after="0" w:before="0" w:line="240" w:lineRule="auto"/>
              <w:jc w:val="left"/>
            </w:pPr>
            <w:r>
              <w:t>Safety relay</w:t>
            </w:r>
          </w:p>
        </w:tc>
        <w:tc>
          <w:tcPr>
            <w:tcW w:type="dxa" w:w="2160"/>
          </w:tcPr>
          <w:p>
            <w:pPr>
              <w:spacing w:after="0" w:before="0" w:line="240" w:lineRule="auto"/>
              <w:jc w:val="left"/>
            </w:pPr>
            <w:r>
              <w:t>Approved model from BOM</w:t>
            </w:r>
          </w:p>
        </w:tc>
        <w:tc>
          <w:tcPr>
            <w:tcW w:type="dxa" w:w="2160"/>
          </w:tcPr>
          <w:p>
            <w:pPr>
              <w:spacing w:after="0" w:before="0" w:line="240" w:lineRule="auto"/>
              <w:jc w:val="left"/>
            </w:pPr>
            <w:r>
              <w:t>1</w:t>
            </w:r>
          </w:p>
        </w:tc>
        <w:tc>
          <w:tcPr>
            <w:tcW w:type="dxa" w:w="2160"/>
          </w:tcPr>
          <w:p>
            <w:pPr>
              <w:spacing w:after="0" w:before="0" w:line="240" w:lineRule="auto"/>
              <w:jc w:val="left"/>
            </w:pPr>
            <w:r>
              <w:t>1</w:t>
            </w:r>
          </w:p>
        </w:tc>
      </w:tr>
      <w:tr>
        <w:tc>
          <w:tcPr>
            <w:tcW w:type="dxa" w:w="2160"/>
          </w:tcPr>
          <w:p>
            <w:pPr>
              <w:spacing w:after="0" w:before="0" w:line="240" w:lineRule="auto"/>
              <w:jc w:val="left"/>
            </w:pPr>
            <w:r>
              <w:t>5</w:t>
            </w:r>
          </w:p>
        </w:tc>
        <w:tc>
          <w:tcPr>
            <w:tcW w:type="dxa" w:w="2160"/>
          </w:tcPr>
          <w:p>
            <w:pPr>
              <w:spacing w:after="0" w:before="0" w:line="240" w:lineRule="auto"/>
              <w:jc w:val="left"/>
            </w:pPr>
            <w:r>
              <w:t>Proximity sensor</w:t>
            </w:r>
          </w:p>
        </w:tc>
        <w:tc>
          <w:tcPr>
            <w:tcW w:type="dxa" w:w="2160"/>
          </w:tcPr>
          <w:p>
            <w:pPr>
              <w:spacing w:after="0" w:before="0" w:line="240" w:lineRule="auto"/>
              <w:jc w:val="left"/>
            </w:pPr>
            <w:r>
              <w:t>Approved model from BOM</w:t>
            </w:r>
          </w:p>
        </w:tc>
        <w:tc>
          <w:tcPr>
            <w:tcW w:type="dxa" w:w="2160"/>
          </w:tcPr>
          <w:p>
            <w:pPr>
              <w:spacing w:after="0" w:before="0" w:line="240" w:lineRule="auto"/>
              <w:jc w:val="left"/>
            </w:pPr>
            <w:r>
              <w:t>8</w:t>
            </w:r>
          </w:p>
        </w:tc>
        <w:tc>
          <w:tcPr>
            <w:tcW w:type="dxa" w:w="2160"/>
          </w:tcPr>
          <w:p>
            <w:pPr>
              <w:spacing w:after="0" w:before="0" w:line="240" w:lineRule="auto"/>
              <w:jc w:val="left"/>
            </w:pPr>
            <w:r>
              <w:t>7</w:t>
            </w:r>
          </w:p>
        </w:tc>
      </w:tr>
    </w:tbl>
    <w:p/>
    <w:p>
      <w:r>
        <w:t>In this example, the missing proximity sensor is a BOM discrepancy. The machine should not be considered fully conforming until the discrepancy is resolved or formally dispositioned under the applicable procedure.</w:t>
      </w:r>
    </w:p>
    <w:p>
      <w:r>
        <w:t>A BOM can itself contain an error. If an installed component appears inconsistent with the machine's actual engineering requirements, the inspector should raise the discrepancy for engineering review rather than automatically accepting either the physical installation or the document.</w:t>
      </w:r>
    </w:p>
    <w:p>
      <w:pPr>
        <w:pStyle w:val="Heading2"/>
      </w:pPr>
      <w:r>
        <w:t>6. Component Identification and Traceability</w:t>
      </w:r>
    </w:p>
    <w:p>
      <w:r>
        <w:t>Component identification establishes exactly which device has been supplied or installed.</w:t>
      </w:r>
    </w:p>
    <w:p>
      <w:pPr>
        <w:pStyle w:val="Heading3"/>
      </w:pPr>
      <w:r>
        <w:t>6.1 Identification fields</w:t>
      </w:r>
    </w:p>
    <w:p>
      <w:r>
        <w:t>Check the applicable information on the nameplate, label, packaging, datasheet, or approved records:</w:t>
      </w:r>
    </w:p>
    <w:p>
      <w:pPr>
        <w:pStyle w:val="ListBullet"/>
      </w:pPr>
      <w:r>
        <w:t>Manufacturer name.</w:t>
      </w:r>
    </w:p>
    <w:p>
      <w:pPr>
        <w:pStyle w:val="ListBullet"/>
      </w:pPr>
      <w:r>
        <w:t>Model and part number.</w:t>
      </w:r>
    </w:p>
    <w:p>
      <w:pPr>
        <w:pStyle w:val="ListBullet"/>
      </w:pPr>
      <w:r>
        <w:t>Serial number, where provided.</w:t>
      </w:r>
    </w:p>
    <w:p>
      <w:pPr>
        <w:pStyle w:val="ListBullet"/>
      </w:pPr>
      <w:r>
        <w:t>Rated voltage and current.</w:t>
      </w:r>
    </w:p>
    <w:p>
      <w:pPr>
        <w:pStyle w:val="ListBullet"/>
      </w:pPr>
      <w:r>
        <w:t>Rated pressure, speed, load, or capacity, as applicable.</w:t>
      </w:r>
    </w:p>
    <w:p>
      <w:pPr>
        <w:pStyle w:val="ListBullet"/>
      </w:pPr>
      <w:r>
        <w:t>Hardware or firmware revision, where relevant.</w:t>
      </w:r>
    </w:p>
    <w:p>
      <w:pPr>
        <w:pStyle w:val="ListBullet"/>
      </w:pPr>
      <w:r>
        <w:t>Certification or approval marking where required.</w:t>
      </w:r>
    </w:p>
    <w:p>
      <w:pPr>
        <w:pStyle w:val="ListBullet"/>
      </w:pPr>
      <w:r>
        <w:t>Manufacturing date or batch information, where relevant.</w:t>
      </w:r>
    </w:p>
    <w:p>
      <w:pPr>
        <w:pStyle w:val="ListBullet"/>
      </w:pPr>
      <w:r>
        <w:t>Equipment tag or component reference designation.</w:t>
      </w:r>
    </w:p>
    <w:p>
      <w:pPr>
        <w:pStyle w:val="Heading3"/>
      </w:pPr>
      <w:r>
        <w:t>6.2 Component tag versus part number</w:t>
      </w:r>
    </w:p>
    <w:p>
      <w:r>
        <w:t>These are different identifiers.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Identifier</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Equipment tag</w:t>
            </w:r>
          </w:p>
        </w:tc>
        <w:tc>
          <w:tcPr>
            <w:tcW w:type="dxa" w:w="3600"/>
          </w:tcPr>
          <w:p>
            <w:pPr>
              <w:spacing w:after="0" w:before="0" w:line="240" w:lineRule="auto"/>
              <w:jc w:val="left"/>
            </w:pPr>
            <w:r>
              <w:t>Identifies the component's function or location within the machine</w:t>
            </w:r>
          </w:p>
        </w:tc>
        <w:tc>
          <w:tcPr>
            <w:tcW w:type="dxa" w:w="3600"/>
          </w:tcPr>
          <w:p>
            <w:pPr>
              <w:spacing w:after="0" w:before="0" w:line="240" w:lineRule="auto"/>
              <w:jc w:val="left"/>
            </w:pPr>
            <w:r>
              <w:rPr>
                <w:rFonts w:ascii="Consolas" w:hAnsi="Consolas"/>
                <w:color w:val="333333"/>
                <w:sz w:val="19"/>
                <w:shd w:val="clear" w:color="auto" w:fill="EFEFEF"/>
              </w:rPr>
              <w:t>PS101</w:t>
            </w:r>
          </w:p>
        </w:tc>
      </w:tr>
      <w:tr>
        <w:tc>
          <w:tcPr>
            <w:tcW w:type="dxa" w:w="3600"/>
          </w:tcPr>
          <w:p>
            <w:pPr>
              <w:spacing w:after="0" w:before="0" w:line="240" w:lineRule="auto"/>
              <w:jc w:val="left"/>
            </w:pPr>
            <w:r>
              <w:t>Manufacturer part number</w:t>
            </w:r>
          </w:p>
        </w:tc>
        <w:tc>
          <w:tcPr>
            <w:tcW w:type="dxa" w:w="3600"/>
          </w:tcPr>
          <w:p>
            <w:pPr>
              <w:spacing w:after="0" w:before="0" w:line="240" w:lineRule="auto"/>
              <w:jc w:val="left"/>
            </w:pPr>
            <w:r>
              <w:t>Identifies the manufacturer's specific product</w:t>
            </w:r>
          </w:p>
        </w:tc>
        <w:tc>
          <w:tcPr>
            <w:tcW w:type="dxa" w:w="3600"/>
          </w:tcPr>
          <w:p>
            <w:pPr>
              <w:spacing w:after="0" w:before="0" w:line="240" w:lineRule="auto"/>
              <w:jc w:val="left"/>
            </w:pPr>
            <w:r>
              <w:t>Exact catalog number from the nameplate</w:t>
            </w:r>
          </w:p>
        </w:tc>
      </w:tr>
      <w:tr>
        <w:tc>
          <w:tcPr>
            <w:tcW w:type="dxa" w:w="3600"/>
          </w:tcPr>
          <w:p>
            <w:pPr>
              <w:spacing w:after="0" w:before="0" w:line="240" w:lineRule="auto"/>
              <w:jc w:val="left"/>
            </w:pPr>
            <w:r>
              <w:t>Serial number</w:t>
            </w:r>
          </w:p>
        </w:tc>
        <w:tc>
          <w:tcPr>
            <w:tcW w:type="dxa" w:w="3600"/>
          </w:tcPr>
          <w:p>
            <w:pPr>
              <w:spacing w:after="0" w:before="0" w:line="240" w:lineRule="auto"/>
              <w:jc w:val="left"/>
            </w:pPr>
            <w:r>
              <w:t>Identifies an individual manufactured unit</w:t>
            </w:r>
          </w:p>
        </w:tc>
        <w:tc>
          <w:tcPr>
            <w:tcW w:type="dxa" w:w="3600"/>
          </w:tcPr>
          <w:p>
            <w:pPr>
              <w:spacing w:after="0" w:before="0" w:line="240" w:lineRule="auto"/>
              <w:jc w:val="left"/>
            </w:pPr>
            <w:r>
              <w:t>Unique serial identifier</w:t>
            </w:r>
          </w:p>
        </w:tc>
      </w:tr>
      <w:tr>
        <w:tc>
          <w:tcPr>
            <w:tcW w:type="dxa" w:w="3600"/>
          </w:tcPr>
          <w:p>
            <w:pPr>
              <w:spacing w:after="0" w:before="0" w:line="240" w:lineRule="auto"/>
              <w:jc w:val="left"/>
            </w:pPr>
            <w:r>
              <w:t>BOM item number</w:t>
            </w:r>
          </w:p>
        </w:tc>
        <w:tc>
          <w:tcPr>
            <w:tcW w:type="dxa" w:w="3600"/>
          </w:tcPr>
          <w:p>
            <w:pPr>
              <w:spacing w:after="0" w:before="0" w:line="240" w:lineRule="auto"/>
              <w:jc w:val="left"/>
            </w:pPr>
            <w:r>
              <w:t>Identifies a line item in the engineering material list</w:t>
            </w:r>
          </w:p>
        </w:tc>
        <w:tc>
          <w:tcPr>
            <w:tcW w:type="dxa" w:w="3600"/>
          </w:tcPr>
          <w:p>
            <w:pPr>
              <w:spacing w:after="0" w:before="0" w:line="240" w:lineRule="auto"/>
              <w:jc w:val="left"/>
            </w:pPr>
            <w:r>
              <w:rPr>
                <w:rFonts w:ascii="Consolas" w:hAnsi="Consolas"/>
                <w:color w:val="333333"/>
                <w:sz w:val="19"/>
                <w:shd w:val="clear" w:color="auto" w:fill="EFEFEF"/>
              </w:rPr>
              <w:t>0010</w:t>
            </w:r>
          </w:p>
        </w:tc>
      </w:tr>
      <w:tr>
        <w:tc>
          <w:tcPr>
            <w:tcW w:type="dxa" w:w="3600"/>
          </w:tcPr>
          <w:p>
            <w:pPr>
              <w:spacing w:after="0" w:before="0" w:line="240" w:lineRule="auto"/>
              <w:jc w:val="left"/>
            </w:pPr>
            <w:r>
              <w:t>Drawing reference</w:t>
            </w:r>
          </w:p>
        </w:tc>
        <w:tc>
          <w:tcPr>
            <w:tcW w:type="dxa" w:w="3600"/>
          </w:tcPr>
          <w:p>
            <w:pPr>
              <w:spacing w:after="0" w:before="0" w:line="240" w:lineRule="auto"/>
              <w:jc w:val="left"/>
            </w:pPr>
            <w:r>
              <w:t>Shows where the component appears in the design</w:t>
            </w:r>
          </w:p>
        </w:tc>
        <w:tc>
          <w:tcPr>
            <w:tcW w:type="dxa" w:w="3600"/>
          </w:tcPr>
          <w:p>
            <w:pPr>
              <w:spacing w:after="0" w:before="0" w:line="240" w:lineRule="auto"/>
              <w:jc w:val="left"/>
            </w:pPr>
            <w:r>
              <w:t>Sheet and reference designation</w:t>
            </w:r>
          </w:p>
        </w:tc>
      </w:tr>
    </w:tbl>
    <w:p/>
    <w:p>
      <w:r>
        <w:t xml:space="preserve">For example, </w:t>
      </w:r>
      <w:r>
        <w:rPr>
          <w:rFonts w:ascii="Consolas" w:hAnsi="Consolas"/>
          <w:color w:val="333333"/>
          <w:sz w:val="19"/>
          <w:shd w:val="clear" w:color="auto" w:fill="EFEFEF"/>
        </w:rPr>
        <w:t>PS101</w:t>
      </w:r>
      <w:r>
        <w:t xml:space="preserve"> might identify a pressure switch in the machine design. The manufacturer part number identifies the exact switch model. Neither identifier should be substituted for the other.</w:t>
      </w:r>
    </w:p>
    <w:p>
      <w:pPr>
        <w:pStyle w:val="Heading3"/>
      </w:pPr>
      <w:r>
        <w:t>6.3 Traceability importance</w:t>
      </w:r>
    </w:p>
    <w:p>
      <w:r>
        <w:t>Traceability supports:</w:t>
      </w:r>
    </w:p>
    <w:p>
      <w:pPr>
        <w:pStyle w:val="ListBullet"/>
      </w:pPr>
      <w:r>
        <w:t>Warranty claims.</w:t>
      </w:r>
    </w:p>
    <w:p>
      <w:pPr>
        <w:pStyle w:val="ListBullet"/>
      </w:pPr>
      <w:r>
        <w:t>Replacement-part selection.</w:t>
      </w:r>
    </w:p>
    <w:p>
      <w:pPr>
        <w:pStyle w:val="ListBullet"/>
      </w:pPr>
      <w:r>
        <w:t>Firmware and configuration control.</w:t>
      </w:r>
    </w:p>
    <w:p>
      <w:pPr>
        <w:pStyle w:val="ListBullet"/>
      </w:pPr>
      <w:r>
        <w:t>Recall or safety investigations.</w:t>
      </w:r>
    </w:p>
    <w:p>
      <w:pPr>
        <w:pStyle w:val="ListBullet"/>
      </w:pPr>
      <w:r>
        <w:t>Maintenance history.</w:t>
      </w:r>
    </w:p>
    <w:p>
      <w:pPr>
        <w:pStyle w:val="ListBullet"/>
      </w:pPr>
      <w:r>
        <w:t>Calibration tracking.</w:t>
      </w:r>
    </w:p>
    <w:p>
      <w:pPr>
        <w:pStyle w:val="ListBullet"/>
      </w:pPr>
      <w:r>
        <w:t>Obsolescence management.</w:t>
      </w:r>
    </w:p>
    <w:p>
      <w:pPr>
        <w:pStyle w:val="ListBullet"/>
      </w:pPr>
      <w:r>
        <w:t>Root-cause analysis.</w:t>
      </w:r>
    </w:p>
    <w:p>
      <w:r>
        <w:t>For critical components, record serial numbers and revisions where required by the project specification or quality system.</w:t>
      </w:r>
    </w:p>
    <w:p>
      <w:pPr>
        <w:pStyle w:val="Heading2"/>
      </w:pPr>
      <w:r>
        <w:t>7. Component Rating and Suitability Verification</w:t>
      </w:r>
    </w:p>
    <w:p>
      <w:r>
        <w:t>A component can be genuine, undamaged, and correctly identified yet still be unsuitable for its application.</w:t>
      </w:r>
    </w:p>
    <w:p>
      <w:r>
        <w:t>Verification must compare the component's specifications with the actual design requirements.</w:t>
      </w:r>
    </w:p>
    <w:p>
      <w:pPr>
        <w:pStyle w:val="Heading3"/>
      </w:pPr>
      <w:r>
        <w:t>7.1 Electrical ratings</w:t>
      </w:r>
    </w:p>
    <w:p>
      <w:r>
        <w:t>Check applicable parameters such as:</w:t>
      </w:r>
    </w:p>
    <w:p>
      <w:pPr>
        <w:pStyle w:val="ListBullet"/>
      </w:pPr>
      <w:r>
        <w:t>Supply voltage and frequency.</w:t>
      </w:r>
    </w:p>
    <w:p>
      <w:pPr>
        <w:pStyle w:val="ListBullet"/>
      </w:pPr>
      <w:r>
        <w:t>Rated current and power.</w:t>
      </w:r>
    </w:p>
    <w:p>
      <w:pPr>
        <w:pStyle w:val="ListBullet"/>
      </w:pPr>
      <w:r>
        <w:t>AC or DC operation.</w:t>
      </w:r>
    </w:p>
    <w:p>
      <w:pPr>
        <w:pStyle w:val="ListBullet"/>
      </w:pPr>
      <w:r>
        <w:t>Input and output voltage ranges.</w:t>
      </w:r>
    </w:p>
    <w:p>
      <w:pPr>
        <w:pStyle w:val="ListBullet"/>
      </w:pPr>
      <w:r>
        <w:t>Switching capacity.</w:t>
      </w:r>
    </w:p>
    <w:p>
      <w:pPr>
        <w:pStyle w:val="ListBullet"/>
      </w:pPr>
      <w:r>
        <w:t>Short-circuit rating.</w:t>
      </w:r>
    </w:p>
    <w:p>
      <w:pPr>
        <w:pStyle w:val="ListBullet"/>
      </w:pPr>
      <w:r>
        <w:t>Required protection and coordination.</w:t>
      </w:r>
    </w:p>
    <w:p>
      <w:pPr>
        <w:pStyle w:val="ListBullet"/>
      </w:pPr>
      <w:r>
        <w:t>Insulation and overvoltage ratings.</w:t>
      </w:r>
    </w:p>
    <w:p>
      <w:pPr>
        <w:pStyle w:val="ListBullet"/>
      </w:pPr>
      <w:r>
        <w:t>Environmental and temperature limits.</w:t>
      </w:r>
    </w:p>
    <w:p>
      <w:r>
        <w:t>For example, a 24 V DC sensor cannot automatically replace a 230 V AC sensor simply because both have the same housing and mounting dimensions.</w:t>
      </w:r>
    </w:p>
    <w:p>
      <w:pPr>
        <w:pStyle w:val="Heading3"/>
      </w:pPr>
      <w:r>
        <w:t>7.2 Sensor compatibility</w:t>
      </w:r>
    </w:p>
    <w:p>
      <w:r>
        <w:t>Verify:</w:t>
      </w:r>
    </w:p>
    <w:p>
      <w:pPr>
        <w:pStyle w:val="ListBullet"/>
      </w:pPr>
      <w:r>
        <w:t>Sensing principle.</w:t>
      </w:r>
    </w:p>
    <w:p>
      <w:pPr>
        <w:pStyle w:val="ListBullet"/>
      </w:pPr>
      <w:r>
        <w:t>Detection range.</w:t>
      </w:r>
    </w:p>
    <w:p>
      <w:pPr>
        <w:pStyle w:val="ListBullet"/>
      </w:pPr>
      <w:r>
        <w:t>Normally open or normally closed behavior, where applicable.</w:t>
      </w:r>
    </w:p>
    <w:p>
      <w:pPr>
        <w:pStyle w:val="ListBullet"/>
      </w:pPr>
      <w:r>
        <w:t>PNP or NPN output.</w:t>
      </w:r>
    </w:p>
    <w:p>
      <w:pPr>
        <w:pStyle w:val="ListBullet"/>
      </w:pPr>
      <w:r>
        <w:t>Two-wire, three-wire, or other connection arrangement.</w:t>
      </w:r>
    </w:p>
    <w:p>
      <w:pPr>
        <w:pStyle w:val="ListBullet"/>
      </w:pPr>
      <w:r>
        <w:t>Supply voltage.</w:t>
      </w:r>
    </w:p>
    <w:p>
      <w:pPr>
        <w:pStyle w:val="ListBullet"/>
      </w:pPr>
      <w:r>
        <w:t>Output current capability.</w:t>
      </w:r>
    </w:p>
    <w:p>
      <w:pPr>
        <w:pStyle w:val="ListBullet"/>
      </w:pPr>
      <w:r>
        <w:t>Connector and pin assignment.</w:t>
      </w:r>
    </w:p>
    <w:p>
      <w:pPr>
        <w:pStyle w:val="ListBullet"/>
      </w:pPr>
      <w:r>
        <w:t>Switching frequency.</w:t>
      </w:r>
    </w:p>
    <w:p>
      <w:pPr>
        <w:pStyle w:val="ListBullet"/>
      </w:pPr>
      <w:r>
        <w:t>Environmental protection.</w:t>
      </w:r>
    </w:p>
    <w:p>
      <w:pPr>
        <w:pStyle w:val="ListBullet"/>
      </w:pPr>
      <w:r>
        <w:t>Target material and mounting restrictions.</w:t>
      </w:r>
    </w:p>
    <w:p>
      <w:r>
        <w:t>A sensor with the correct thread size may still have the wrong output type, supply requirement, or detection characteristics.</w:t>
      </w:r>
    </w:p>
    <w:p>
      <w:pPr>
        <w:pStyle w:val="Heading3"/>
      </w:pPr>
      <w:r>
        <w:t>7.3 Motor and drive compatibility</w:t>
      </w:r>
    </w:p>
    <w:p>
      <w:r>
        <w:t>Verify:</w:t>
      </w:r>
    </w:p>
    <w:p>
      <w:pPr>
        <w:pStyle w:val="ListBullet"/>
      </w:pPr>
      <w:r>
        <w:t>Motor rated voltage and current.</w:t>
      </w:r>
    </w:p>
    <w:p>
      <w:pPr>
        <w:pStyle w:val="ListBullet"/>
      </w:pPr>
      <w:r>
        <w:t>Power and speed.</w:t>
      </w:r>
    </w:p>
    <w:p>
      <w:pPr>
        <w:pStyle w:val="ListBullet"/>
      </w:pPr>
      <w:r>
        <w:t>Torque and duty requirements.</w:t>
      </w:r>
    </w:p>
    <w:p>
      <w:pPr>
        <w:pStyle w:val="ListBullet"/>
      </w:pPr>
      <w:r>
        <w:t>Encoder or feedback type.</w:t>
      </w:r>
    </w:p>
    <w:p>
      <w:pPr>
        <w:pStyle w:val="ListBullet"/>
      </w:pPr>
      <w:r>
        <w:t>Brake requirements.</w:t>
      </w:r>
    </w:p>
    <w:p>
      <w:pPr>
        <w:pStyle w:val="ListBullet"/>
      </w:pPr>
      <w:r>
        <w:t>Drive compatibility.</w:t>
      </w:r>
    </w:p>
    <w:p>
      <w:pPr>
        <w:pStyle w:val="ListBullet"/>
      </w:pPr>
      <w:r>
        <w:t>Required overload capability.</w:t>
      </w:r>
    </w:p>
    <w:p>
      <w:pPr>
        <w:pStyle w:val="ListBullet"/>
      </w:pPr>
      <w:r>
        <w:t>Cooling and mounting arrangement.</w:t>
      </w:r>
    </w:p>
    <w:p>
      <w:pPr>
        <w:pStyle w:val="ListBullet"/>
      </w:pPr>
      <w:r>
        <w:t>Cable and connector compatibility.</w:t>
      </w:r>
    </w:p>
    <w:p>
      <w:r>
        <w:t>A drive and motor should be evaluated as a matched application, not merely as two components with similar power ratings.</w:t>
      </w:r>
    </w:p>
    <w:p>
      <w:pPr>
        <w:pStyle w:val="Heading3"/>
      </w:pPr>
      <w:r>
        <w:t>7.4 Pneumatic and hydraulic ratings</w:t>
      </w:r>
    </w:p>
    <w:p>
      <w:r>
        <w:t>Check:</w:t>
      </w:r>
    </w:p>
    <w:p>
      <w:pPr>
        <w:pStyle w:val="ListBullet"/>
      </w:pPr>
      <w:r>
        <w:t>Maximum and required operating pressure.</w:t>
      </w:r>
    </w:p>
    <w:p>
      <w:pPr>
        <w:pStyle w:val="ListBullet"/>
      </w:pPr>
      <w:r>
        <w:t>Flow capacity.</w:t>
      </w:r>
    </w:p>
    <w:p>
      <w:pPr>
        <w:pStyle w:val="ListBullet"/>
      </w:pPr>
      <w:r>
        <w:t>Port size and thread type.</w:t>
      </w:r>
    </w:p>
    <w:p>
      <w:pPr>
        <w:pStyle w:val="ListBullet"/>
      </w:pPr>
      <w:r>
        <w:t>Fluid or gas compatibility.</w:t>
      </w:r>
    </w:p>
    <w:p>
      <w:pPr>
        <w:pStyle w:val="ListBullet"/>
      </w:pPr>
      <w:r>
        <w:t>Temperature range.</w:t>
      </w:r>
    </w:p>
    <w:p>
      <w:pPr>
        <w:pStyle w:val="ListBullet"/>
      </w:pPr>
      <w:r>
        <w:t>Cylinder bore and stroke.</w:t>
      </w:r>
    </w:p>
    <w:p>
      <w:pPr>
        <w:pStyle w:val="ListBullet"/>
      </w:pPr>
      <w:r>
        <w:t>Valve function and response requirements.</w:t>
      </w:r>
    </w:p>
    <w:p>
      <w:pPr>
        <w:pStyle w:val="ListBullet"/>
      </w:pPr>
      <w:r>
        <w:t>Hose pressure rating and suitability.</w:t>
      </w:r>
    </w:p>
    <w:p>
      <w:pPr>
        <w:pStyle w:val="ListBullet"/>
      </w:pPr>
      <w:r>
        <w:t>Required filtration and lubrication conditions.</w:t>
      </w:r>
    </w:p>
    <w:p>
      <w:r>
        <w:t>Do not assume that matching port dimensions proves compatibility. Pressure, flow, sealing material, and operating conditions also matter.</w:t>
      </w:r>
    </w:p>
    <w:p>
      <w:pPr>
        <w:pStyle w:val="Heading2"/>
      </w:pPr>
      <w:r>
        <w:t>8. Electrical Component Inspection</w:t>
      </w:r>
    </w:p>
    <w:p>
      <w:pPr>
        <w:pStyle w:val="Heading3"/>
      </w:pPr>
      <w:r>
        <w:t>8.1 Circuit protection devices</w:t>
      </w:r>
    </w:p>
    <w:p>
      <w:r>
        <w:t>For MCBs, MCCBs, fuses, and overload relays, verify:</w:t>
      </w:r>
    </w:p>
    <w:p>
      <w:pPr>
        <w:pStyle w:val="ListBullet"/>
      </w:pPr>
      <w:r>
        <w:t>Correct device type and rating.</w:t>
      </w:r>
    </w:p>
    <w:p>
      <w:pPr>
        <w:pStyle w:val="ListBullet"/>
      </w:pPr>
      <w:r>
        <w:t>Number of poles.</w:t>
      </w:r>
    </w:p>
    <w:p>
      <w:pPr>
        <w:pStyle w:val="ListBullet"/>
      </w:pPr>
      <w:r>
        <w:t>Rated voltage.</w:t>
      </w:r>
    </w:p>
    <w:p>
      <w:pPr>
        <w:pStyle w:val="ListBullet"/>
      </w:pPr>
      <w:r>
        <w:t>Required breaking capacity.</w:t>
      </w:r>
    </w:p>
    <w:p>
      <w:pPr>
        <w:pStyle w:val="ListBullet"/>
      </w:pPr>
      <w:r>
        <w:t>Trip characteristics where specified.</w:t>
      </w:r>
    </w:p>
    <w:p>
      <w:pPr>
        <w:pStyle w:val="ListBullet"/>
      </w:pPr>
      <w:r>
        <w:t>Compatibility with the protected circuit.</w:t>
      </w:r>
    </w:p>
    <w:p>
      <w:pPr>
        <w:pStyle w:val="ListBullet"/>
      </w:pPr>
      <w:r>
        <w:t>Manufacturer and approved model.</w:t>
      </w:r>
    </w:p>
    <w:p>
      <w:pPr>
        <w:pStyle w:val="ListBullet"/>
      </w:pPr>
      <w:r>
        <w:t>Correct mounting and identification.</w:t>
      </w:r>
    </w:p>
    <w:p>
      <w:pPr>
        <w:pStyle w:val="ListBullet"/>
      </w:pPr>
      <w:r>
        <w:t>Coordination with upstream and downstream protection as required.</w:t>
      </w:r>
    </w:p>
    <w:p>
      <w:r>
        <w:t>An oversized breaker is not a harmless substitute. It may fail to protect the cable or equipment correctly.</w:t>
      </w:r>
    </w:p>
    <w:p>
      <w:pPr>
        <w:pStyle w:val="Heading3"/>
      </w:pPr>
      <w:r>
        <w:t>8.2 Contactors and relays</w:t>
      </w:r>
    </w:p>
    <w:p>
      <w:r>
        <w:t>Check:</w:t>
      </w:r>
    </w:p>
    <w:p>
      <w:pPr>
        <w:pStyle w:val="ListBullet"/>
      </w:pPr>
      <w:r>
        <w:t>Coil voltage.</w:t>
      </w:r>
    </w:p>
    <w:p>
      <w:pPr>
        <w:pStyle w:val="ListBullet"/>
      </w:pPr>
      <w:r>
        <w:t>Contact configuration.</w:t>
      </w:r>
    </w:p>
    <w:p>
      <w:pPr>
        <w:pStyle w:val="ListBullet"/>
      </w:pPr>
      <w:r>
        <w:t>Rated operational current and utilization category where applicable.</w:t>
      </w:r>
    </w:p>
    <w:p>
      <w:pPr>
        <w:pStyle w:val="ListBullet"/>
      </w:pPr>
      <w:r>
        <w:t>Auxiliary contacts.</w:t>
      </w:r>
    </w:p>
    <w:p>
      <w:pPr>
        <w:pStyle w:val="ListBullet"/>
      </w:pPr>
      <w:r>
        <w:t>Mechanical condition.</w:t>
      </w:r>
    </w:p>
    <w:p>
      <w:pPr>
        <w:pStyle w:val="ListBullet"/>
      </w:pPr>
      <w:r>
        <w:t>Suppression accessories, if required.</w:t>
      </w:r>
    </w:p>
    <w:p>
      <w:pPr>
        <w:pStyle w:val="ListBullet"/>
      </w:pPr>
      <w:r>
        <w:t>Mounting and terminal condition.</w:t>
      </w:r>
    </w:p>
    <w:p>
      <w:pPr>
        <w:pStyle w:val="ListBullet"/>
      </w:pPr>
      <w:r>
        <w:t>Correct cross-reference to the schematic.</w:t>
      </w:r>
    </w:p>
    <w:p>
      <w:pPr>
        <w:pStyle w:val="Heading3"/>
      </w:pPr>
      <w:r>
        <w:t>8.3 Power supplies</w:t>
      </w:r>
    </w:p>
    <w:p>
      <w:r>
        <w:t>Check:</w:t>
      </w:r>
    </w:p>
    <w:p>
      <w:pPr>
        <w:pStyle w:val="ListBullet"/>
      </w:pPr>
      <w:r>
        <w:t>Input voltage range.</w:t>
      </w:r>
    </w:p>
    <w:p>
      <w:pPr>
        <w:pStyle w:val="ListBullet"/>
      </w:pPr>
      <w:r>
        <w:t>Output voltage.</w:t>
      </w:r>
    </w:p>
    <w:p>
      <w:pPr>
        <w:pStyle w:val="ListBullet"/>
      </w:pPr>
      <w:r>
        <w:t>Rated output current and power.</w:t>
      </w:r>
    </w:p>
    <w:p>
      <w:pPr>
        <w:pStyle w:val="ListBullet"/>
      </w:pPr>
      <w:r>
        <w:t>Overload and short-circuit protection.</w:t>
      </w:r>
    </w:p>
    <w:p>
      <w:pPr>
        <w:pStyle w:val="ListBullet"/>
      </w:pPr>
      <w:r>
        <w:t>Required redundancy or backup arrangement.</w:t>
      </w:r>
    </w:p>
    <w:p>
      <w:pPr>
        <w:pStyle w:val="ListBullet"/>
      </w:pPr>
      <w:r>
        <w:t>Mounting and ventilation.</w:t>
      </w:r>
    </w:p>
    <w:p>
      <w:pPr>
        <w:pStyle w:val="ListBullet"/>
      </w:pPr>
      <w:r>
        <w:t>Terminal identification.</w:t>
      </w:r>
    </w:p>
    <w:p>
      <w:pPr>
        <w:pStyle w:val="ListBullet"/>
      </w:pPr>
      <w:r>
        <w:t>Output distribution and protection.</w:t>
      </w:r>
    </w:p>
    <w:p>
      <w:r>
        <w:t>For a 24 V DC control supply, total load assessment should include PLC modules, sensors, relays, communication devices, and other connected loads. The selected supply must meet the design's steady-state and applicable transient requirements.</w:t>
      </w:r>
    </w:p>
    <w:p>
      <w:pPr>
        <w:pStyle w:val="Heading3"/>
      </w:pPr>
      <w:r>
        <w:t>8.4 Terminal blocks and connectors</w:t>
      </w:r>
    </w:p>
    <w:p>
      <w:r>
        <w:t>Inspect:</w:t>
      </w:r>
    </w:p>
    <w:p>
      <w:pPr>
        <w:pStyle w:val="ListBullet"/>
      </w:pPr>
      <w:r>
        <w:t>Correct terminal type.</w:t>
      </w:r>
    </w:p>
    <w:p>
      <w:pPr>
        <w:pStyle w:val="ListBullet"/>
      </w:pPr>
      <w:r>
        <w:t>Wire-size compatibility.</w:t>
      </w:r>
    </w:p>
    <w:p>
      <w:pPr>
        <w:pStyle w:val="ListBullet"/>
      </w:pPr>
      <w:r>
        <w:t>Jumper and end-plate arrangements.</w:t>
      </w:r>
    </w:p>
    <w:p>
      <w:pPr>
        <w:pStyle w:val="ListBullet"/>
      </w:pPr>
      <w:r>
        <w:t>Marker identification.</w:t>
      </w:r>
    </w:p>
    <w:p>
      <w:pPr>
        <w:pStyle w:val="ListBullet"/>
      </w:pPr>
      <w:r>
        <w:t>Required end stops.</w:t>
      </w:r>
    </w:p>
    <w:p>
      <w:pPr>
        <w:pStyle w:val="ListBullet"/>
      </w:pPr>
      <w:r>
        <w:t>Connector coding and pin assignment.</w:t>
      </w:r>
    </w:p>
    <w:p>
      <w:pPr>
        <w:pStyle w:val="ListBullet"/>
      </w:pPr>
      <w:r>
        <w:t>Shield and earth terminals where applicable.</w:t>
      </w:r>
    </w:p>
    <w:p>
      <w:pPr>
        <w:pStyle w:val="ListBullet"/>
      </w:pPr>
      <w:r>
        <w:t>Secure mounting and approved termination methods.</w:t>
      </w:r>
    </w:p>
    <w:p>
      <w:pPr>
        <w:pStyle w:val="Heading2"/>
      </w:pPr>
      <w:r>
        <w:t>9. PLC, Remote I/O, HMI, and Communication Components</w:t>
      </w:r>
    </w:p>
    <w:p>
      <w:pPr>
        <w:pStyle w:val="Heading3"/>
      </w:pPr>
      <w:r>
        <w:t>9.1 PLC and I/O modules</w:t>
      </w:r>
    </w:p>
    <w:p>
      <w:r>
        <w:t>Verify:</w:t>
      </w:r>
    </w:p>
    <w:p>
      <w:pPr>
        <w:pStyle w:val="ListBullet"/>
      </w:pPr>
      <w:r>
        <w:t>Exact CPU and module models.</w:t>
      </w:r>
    </w:p>
    <w:p>
      <w:pPr>
        <w:pStyle w:val="ListBullet"/>
      </w:pPr>
      <w:r>
        <w:t>Hardware compatibility.</w:t>
      </w:r>
    </w:p>
    <w:p>
      <w:pPr>
        <w:pStyle w:val="ListBullet"/>
      </w:pPr>
      <w:r>
        <w:t>Module quantity and slot arrangement.</w:t>
      </w:r>
    </w:p>
    <w:p>
      <w:pPr>
        <w:pStyle w:val="ListBullet"/>
      </w:pPr>
      <w:r>
        <w:t>Supply and backplane compatibility.</w:t>
      </w:r>
    </w:p>
    <w:p>
      <w:pPr>
        <w:pStyle w:val="ListBullet"/>
      </w:pPr>
      <w:r>
        <w:t>Digital and analog channel types.</w:t>
      </w:r>
    </w:p>
    <w:p>
      <w:pPr>
        <w:pStyle w:val="ListBullet"/>
      </w:pPr>
      <w:r>
        <w:t>Required input/output ranges.</w:t>
      </w:r>
    </w:p>
    <w:p>
      <w:pPr>
        <w:pStyle w:val="ListBullet"/>
      </w:pPr>
      <w:r>
        <w:t>Communication interfaces.</w:t>
      </w:r>
    </w:p>
    <w:p>
      <w:pPr>
        <w:pStyle w:val="ListBullet"/>
      </w:pPr>
      <w:r>
        <w:t>Firmware compatibility.</w:t>
      </w:r>
    </w:p>
    <w:p>
      <w:pPr>
        <w:pStyle w:val="ListBullet"/>
      </w:pPr>
      <w:r>
        <w:t>Required terminal bases and accessories.</w:t>
      </w:r>
    </w:p>
    <w:p>
      <w:pPr>
        <w:pStyle w:val="ListBullet"/>
      </w:pPr>
      <w:r>
        <w:t>Availability of approved project backups.</w:t>
      </w:r>
    </w:p>
    <w:p>
      <w:r>
        <w:t>A PLC module that physically fits the rack may not be compatible with the CPU, firmware, configuration, or required I/O behavior.</w:t>
      </w:r>
    </w:p>
    <w:p>
      <w:pPr>
        <w:pStyle w:val="Heading3"/>
      </w:pPr>
      <w:r>
        <w:t>9.2 HMI and industrial PC</w:t>
      </w:r>
    </w:p>
    <w:p>
      <w:r>
        <w:t>Check:</w:t>
      </w:r>
    </w:p>
    <w:p>
      <w:pPr>
        <w:pStyle w:val="ListBullet"/>
      </w:pPr>
      <w:r>
        <w:t>Screen size and model.</w:t>
      </w:r>
    </w:p>
    <w:p>
      <w:pPr>
        <w:pStyle w:val="ListBullet"/>
      </w:pPr>
      <w:r>
        <w:t>Supply voltage.</w:t>
      </w:r>
    </w:p>
    <w:p>
      <w:pPr>
        <w:pStyle w:val="ListBullet"/>
      </w:pPr>
      <w:r>
        <w:t>Communication interfaces.</w:t>
      </w:r>
    </w:p>
    <w:p>
      <w:pPr>
        <w:pStyle w:val="ListBullet"/>
      </w:pPr>
      <w:r>
        <w:t>Required operating system or firmware.</w:t>
      </w:r>
    </w:p>
    <w:p>
      <w:pPr>
        <w:pStyle w:val="ListBullet"/>
      </w:pPr>
      <w:r>
        <w:t>Mounting cutout and enclosure suitability.</w:t>
      </w:r>
    </w:p>
    <w:p>
      <w:pPr>
        <w:pStyle w:val="ListBullet"/>
      </w:pPr>
      <w:r>
        <w:t>Touchscreen and display condition.</w:t>
      </w:r>
    </w:p>
    <w:p>
      <w:pPr>
        <w:pStyle w:val="ListBullet"/>
      </w:pPr>
      <w:r>
        <w:t>Required licenses.</w:t>
      </w:r>
    </w:p>
    <w:p>
      <w:pPr>
        <w:pStyle w:val="ListBullet"/>
      </w:pPr>
      <w:r>
        <w:t>Approved project version and backup.</w:t>
      </w:r>
    </w:p>
    <w:p>
      <w:pPr>
        <w:pStyle w:val="ListBullet"/>
      </w:pPr>
      <w:r>
        <w:t>Environmental and ingress protection requirements.</w:t>
      </w:r>
    </w:p>
    <w:p>
      <w:pPr>
        <w:pStyle w:val="Heading3"/>
      </w:pPr>
      <w:r>
        <w:t>9.3 Industrial network equipment</w:t>
      </w:r>
    </w:p>
    <w:p>
      <w:r>
        <w:t>For Ethernet switches, gateways, and fieldbus components, verify:</w:t>
      </w:r>
    </w:p>
    <w:p>
      <w:pPr>
        <w:pStyle w:val="ListBullet"/>
      </w:pPr>
      <w:r>
        <w:t>Protocol compatibility.</w:t>
      </w:r>
    </w:p>
    <w:p>
      <w:pPr>
        <w:pStyle w:val="ListBullet"/>
      </w:pPr>
      <w:r>
        <w:t>Port count and type.</w:t>
      </w:r>
    </w:p>
    <w:p>
      <w:pPr>
        <w:pStyle w:val="ListBullet"/>
      </w:pPr>
      <w:r>
        <w:t>Copper or fiber interface requirements.</w:t>
      </w:r>
    </w:p>
    <w:p>
      <w:pPr>
        <w:pStyle w:val="ListBullet"/>
      </w:pPr>
      <w:r>
        <w:t>Supported data rate.</w:t>
      </w:r>
    </w:p>
    <w:p>
      <w:pPr>
        <w:pStyle w:val="ListBullet"/>
      </w:pPr>
      <w:r>
        <w:t>Supply and environmental ratings.</w:t>
      </w:r>
    </w:p>
    <w:p>
      <w:pPr>
        <w:pStyle w:val="ListBullet"/>
      </w:pPr>
      <w:r>
        <w:t>Required redundancy features.</w:t>
      </w:r>
    </w:p>
    <w:p>
      <w:pPr>
        <w:pStyle w:val="ListBullet"/>
      </w:pPr>
      <w:r>
        <w:t>Connector type.</w:t>
      </w:r>
    </w:p>
    <w:p>
      <w:pPr>
        <w:pStyle w:val="ListBullet"/>
      </w:pPr>
      <w:r>
        <w:t>Firmware and configuration.</w:t>
      </w:r>
    </w:p>
    <w:p>
      <w:pPr>
        <w:pStyle w:val="ListBullet"/>
      </w:pPr>
      <w:r>
        <w:t>Network addressing records where applicable.</w:t>
      </w:r>
    </w:p>
    <w:p>
      <w:r>
        <w:t>For industrial Ethernet, component identity alone does not establish network interoperability. The approved network architecture and configuration must also be checked.</w:t>
      </w:r>
    </w:p>
    <w:p>
      <w:pPr>
        <w:pStyle w:val="Heading2"/>
      </w:pPr>
      <w:r>
        <w:t>10. Safety-Related Components</w:t>
      </w:r>
    </w:p>
    <w:p>
      <w:r>
        <w:t>Safety components require particular attention because incorrect substitution or installation can defeat a protective function.</w:t>
      </w:r>
    </w:p>
    <w:p>
      <w:r>
        <w:t>Examples include:</w:t>
      </w:r>
    </w:p>
    <w:p>
      <w:pPr>
        <w:pStyle w:val="ListBullet"/>
      </w:pPr>
      <w:r>
        <w:t>Emergency-stop devices.</w:t>
      </w:r>
    </w:p>
    <w:p>
      <w:pPr>
        <w:pStyle w:val="ListBullet"/>
      </w:pPr>
      <w:r>
        <w:t>Safety relay modules.</w:t>
      </w:r>
    </w:p>
    <w:p>
      <w:pPr>
        <w:pStyle w:val="ListBullet"/>
      </w:pPr>
      <w:r>
        <w:t>Safety PLCs and controllers.</w:t>
      </w:r>
    </w:p>
    <w:p>
      <w:pPr>
        <w:pStyle w:val="ListBullet"/>
      </w:pPr>
      <w:r>
        <w:t>Interlock switches.</w:t>
      </w:r>
    </w:p>
    <w:p>
      <w:pPr>
        <w:pStyle w:val="ListBullet"/>
      </w:pPr>
      <w:r>
        <w:t>Guard-locking devices.</w:t>
      </w:r>
    </w:p>
    <w:p>
      <w:pPr>
        <w:pStyle w:val="ListBullet"/>
      </w:pPr>
      <w:r>
        <w:t>Safety light curtains.</w:t>
      </w:r>
    </w:p>
    <w:p>
      <w:pPr>
        <w:pStyle w:val="ListBullet"/>
      </w:pPr>
      <w:r>
        <w:t>Laser scanners.</w:t>
      </w:r>
    </w:p>
    <w:p>
      <w:pPr>
        <w:pStyle w:val="ListBullet"/>
      </w:pPr>
      <w:r>
        <w:t>Two-hand control devices.</w:t>
      </w:r>
    </w:p>
    <w:p>
      <w:pPr>
        <w:pStyle w:val="ListBullet"/>
      </w:pPr>
      <w:r>
        <w:t>Safe drive functions and associated hardware.</w:t>
      </w:r>
    </w:p>
    <w:p>
      <w:r>
        <w:t>Verify the exact approved device, required safety characteristics, mounting, wiring, configuration, and applicable documentation.</w:t>
      </w:r>
    </w:p>
    <w:p>
      <w:r>
        <w:t>A standard relay is not an acceptable substitute for a safety relay simply because it has the same number of contacts.</w:t>
      </w:r>
    </w:p>
    <w:p>
      <w:r>
        <w:t>Component inspection does not replace validation of the complete safety function. The integrated system must undergo the required safety testing and validation before release for operation.</w:t>
      </w:r>
    </w:p>
    <w:p>
      <w:pPr>
        <w:pStyle w:val="Heading2"/>
      </w:pPr>
      <w:r>
        <w:t>11. Mechanical Component Inspection</w:t>
      </w:r>
    </w:p>
    <w:p>
      <w:r>
        <w:t>Mechanical components should be checked for identity, dimensions, material or grade where specified, condition, and fit.</w:t>
      </w:r>
    </w:p>
    <w:p>
      <w:pPr>
        <w:pStyle w:val="Heading3"/>
      </w:pPr>
      <w:r>
        <w:t>11.1 Bearings and couplings</w:t>
      </w:r>
    </w:p>
    <w:p>
      <w:r>
        <w:t>Verify:</w:t>
      </w:r>
    </w:p>
    <w:p>
      <w:pPr>
        <w:pStyle w:val="ListBullet"/>
      </w:pPr>
      <w:r>
        <w:t>Manufacturer and part number.</w:t>
      </w:r>
    </w:p>
    <w:p>
      <w:pPr>
        <w:pStyle w:val="ListBullet"/>
      </w:pPr>
      <w:r>
        <w:t>Bore and outside dimensions.</w:t>
      </w:r>
    </w:p>
    <w:p>
      <w:pPr>
        <w:pStyle w:val="ListBullet"/>
      </w:pPr>
      <w:r>
        <w:t>Bearing type and load suitability.</w:t>
      </w:r>
    </w:p>
    <w:p>
      <w:pPr>
        <w:pStyle w:val="ListBullet"/>
      </w:pPr>
      <w:r>
        <w:t>Seal and lubrication requirements.</w:t>
      </w:r>
    </w:p>
    <w:p>
      <w:pPr>
        <w:pStyle w:val="ListBullet"/>
      </w:pPr>
      <w:r>
        <w:t>Coupling size and type.</w:t>
      </w:r>
    </w:p>
    <w:p>
      <w:pPr>
        <w:pStyle w:val="ListBullet"/>
      </w:pPr>
      <w:r>
        <w:t>Shaft compatibility.</w:t>
      </w:r>
    </w:p>
    <w:p>
      <w:pPr>
        <w:pStyle w:val="ListBullet"/>
      </w:pPr>
      <w:r>
        <w:t>Permitted misalignment.</w:t>
      </w:r>
    </w:p>
    <w:p>
      <w:pPr>
        <w:pStyle w:val="ListBullet"/>
      </w:pPr>
      <w:r>
        <w:t>Physical condition and storage protection.</w:t>
      </w:r>
    </w:p>
    <w:p>
      <w:pPr>
        <w:pStyle w:val="Heading3"/>
      </w:pPr>
      <w:r>
        <w:t>11.2 Gearboxes and transmission components</w:t>
      </w:r>
    </w:p>
    <w:p>
      <w:r>
        <w:t>Check:</w:t>
      </w:r>
    </w:p>
    <w:p>
      <w:pPr>
        <w:pStyle w:val="ListBullet"/>
      </w:pPr>
      <w:r>
        <w:t>Gearbox ratio.</w:t>
      </w:r>
    </w:p>
    <w:p>
      <w:pPr>
        <w:pStyle w:val="ListBullet"/>
      </w:pPr>
      <w:r>
        <w:t>Input and output arrangements.</w:t>
      </w:r>
    </w:p>
    <w:p>
      <w:pPr>
        <w:pStyle w:val="ListBullet"/>
      </w:pPr>
      <w:r>
        <w:t>Rated torque and power.</w:t>
      </w:r>
    </w:p>
    <w:p>
      <w:pPr>
        <w:pStyle w:val="ListBullet"/>
      </w:pPr>
      <w:r>
        <w:t>Mounting orientation.</w:t>
      </w:r>
    </w:p>
    <w:p>
      <w:pPr>
        <w:pStyle w:val="ListBullet"/>
      </w:pPr>
      <w:r>
        <w:t>Shaft dimensions.</w:t>
      </w:r>
    </w:p>
    <w:p>
      <w:pPr>
        <w:pStyle w:val="ListBullet"/>
      </w:pPr>
      <w:r>
        <w:t>Lubricant type and quantity.</w:t>
      </w:r>
    </w:p>
    <w:p>
      <w:pPr>
        <w:pStyle w:val="ListBullet"/>
      </w:pPr>
      <w:r>
        <w:t>Seal condition.</w:t>
      </w:r>
    </w:p>
    <w:p>
      <w:pPr>
        <w:pStyle w:val="ListBullet"/>
      </w:pPr>
      <w:r>
        <w:t>Required accessories.</w:t>
      </w:r>
    </w:p>
    <w:p>
      <w:pPr>
        <w:pStyle w:val="ListBullet"/>
      </w:pPr>
      <w:r>
        <w:t>Compatibility with the driven machine.</w:t>
      </w:r>
    </w:p>
    <w:p>
      <w:pPr>
        <w:pStyle w:val="Heading3"/>
      </w:pPr>
      <w:r>
        <w:t>11.3 Fixtures, tooling, and locating elements</w:t>
      </w:r>
    </w:p>
    <w:p>
      <w:r>
        <w:t>Inspect:</w:t>
      </w:r>
    </w:p>
    <w:p>
      <w:pPr>
        <w:pStyle w:val="ListBullet"/>
      </w:pPr>
      <w:r>
        <w:t>Fixture and tooling identification.</w:t>
      </w:r>
    </w:p>
    <w:p>
      <w:pPr>
        <w:pStyle w:val="ListBullet"/>
      </w:pPr>
      <w:r>
        <w:t>Locating pins and datum surfaces.</w:t>
      </w:r>
    </w:p>
    <w:p>
      <w:pPr>
        <w:pStyle w:val="ListBullet"/>
      </w:pPr>
      <w:r>
        <w:t>Clamping elements.</w:t>
      </w:r>
    </w:p>
    <w:p>
      <w:pPr>
        <w:pStyle w:val="ListBullet"/>
      </w:pPr>
      <w:r>
        <w:t>Replaceable wear parts.</w:t>
      </w:r>
    </w:p>
    <w:p>
      <w:pPr>
        <w:pStyle w:val="ListBullet"/>
      </w:pPr>
      <w:r>
        <w:t>Fasteners and dowels.</w:t>
      </w:r>
    </w:p>
    <w:p>
      <w:pPr>
        <w:pStyle w:val="ListBullet"/>
      </w:pPr>
      <w:r>
        <w:t>Tooling interfaces.</w:t>
      </w:r>
    </w:p>
    <w:p>
      <w:pPr>
        <w:pStyle w:val="ListBullet"/>
      </w:pPr>
      <w:r>
        <w:t>Surface damage.</w:t>
      </w:r>
    </w:p>
    <w:p>
      <w:pPr>
        <w:pStyle w:val="ListBullet"/>
      </w:pPr>
      <w:r>
        <w:t>Required dimensions and tolerance records.</w:t>
      </w:r>
    </w:p>
    <w:p>
      <w:r>
        <w:t>In automotive assembly, an incorrect locating pin or fixture component can produce misalignment, poor repeatability, or product-quality defects even when the automation sequence runs normally.</w:t>
      </w:r>
    </w:p>
    <w:p>
      <w:pPr>
        <w:pStyle w:val="Heading2"/>
      </w:pPr>
      <w:r>
        <w:t>12. Pneumatic and Hydraulic Component Verification</w:t>
      </w:r>
    </w:p>
    <w:p>
      <w:pPr>
        <w:pStyle w:val="Heading3"/>
      </w:pPr>
      <w:r>
        <w:t>Pneumatic components</w:t>
      </w:r>
    </w:p>
    <w:p>
      <w:r>
        <w:t>Examples include directional-control valves, solenoid coils, regulators, filters, pressure switches, cylinders, and flow-control valves.</w:t>
      </w:r>
    </w:p>
    <w:p>
      <w:r>
        <w:t>Verify:</w:t>
      </w:r>
    </w:p>
    <w:p>
      <w:pPr>
        <w:pStyle w:val="ListBullet"/>
      </w:pPr>
      <w:r>
        <w:t>Model and function.</w:t>
      </w:r>
    </w:p>
    <w:p>
      <w:pPr>
        <w:pStyle w:val="ListBullet"/>
      </w:pPr>
      <w:r>
        <w:t>Operating pressure.</w:t>
      </w:r>
    </w:p>
    <w:p>
      <w:pPr>
        <w:pStyle w:val="ListBullet"/>
      </w:pPr>
      <w:r>
        <w:t>Port size and arrangement.</w:t>
      </w:r>
    </w:p>
    <w:p>
      <w:pPr>
        <w:pStyle w:val="ListBullet"/>
      </w:pPr>
      <w:r>
        <w:t>Coil voltage and connector.</w:t>
      </w:r>
    </w:p>
    <w:p>
      <w:pPr>
        <w:pStyle w:val="ListBullet"/>
      </w:pPr>
      <w:r>
        <w:t>Flow capacity.</w:t>
      </w:r>
    </w:p>
    <w:p>
      <w:pPr>
        <w:pStyle w:val="ListBullet"/>
      </w:pPr>
      <w:r>
        <w:t>Cylinder bore and stroke.</w:t>
      </w:r>
    </w:p>
    <w:p>
      <w:pPr>
        <w:pStyle w:val="ListBullet"/>
      </w:pPr>
      <w:r>
        <w:t>Mounting arrangement.</w:t>
      </w:r>
    </w:p>
    <w:p>
      <w:pPr>
        <w:pStyle w:val="ListBullet"/>
      </w:pPr>
      <w:r>
        <w:t>Seal compatibility.</w:t>
      </w:r>
    </w:p>
    <w:p>
      <w:pPr>
        <w:pStyle w:val="ListBullet"/>
      </w:pPr>
      <w:r>
        <w:t>Required accessories.</w:t>
      </w:r>
    </w:p>
    <w:p>
      <w:pPr>
        <w:pStyle w:val="Heading3"/>
      </w:pPr>
      <w:r>
        <w:t>Hydraulic components</w:t>
      </w:r>
    </w:p>
    <w:p>
      <w:r>
        <w:t>Examples include pumps, pressure-relief valves, directional valves, cylinders, accumulators, filters, and hoses.</w:t>
      </w:r>
    </w:p>
    <w:p>
      <w:r>
        <w:t>Verify:</w:t>
      </w:r>
    </w:p>
    <w:p>
      <w:pPr>
        <w:pStyle w:val="ListBullet"/>
      </w:pPr>
      <w:r>
        <w:t>Pressure and flow ratings.</w:t>
      </w:r>
    </w:p>
    <w:p>
      <w:pPr>
        <w:pStyle w:val="ListBullet"/>
      </w:pPr>
      <w:r>
        <w:t>Port and mounting arrangement.</w:t>
      </w:r>
    </w:p>
    <w:p>
      <w:pPr>
        <w:pStyle w:val="ListBullet"/>
      </w:pPr>
      <w:r>
        <w:t>Fluid compatibility.</w:t>
      </w:r>
    </w:p>
    <w:p>
      <w:pPr>
        <w:pStyle w:val="ListBullet"/>
      </w:pPr>
      <w:r>
        <w:t>Required sealing materials.</w:t>
      </w:r>
    </w:p>
    <w:p>
      <w:pPr>
        <w:pStyle w:val="ListBullet"/>
      </w:pPr>
      <w:r>
        <w:t>Electrical characteristics of solenoid coils.</w:t>
      </w:r>
    </w:p>
    <w:p>
      <w:pPr>
        <w:pStyle w:val="ListBullet"/>
      </w:pPr>
      <w:r>
        <w:t>Hose type and pressure rating.</w:t>
      </w:r>
    </w:p>
    <w:p>
      <w:pPr>
        <w:pStyle w:val="ListBullet"/>
      </w:pPr>
      <w:r>
        <w:t>Required filtration.</w:t>
      </w:r>
    </w:p>
    <w:p>
      <w:pPr>
        <w:pStyle w:val="ListBullet"/>
      </w:pPr>
      <w:r>
        <w:t>Approved protective devices.</w:t>
      </w:r>
    </w:p>
    <w:p>
      <w:r>
        <w:t>For accumulators and other stored-energy components, verify required ratings, identification, protective provisions, and documentation. Inspection or servicing must follow the manufacturer's safe procedure.</w:t>
      </w:r>
    </w:p>
    <w:p>
      <w:pPr>
        <w:pStyle w:val="Heading2"/>
      </w:pPr>
      <w:r>
        <w:t>13. Obsolete, Discontinued, and Substitute Components</w:t>
      </w:r>
    </w:p>
    <w:p>
      <w:r>
        <w:t>Industrial equipment often contains components that have become obsolete or discontinued.</w:t>
      </w:r>
    </w:p>
    <w:p>
      <w:r>
        <w:t>PDI should identify these components because they can affect maintainability, spare availability, and future retrofit planning.</w:t>
      </w:r>
    </w:p>
    <w:p>
      <w:pPr>
        <w:pStyle w:val="Heading3"/>
      </w:pPr>
      <w:r>
        <w:t>13.1 Obsolescence verification</w:t>
      </w:r>
    </w:p>
    <w:p>
      <w:r>
        <w:t>Record:</w:t>
      </w:r>
    </w:p>
    <w:p>
      <w:pPr>
        <w:pStyle w:val="ListBullet"/>
      </w:pPr>
      <w:r>
        <w:t>Manufacturer.</w:t>
      </w:r>
    </w:p>
    <w:p>
      <w:pPr>
        <w:pStyle w:val="ListBullet"/>
      </w:pPr>
      <w:r>
        <w:t>Exact part number.</w:t>
      </w:r>
    </w:p>
    <w:p>
      <w:pPr>
        <w:pStyle w:val="ListBullet"/>
      </w:pPr>
      <w:r>
        <w:t>Current lifecycle status where known.</w:t>
      </w:r>
    </w:p>
    <w:p>
      <w:pPr>
        <w:pStyle w:val="ListBullet"/>
      </w:pPr>
      <w:r>
        <w:t>Approved replacement or successor.</w:t>
      </w:r>
    </w:p>
    <w:p>
      <w:pPr>
        <w:pStyle w:val="ListBullet"/>
      </w:pPr>
      <w:r>
        <w:t>Compatibility requirements.</w:t>
      </w:r>
    </w:p>
    <w:p>
      <w:pPr>
        <w:pStyle w:val="ListBullet"/>
      </w:pPr>
      <w:r>
        <w:t>Required adapter or mounting changes.</w:t>
      </w:r>
    </w:p>
    <w:p>
      <w:pPr>
        <w:pStyle w:val="ListBullet"/>
      </w:pPr>
      <w:r>
        <w:t>Firmware or software dependencies.</w:t>
      </w:r>
    </w:p>
    <w:p>
      <w:pPr>
        <w:pStyle w:val="ListBullet"/>
      </w:pPr>
      <w:r>
        <w:t>Available stock and lead time.</w:t>
      </w:r>
    </w:p>
    <w:p>
      <w:pPr>
        <w:pStyle w:val="ListBullet"/>
      </w:pPr>
      <w:r>
        <w:t>Impact on maintenance and support.</w:t>
      </w:r>
    </w:p>
    <w:p>
      <w:r>
        <w:t>A successor product is not automatically a drop-in replacement. Changes may affect wiring, dimensions, communications, configuration, firmware, safety certification, or software.</w:t>
      </w:r>
    </w:p>
    <w:p>
      <w:pPr>
        <w:pStyle w:val="Heading3"/>
      </w:pPr>
      <w:r>
        <w:t>13.2 Substitute component approval</w:t>
      </w:r>
    </w:p>
    <w:p>
      <w:r>
        <w:t>A substitute should be evaluated for:</w:t>
      </w:r>
    </w:p>
    <w:p>
      <w:pPr>
        <w:pStyle w:val="ListBullet"/>
      </w:pPr>
      <w:r>
        <w:t>Electrical and mechanical compatibility.</w:t>
      </w:r>
    </w:p>
    <w:p>
      <w:pPr>
        <w:pStyle w:val="ListBullet"/>
      </w:pPr>
      <w:r>
        <w:t>Performance and operating limits.</w:t>
      </w:r>
    </w:p>
    <w:p>
      <w:pPr>
        <w:pStyle w:val="ListBullet"/>
      </w:pPr>
      <w:r>
        <w:t>Environmental suitability.</w:t>
      </w:r>
    </w:p>
    <w:p>
      <w:pPr>
        <w:pStyle w:val="ListBullet"/>
      </w:pPr>
      <w:r>
        <w:t>Safety and regulatory requirements.</w:t>
      </w:r>
    </w:p>
    <w:p>
      <w:pPr>
        <w:pStyle w:val="ListBullet"/>
      </w:pPr>
      <w:r>
        <w:t>Interface and communication compatibility.</w:t>
      </w:r>
    </w:p>
    <w:p>
      <w:pPr>
        <w:pStyle w:val="ListBullet"/>
      </w:pPr>
      <w:r>
        <w:t>Required design changes.</w:t>
      </w:r>
    </w:p>
    <w:p>
      <w:pPr>
        <w:pStyle w:val="ListBullet"/>
      </w:pPr>
      <w:r>
        <w:t>Documentation and configuration updates.</w:t>
      </w:r>
    </w:p>
    <w:p>
      <w:pPr>
        <w:pStyle w:val="ListBullet"/>
      </w:pPr>
      <w:r>
        <w:t>Formal engineering approval.</w:t>
      </w:r>
    </w:p>
    <w:p>
      <w:r>
        <w:t>Do not accept a substitution merely because the supplier claims it is equivalent.</w:t>
      </w:r>
    </w:p>
    <w:p>
      <w:pPr>
        <w:pStyle w:val="Heading2"/>
      </w:pPr>
      <w:r>
        <w:t>14. Component Documentation</w:t>
      </w:r>
    </w:p>
    <w:p>
      <w:r>
        <w:t>Required documentation depends on the component's function, criticality, and contractual requirements.</w:t>
      </w:r>
    </w:p>
    <w:p>
      <w:r>
        <w:t>Typical records include:</w:t>
      </w:r>
    </w:p>
    <w:p>
      <w:pPr>
        <w:pStyle w:val="ListBullet"/>
      </w:pPr>
      <w:r>
        <w:t>Manufacturer datasheets.</w:t>
      </w:r>
    </w:p>
    <w:p>
      <w:pPr>
        <w:pStyle w:val="ListBullet"/>
      </w:pPr>
      <w:r>
        <w:t>User and installation manuals.</w:t>
      </w:r>
    </w:p>
    <w:p>
      <w:pPr>
        <w:pStyle w:val="ListBullet"/>
      </w:pPr>
      <w:r>
        <w:t>Certificates and declarations where required.</w:t>
      </w:r>
    </w:p>
    <w:p>
      <w:pPr>
        <w:pStyle w:val="ListBullet"/>
      </w:pPr>
      <w:r>
        <w:t>Calibration certificates for applicable instruments.</w:t>
      </w:r>
    </w:p>
    <w:p>
      <w:pPr>
        <w:pStyle w:val="ListBullet"/>
      </w:pPr>
      <w:r>
        <w:t>Test certificates.</w:t>
      </w:r>
    </w:p>
    <w:p>
      <w:pPr>
        <w:pStyle w:val="ListBullet"/>
      </w:pPr>
      <w:r>
        <w:t>Material certificates for specified mechanical parts.</w:t>
      </w:r>
    </w:p>
    <w:p>
      <w:pPr>
        <w:pStyle w:val="ListBullet"/>
      </w:pPr>
      <w:r>
        <w:t>Serial-number records.</w:t>
      </w:r>
    </w:p>
    <w:p>
      <w:pPr>
        <w:pStyle w:val="ListBullet"/>
      </w:pPr>
      <w:r>
        <w:t>Software and firmware versions.</w:t>
      </w:r>
    </w:p>
    <w:p>
      <w:pPr>
        <w:pStyle w:val="ListBullet"/>
      </w:pPr>
      <w:r>
        <w:t>Parameter backups.</w:t>
      </w:r>
    </w:p>
    <w:p>
      <w:pPr>
        <w:pStyle w:val="ListBullet"/>
      </w:pPr>
      <w:r>
        <w:t>Approved drawings and BOM.</w:t>
      </w:r>
    </w:p>
    <w:p>
      <w:pPr>
        <w:pStyle w:val="ListBullet"/>
      </w:pPr>
      <w:r>
        <w:t>Spare-parts list.</w:t>
      </w:r>
    </w:p>
    <w:p>
      <w:pPr>
        <w:pStyle w:val="ListBullet"/>
      </w:pPr>
      <w:r>
        <w:t>Warranty information.</w:t>
      </w:r>
    </w:p>
    <w:p>
      <w:pPr>
        <w:pStyle w:val="ListBullet"/>
      </w:pPr>
      <w:r>
        <w:t>Maintenance instructions.</w:t>
      </w:r>
    </w:p>
    <w:p>
      <w:r>
        <w:t>Check that the documents refer to the actual supplied model and revision. A valid certificate for a different component does not establish compliance of the installed device.</w:t>
      </w:r>
    </w:p>
    <w:p>
      <w:pPr>
        <w:pStyle w:val="Heading2"/>
      </w:pPr>
      <w:r>
        <w:t>15. Component Inspection Workflow</w:t>
      </w:r>
    </w:p>
    <w:p>
      <w:pPr>
        <w:shd w:val="clear" w:color="auto" w:fill="F4F4F4"/>
        <w:spacing w:before="0" w:after="0" w:line="240" w:lineRule="auto"/>
        <w:ind w:left="216" w:right="216"/>
        <w:jc w:val="left"/>
      </w:pPr>
      <w:r>
        <w:rPr>
          <w:rFonts w:ascii="Consolas" w:hAnsi="Consolas"/>
          <w:color w:val="202020"/>
          <w:sz w:val="18"/>
        </w:rPr>
        <w:t>Approved BOM and Engineering Drawings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Machine and Inspection Scope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Component Identity and Quantity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Ratings and Technical Compatibility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Inspect Physical Condition and Installation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Required Documents and Traceability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Discrepancies and Evidence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Engineering Review or Corrective Action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Reinspection and Required Testing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 or Hold the Component / Machine</w:t>
      </w:r>
    </w:p>
    <w:p/>
    <w:p>
      <w:r>
        <w:t>The workflow may be adapted to the inspection plan. Critical components can require additional verification before general inspection continues.</w:t>
      </w:r>
    </w:p>
    <w:p>
      <w:pPr>
        <w:pStyle w:val="Heading2"/>
      </w:pPr>
      <w:r>
        <w:t>16. Component Discrepancy Register</w:t>
      </w:r>
    </w:p>
    <w:p>
      <w:r>
        <w:t>A component discrepancy record should contain enough information to identify the issue, determine its impact, and prove closure.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Discrepancy ID</w:t>
            </w:r>
          </w:p>
        </w:tc>
        <w:tc>
          <w:tcPr>
            <w:tcW w:type="dxa" w:w="5400"/>
          </w:tcPr>
          <w:p>
            <w:pPr>
              <w:spacing w:after="0" w:before="0" w:line="240" w:lineRule="auto"/>
              <w:jc w:val="left"/>
            </w:pPr>
            <w:r>
              <w:rPr>
                <w:rFonts w:ascii="Consolas" w:hAnsi="Consolas"/>
                <w:color w:val="333333"/>
                <w:sz w:val="19"/>
                <w:shd w:val="clear" w:color="auto" w:fill="EFEFEF"/>
              </w:rPr>
              <w:t>PDI-COMP-001</w:t>
            </w:r>
          </w:p>
        </w:tc>
      </w:tr>
      <w:tr>
        <w:tc>
          <w:tcPr>
            <w:tcW w:type="dxa" w:w="5400"/>
          </w:tcPr>
          <w:p>
            <w:pPr>
              <w:spacing w:after="0" w:before="0" w:line="240" w:lineRule="auto"/>
              <w:jc w:val="left"/>
            </w:pPr>
            <w:r>
              <w:t>Machine</w:t>
            </w:r>
          </w:p>
        </w:tc>
        <w:tc>
          <w:tcPr>
            <w:tcW w:type="dxa" w:w="5400"/>
          </w:tcPr>
          <w:p>
            <w:pPr>
              <w:spacing w:after="0" w:before="0" w:line="240" w:lineRule="auto"/>
              <w:jc w:val="left"/>
            </w:pPr>
            <w:r>
              <w:t>Automated assembly station</w:t>
            </w:r>
          </w:p>
        </w:tc>
      </w:tr>
      <w:tr>
        <w:tc>
          <w:tcPr>
            <w:tcW w:type="dxa" w:w="5400"/>
          </w:tcPr>
          <w:p>
            <w:pPr>
              <w:spacing w:after="0" w:before="0" w:line="240" w:lineRule="auto"/>
              <w:jc w:val="left"/>
            </w:pPr>
            <w:r>
              <w:t>Component tag</w:t>
            </w:r>
          </w:p>
        </w:tc>
        <w:tc>
          <w:tcPr>
            <w:tcW w:type="dxa" w:w="5400"/>
          </w:tcPr>
          <w:p>
            <w:pPr>
              <w:spacing w:after="0" w:before="0" w:line="240" w:lineRule="auto"/>
              <w:jc w:val="left"/>
            </w:pPr>
            <w:r>
              <w:rPr>
                <w:rFonts w:ascii="Consolas" w:hAnsi="Consolas"/>
                <w:color w:val="333333"/>
                <w:sz w:val="19"/>
                <w:shd w:val="clear" w:color="auto" w:fill="EFEFEF"/>
              </w:rPr>
              <w:t>PS101</w:t>
            </w:r>
          </w:p>
        </w:tc>
      </w:tr>
      <w:tr>
        <w:tc>
          <w:tcPr>
            <w:tcW w:type="dxa" w:w="5400"/>
          </w:tcPr>
          <w:p>
            <w:pPr>
              <w:spacing w:after="0" w:before="0" w:line="240" w:lineRule="auto"/>
              <w:jc w:val="left"/>
            </w:pPr>
            <w:r>
              <w:t>Expected component</w:t>
            </w:r>
          </w:p>
        </w:tc>
        <w:tc>
          <w:tcPr>
            <w:tcW w:type="dxa" w:w="5400"/>
          </w:tcPr>
          <w:p>
            <w:pPr>
              <w:spacing w:after="0" w:before="0" w:line="240" w:lineRule="auto"/>
              <w:jc w:val="left"/>
            </w:pPr>
            <w:r>
              <w:t>Approved pressure switch model</w:t>
            </w:r>
          </w:p>
        </w:tc>
      </w:tr>
      <w:tr>
        <w:tc>
          <w:tcPr>
            <w:tcW w:type="dxa" w:w="5400"/>
          </w:tcPr>
          <w:p>
            <w:pPr>
              <w:spacing w:after="0" w:before="0" w:line="240" w:lineRule="auto"/>
              <w:jc w:val="left"/>
            </w:pPr>
            <w:r>
              <w:t>Actual component</w:t>
            </w:r>
          </w:p>
        </w:tc>
        <w:tc>
          <w:tcPr>
            <w:tcW w:type="dxa" w:w="5400"/>
          </w:tcPr>
          <w:p>
            <w:pPr>
              <w:spacing w:after="0" w:before="0" w:line="240" w:lineRule="auto"/>
              <w:jc w:val="left"/>
            </w:pPr>
            <w:r>
              <w:t>Installed model from nameplate</w:t>
            </w:r>
          </w:p>
        </w:tc>
      </w:tr>
      <w:tr>
        <w:tc>
          <w:tcPr>
            <w:tcW w:type="dxa" w:w="5400"/>
          </w:tcPr>
          <w:p>
            <w:pPr>
              <w:spacing w:after="0" w:before="0" w:line="240" w:lineRule="auto"/>
              <w:jc w:val="left"/>
            </w:pPr>
            <w:r>
              <w:t>Discrepancy</w:t>
            </w:r>
          </w:p>
        </w:tc>
        <w:tc>
          <w:tcPr>
            <w:tcW w:type="dxa" w:w="5400"/>
          </w:tcPr>
          <w:p>
            <w:pPr>
              <w:spacing w:after="0" w:before="0" w:line="240" w:lineRule="auto"/>
              <w:jc w:val="left"/>
            </w:pPr>
            <w:r>
              <w:t>Installed model does not match approved BOM</w:t>
            </w:r>
          </w:p>
        </w:tc>
      </w:tr>
      <w:tr>
        <w:tc>
          <w:tcPr>
            <w:tcW w:type="dxa" w:w="5400"/>
          </w:tcPr>
          <w:p>
            <w:pPr>
              <w:spacing w:after="0" w:before="0" w:line="240" w:lineRule="auto"/>
              <w:jc w:val="left"/>
            </w:pPr>
            <w:r>
              <w:t>Risk or impact</w:t>
            </w:r>
          </w:p>
        </w:tc>
        <w:tc>
          <w:tcPr>
            <w:tcW w:type="dxa" w:w="5400"/>
          </w:tcPr>
          <w:p>
            <w:pPr>
              <w:spacing w:after="0" w:before="0" w:line="240" w:lineRule="auto"/>
              <w:jc w:val="left"/>
            </w:pPr>
            <w:r>
              <w:t>Compatibility and control behavior require engineering verification</w:t>
            </w:r>
          </w:p>
        </w:tc>
      </w:tr>
      <w:tr>
        <w:tc>
          <w:tcPr>
            <w:tcW w:type="dxa" w:w="5400"/>
          </w:tcPr>
          <w:p>
            <w:pPr>
              <w:spacing w:after="0" w:before="0" w:line="240" w:lineRule="auto"/>
              <w:jc w:val="left"/>
            </w:pPr>
            <w:r>
              <w:t>Required action</w:t>
            </w:r>
          </w:p>
        </w:tc>
        <w:tc>
          <w:tcPr>
            <w:tcW w:type="dxa" w:w="5400"/>
          </w:tcPr>
          <w:p>
            <w:pPr>
              <w:spacing w:after="0" w:before="0" w:line="240" w:lineRule="auto"/>
              <w:jc w:val="left"/>
            </w:pPr>
            <w:r>
              <w:t>Verify suitability and obtain approval or replace</w:t>
            </w:r>
          </w:p>
        </w:tc>
      </w:tr>
      <w:tr>
        <w:tc>
          <w:tcPr>
            <w:tcW w:type="dxa" w:w="5400"/>
          </w:tcPr>
          <w:p>
            <w:pPr>
              <w:spacing w:after="0" w:before="0" w:line="240" w:lineRule="auto"/>
              <w:jc w:val="left"/>
            </w:pPr>
            <w:r>
              <w:t>Evidence</w:t>
            </w:r>
          </w:p>
        </w:tc>
        <w:tc>
          <w:tcPr>
            <w:tcW w:type="dxa" w:w="5400"/>
          </w:tcPr>
          <w:p>
            <w:pPr>
              <w:spacing w:after="0" w:before="0" w:line="240" w:lineRule="auto"/>
              <w:jc w:val="left"/>
            </w:pPr>
            <w:r>
              <w:t>Nameplate photo and BOM reference</w:t>
            </w:r>
          </w:p>
        </w:tc>
      </w:tr>
      <w:tr>
        <w:tc>
          <w:tcPr>
            <w:tcW w:type="dxa" w:w="5400"/>
          </w:tcPr>
          <w:p>
            <w:pPr>
              <w:spacing w:after="0" w:before="0" w:line="240" w:lineRule="auto"/>
              <w:jc w:val="left"/>
            </w:pPr>
            <w:r>
              <w:t>Status</w:t>
            </w:r>
          </w:p>
        </w:tc>
        <w:tc>
          <w:tcPr>
            <w:tcW w:type="dxa" w:w="5400"/>
          </w:tcPr>
          <w:p>
            <w:pPr>
              <w:spacing w:after="0" w:before="0" w:line="240" w:lineRule="auto"/>
              <w:jc w:val="left"/>
            </w:pPr>
            <w:r>
              <w:t>Open</w:t>
            </w:r>
          </w:p>
        </w:tc>
      </w:tr>
      <w:tr>
        <w:tc>
          <w:tcPr>
            <w:tcW w:type="dxa" w:w="5400"/>
          </w:tcPr>
          <w:p>
            <w:pPr>
              <w:spacing w:after="0" w:before="0" w:line="240" w:lineRule="auto"/>
              <w:jc w:val="left"/>
            </w:pPr>
            <w:r>
              <w:t>Closure evidence</w:t>
            </w:r>
          </w:p>
        </w:tc>
        <w:tc>
          <w:tcPr>
            <w:tcW w:type="dxa" w:w="5400"/>
          </w:tcPr>
          <w:p>
            <w:pPr>
              <w:spacing w:after="0" w:before="0" w:line="240" w:lineRule="auto"/>
              <w:jc w:val="left"/>
            </w:pPr>
            <w:r>
              <w:t>Approved disposition and completed reinspection</w:t>
            </w:r>
          </w:p>
        </w:tc>
      </w:tr>
    </w:tbl>
    <w:p/>
    <w:p>
      <w:r>
        <w:t>Do not record only "wrong component." State what was expected, what was found, why the difference matters, and how it will be resolved.</w:t>
      </w:r>
    </w:p>
    <w:p>
      <w:pPr>
        <w:pStyle w:val="Heading2"/>
      </w:pPr>
      <w:r>
        <w:t>17. Defect Classification and Acceptance</w:t>
      </w:r>
    </w:p>
    <w:p>
      <w:r>
        <w:t>The project's PDI procedure should define defect categories and their effect on acceptance.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Classification</w:t>
            </w:r>
          </w:p>
        </w:tc>
        <w:tc>
          <w:tcPr>
            <w:tcW w:type="dxa" w:w="3600"/>
            <w:shd w:val="clear" w:color="auto" w:fill="EEF2F7"/>
          </w:tcPr>
          <w:p>
            <w:pPr>
              <w:spacing w:after="0" w:before="0" w:line="240" w:lineRule="auto"/>
              <w:jc w:val="left"/>
            </w:pPr>
            <w:r>
              <w:rPr>
                <w:b/>
                <w:color w:val="1A2E4A"/>
              </w:rPr>
              <w:t>Typical example</w:t>
            </w:r>
          </w:p>
        </w:tc>
        <w:tc>
          <w:tcPr>
            <w:tcW w:type="dxa" w:w="3600"/>
            <w:shd w:val="clear" w:color="auto" w:fill="EEF2F7"/>
          </w:tcPr>
          <w:p>
            <w:pPr>
              <w:spacing w:after="0" w:before="0" w:line="240" w:lineRule="auto"/>
              <w:jc w:val="left"/>
            </w:pPr>
            <w:r>
              <w:rPr>
                <w:b/>
                <w:color w:val="1A2E4A"/>
              </w:rPr>
              <w:t>Expected handling</w:t>
            </w:r>
          </w:p>
        </w:tc>
      </w:tr>
      <w:tr>
        <w:tc>
          <w:tcPr>
            <w:tcW w:type="dxa" w:w="3600"/>
          </w:tcPr>
          <w:p>
            <w:pPr>
              <w:spacing w:after="0" w:before="0" w:line="240" w:lineRule="auto"/>
              <w:jc w:val="left"/>
            </w:pPr>
            <w:r>
              <w:t>Critical</w:t>
            </w:r>
          </w:p>
        </w:tc>
        <w:tc>
          <w:tcPr>
            <w:tcW w:type="dxa" w:w="3600"/>
          </w:tcPr>
          <w:p>
            <w:pPr>
              <w:spacing w:after="0" w:before="0" w:line="240" w:lineRule="auto"/>
              <w:jc w:val="left"/>
            </w:pPr>
            <w:r>
              <w:t>Incorrect or defective component that creates an unacceptable safety risk</w:t>
            </w:r>
          </w:p>
        </w:tc>
        <w:tc>
          <w:tcPr>
            <w:tcW w:type="dxa" w:w="3600"/>
          </w:tcPr>
          <w:p>
            <w:pPr>
              <w:spacing w:after="0" w:before="0" w:line="240" w:lineRule="auto"/>
              <w:jc w:val="left"/>
            </w:pPr>
            <w:r>
              <w:t>Hold affected equipment and prevent unauthorized use</w:t>
            </w:r>
          </w:p>
        </w:tc>
      </w:tr>
      <w:tr>
        <w:tc>
          <w:tcPr>
            <w:tcW w:type="dxa" w:w="3600"/>
          </w:tcPr>
          <w:p>
            <w:pPr>
              <w:spacing w:after="0" w:before="0" w:line="240" w:lineRule="auto"/>
              <w:jc w:val="left"/>
            </w:pPr>
            <w:r>
              <w:t>Major</w:t>
            </w:r>
          </w:p>
        </w:tc>
        <w:tc>
          <w:tcPr>
            <w:tcW w:type="dxa" w:w="3600"/>
          </w:tcPr>
          <w:p>
            <w:pPr>
              <w:spacing w:after="0" w:before="0" w:line="240" w:lineRule="auto"/>
              <w:jc w:val="left"/>
            </w:pPr>
            <w:r>
              <w:t>Wrong drive model or missing component affecting required functionality</w:t>
            </w:r>
          </w:p>
        </w:tc>
        <w:tc>
          <w:tcPr>
            <w:tcW w:type="dxa" w:w="3600"/>
          </w:tcPr>
          <w:p>
            <w:pPr>
              <w:spacing w:after="0" w:before="0" w:line="240" w:lineRule="auto"/>
              <w:jc w:val="left"/>
            </w:pPr>
            <w:r>
              <w:t>Correct or obtain formal engineering disposition before the applicable release</w:t>
            </w:r>
          </w:p>
        </w:tc>
      </w:tr>
      <w:tr>
        <w:tc>
          <w:tcPr>
            <w:tcW w:type="dxa" w:w="3600"/>
          </w:tcPr>
          <w:p>
            <w:pPr>
              <w:spacing w:after="0" w:before="0" w:line="240" w:lineRule="auto"/>
              <w:jc w:val="left"/>
            </w:pPr>
            <w:r>
              <w:t>Minor</w:t>
            </w:r>
          </w:p>
        </w:tc>
        <w:tc>
          <w:tcPr>
            <w:tcW w:type="dxa" w:w="3600"/>
          </w:tcPr>
          <w:p>
            <w:pPr>
              <w:spacing w:after="0" w:before="0" w:line="240" w:lineRule="auto"/>
              <w:jc w:val="left"/>
            </w:pPr>
            <w:r>
              <w:t>Missing noncritical label where correction is permitted without compromising safety or traceability</w:t>
            </w:r>
          </w:p>
        </w:tc>
        <w:tc>
          <w:tcPr>
            <w:tcW w:type="dxa" w:w="3600"/>
          </w:tcPr>
          <w:p>
            <w:pPr>
              <w:spacing w:after="0" w:before="0" w:line="240" w:lineRule="auto"/>
              <w:jc w:val="left"/>
            </w:pPr>
            <w:r>
              <w:t>Record and correct according to the agreed procedure</w:t>
            </w:r>
          </w:p>
        </w:tc>
      </w:tr>
      <w:tr>
        <w:tc>
          <w:tcPr>
            <w:tcW w:type="dxa" w:w="3600"/>
          </w:tcPr>
          <w:p>
            <w:pPr>
              <w:spacing w:after="0" w:before="0" w:line="240" w:lineRule="auto"/>
              <w:jc w:val="left"/>
            </w:pPr>
            <w:r>
              <w:t>Documentation discrepancy</w:t>
            </w:r>
          </w:p>
        </w:tc>
        <w:tc>
          <w:tcPr>
            <w:tcW w:type="dxa" w:w="3600"/>
          </w:tcPr>
          <w:p>
            <w:pPr>
              <w:spacing w:after="0" w:before="0" w:line="240" w:lineRule="auto"/>
              <w:jc w:val="left"/>
            </w:pPr>
            <w:r>
              <w:t>Missing or incorrect datasheet, backup, certificate, or revision record</w:t>
            </w:r>
          </w:p>
        </w:tc>
        <w:tc>
          <w:tcPr>
            <w:tcW w:type="dxa" w:w="3600"/>
          </w:tcPr>
          <w:p>
            <w:pPr>
              <w:spacing w:after="0" w:before="0" w:line="240" w:lineRule="auto"/>
              <w:jc w:val="left"/>
            </w:pPr>
            <w:r>
              <w:t>Obtain and verify the required documentation</w:t>
            </w:r>
          </w:p>
        </w:tc>
      </w:tr>
    </w:tbl>
    <w:p/>
    <w:p>
      <w:r>
        <w:t>These are illustrative categories. The approved quality procedure determines the formal classification and whether the machine may proceed to the next stage.</w:t>
      </w:r>
    </w:p>
    <w:p>
      <w:r>
        <w:t>A physically installed component should not be treated as acceptable merely because it can be made to function temporarily.</w:t>
      </w:r>
    </w:p>
    <w:p>
      <w:pPr>
        <w:pStyle w:val="Heading2"/>
      </w:pPr>
      <w:r>
        <w:t>18. Practical Example: Component PDI for an Automated Test Station</w:t>
      </w:r>
    </w:p>
    <w:p>
      <w:r>
        <w:t>Consider a test station containing a PLC, HMI, VFD, pressure transmitter, proximity sensors, pneumatic valves, and a safety relay.</w:t>
      </w:r>
    </w:p>
    <w:p>
      <w:r>
        <w:t>The inspector discovers:</w:t>
      </w:r>
    </w:p>
    <w:p>
      <w:pPr>
        <w:pStyle w:val="ListBullet"/>
      </w:pPr>
      <w:r>
        <w:t>The PLC CPU matches the BOM.</w:t>
      </w:r>
    </w:p>
    <w:p>
      <w:pPr>
        <w:pStyle w:val="ListBullet"/>
      </w:pPr>
      <w:r>
        <w:t>The HMI is the correct size but has a different model number.</w:t>
      </w:r>
    </w:p>
    <w:p>
      <w:pPr>
        <w:pStyle w:val="ListBullet"/>
      </w:pPr>
      <w:r>
        <w:t>The pressure transmitter has the correct range but lacks the required calibration record.</w:t>
      </w:r>
    </w:p>
    <w:p>
      <w:pPr>
        <w:pStyle w:val="ListBullet"/>
      </w:pPr>
      <w:r>
        <w:t>One proximity sensor uses an NPN output, while the approved design requires PNP.</w:t>
      </w:r>
    </w:p>
    <w:p>
      <w:pPr>
        <w:pStyle w:val="ListBullet"/>
      </w:pPr>
      <w:r>
        <w:t>The safety relay is the approved model, but its configuration and safety-function validation records are incomplete.</w:t>
      </w:r>
    </w:p>
    <w:p>
      <w:pPr>
        <w:pStyle w:val="ListBullet"/>
      </w:pPr>
      <w:r>
        <w:t>The VFD model is correct, but the parameter backup is missing.</w:t>
      </w:r>
    </w:p>
    <w:p>
      <w:r>
        <w:t>The findings require different actions.</w:t>
      </w:r>
    </w:p>
    <w:p>
      <w:r>
        <w:t>The HMI model discrepancy needs compatibility and approval review. The pressure transmitter's calibration status must be resolved according to the measurement requirements. The NPN sensor must be replaced or subjected to a formally approved design change and verification. The safety-related documentation and validation must be completed before the applicable safety release. The VFD backup must be obtained and verified where required by the handover criteria.</w:t>
      </w:r>
    </w:p>
    <w:p>
      <w:r>
        <w:t>The correct response is not to accept the machine because most components match. Each discrepancy must be evaluated according to its technical and safety impact.</w:t>
      </w:r>
    </w:p>
    <w:p>
      <w:pPr>
        <w:pStyle w:val="Heading2"/>
      </w:pPr>
      <w:r>
        <w:t>19. Common Component PDI Mistakes</w:t>
      </w:r>
    </w:p>
    <w:p>
      <w:pPr>
        <w:pStyle w:val="ListBullet"/>
      </w:pPr>
      <w:r>
        <w:t>Checking quantities without verifying model numbers.</w:t>
      </w:r>
    </w:p>
    <w:p>
      <w:pPr>
        <w:pStyle w:val="ListBullet"/>
      </w:pPr>
      <w:r>
        <w:t>Accepting components based only on physical appearance.</w:t>
      </w:r>
    </w:p>
    <w:p>
      <w:pPr>
        <w:pStyle w:val="ListBullet"/>
      </w:pPr>
      <w:r>
        <w:t>Ignoring voltage, current, pressure, load, or environmental ratings.</w:t>
      </w:r>
    </w:p>
    <w:p>
      <w:pPr>
        <w:pStyle w:val="ListBullet"/>
      </w:pPr>
      <w:r>
        <w:t>Treating a successor product as automatically interchangeable.</w:t>
      </w:r>
    </w:p>
    <w:p>
      <w:pPr>
        <w:pStyle w:val="ListBullet"/>
      </w:pPr>
      <w:r>
        <w:t>Confusing equipment tags with manufacturer part numbers.</w:t>
      </w:r>
    </w:p>
    <w:p>
      <w:pPr>
        <w:pStyle w:val="ListBullet"/>
      </w:pPr>
      <w:r>
        <w:t>Missing firmware, revision, and configuration compatibility issues.</w:t>
      </w:r>
    </w:p>
    <w:p>
      <w:pPr>
        <w:pStyle w:val="ListBullet"/>
      </w:pPr>
      <w:r>
        <w:t>Accepting incorrect sensor output types or pin assignments.</w:t>
      </w:r>
    </w:p>
    <w:p>
      <w:pPr>
        <w:pStyle w:val="ListBullet"/>
      </w:pPr>
      <w:r>
        <w:t>Ignoring calibration and traceability requirements.</w:t>
      </w:r>
    </w:p>
    <w:p>
      <w:pPr>
        <w:pStyle w:val="ListBullet"/>
      </w:pPr>
      <w:r>
        <w:t>Failing to verify safety component identity and system validation.</w:t>
      </w:r>
    </w:p>
    <w:p>
      <w:pPr>
        <w:pStyle w:val="ListBullet"/>
      </w:pPr>
      <w:r>
        <w:t>Overlooking missing connectors, mounting hardware, or accessories.</w:t>
      </w:r>
    </w:p>
    <w:p>
      <w:pPr>
        <w:pStyle w:val="ListBullet"/>
      </w:pPr>
      <w:r>
        <w:t>Using incomplete BOMs without resolving discrepancies.</w:t>
      </w:r>
    </w:p>
    <w:p>
      <w:pPr>
        <w:pStyle w:val="ListBullet"/>
      </w:pPr>
      <w:r>
        <w:t>Closing defects without evidence of correction and reinspection.</w:t>
      </w:r>
    </w:p>
    <w:p>
      <w:pPr>
        <w:pStyle w:val="Heading2"/>
      </w:pPr>
      <w:r>
        <w:t>20. Interview Questions and Answers</w:t>
      </w:r>
    </w:p>
    <w:p>
      <w:pPr>
        <w:pStyle w:val="Heading3"/>
      </w:pPr>
      <w:r>
        <w:t>Q1. What is component inspection in PDI?</w:t>
      </w:r>
    </w:p>
    <w:p>
      <w:r>
        <w:t>It is the systematic verification of component identity, quantity, technical suitability, physical condition, installation, traceability, and required documentation against approved engineering and quality requirements.</w:t>
      </w:r>
    </w:p>
    <w:p>
      <w:pPr>
        <w:pStyle w:val="Heading3"/>
      </w:pPr>
      <w:r>
        <w:t>Q2. What is a BOM?</w:t>
      </w:r>
    </w:p>
    <w:p>
      <w:r>
        <w:t>A Bill of Materials is a structured list of the components and assemblies required to build or maintain a machine, including their identities and quantities.</w:t>
      </w:r>
    </w:p>
    <w:p>
      <w:pPr>
        <w:pStyle w:val="Heading3"/>
      </w:pPr>
      <w:r>
        <w:t>Q3. What is the difference between a component tag and a part number?</w:t>
      </w:r>
    </w:p>
    <w:p>
      <w:r>
        <w:t>A component tag identifies a device's function or location in the machine design. A manufacturer part number identifies the specific product model.</w:t>
      </w:r>
    </w:p>
    <w:p>
      <w:pPr>
        <w:pStyle w:val="Heading3"/>
      </w:pPr>
      <w:r>
        <w:t>Q4. Why is checking the model number important?</w:t>
      </w:r>
    </w:p>
    <w:p>
      <w:r>
        <w:t>Components that look similar can have different electrical ratings, communication protocols, output types, dimensions, safety characteristics, or firmware compatibility.</w:t>
      </w:r>
    </w:p>
    <w:p>
      <w:pPr>
        <w:pStyle w:val="Heading3"/>
      </w:pPr>
      <w:r>
        <w:t>Q5. What is an approved substitute?</w:t>
      </w:r>
    </w:p>
    <w:p>
      <w:r>
        <w:t>A substitute is an alternative component whose technical suitability and required design changes have been evaluated and formally approved by the authorized engineering process.</w:t>
      </w:r>
    </w:p>
    <w:p>
      <w:pPr>
        <w:pStyle w:val="Heading3"/>
      </w:pPr>
      <w:r>
        <w:t>Q6. Why are safety components treated differently?</w:t>
      </w:r>
    </w:p>
    <w:p>
      <w:r>
        <w:t>An incorrect safety component can compromise a protective function. Identity verification alone is insufficient; installation, configuration, and complete safety-function validation may also be required.</w:t>
      </w:r>
    </w:p>
    <w:p>
      <w:pPr>
        <w:pStyle w:val="Heading3"/>
      </w:pPr>
      <w:r>
        <w:t>Q7. Can a component be accepted if it works but does not match the BOM?</w:t>
      </w:r>
    </w:p>
    <w:p>
      <w:r>
        <w:t>Not automatically. The discrepancy must be evaluated and resolved through replacement or a formally approved engineering disposition, followed by any required verification.</w:t>
      </w:r>
    </w:p>
    <w:p>
      <w:pPr>
        <w:pStyle w:val="Heading3"/>
      </w:pPr>
      <w:r>
        <w:t>Q8. Why are serial numbers important?</w:t>
      </w:r>
    </w:p>
    <w:p>
      <w:r>
        <w:t>They support individual-unit traceability, warranty claims, calibration history, maintenance records, and investigations.</w:t>
      </w:r>
    </w:p>
    <w:p>
      <w:pPr>
        <w:pStyle w:val="Heading3"/>
      </w:pPr>
      <w:r>
        <w:t>Q9. What is the difference between component inspection and machine condition inspection?</w:t>
      </w:r>
    </w:p>
    <w:p>
      <w:r>
        <w:t>Component inspection focuses on individual devices and assemblies, including their identity and suitability. Machine condition inspection evaluates the physical and functional state of the overall machine and its subsystems. The activities overlap but are not interchangeable.</w:t>
      </w:r>
    </w:p>
    <w:p>
      <w:pPr>
        <w:pStyle w:val="Heading3"/>
      </w:pPr>
      <w:r>
        <w:t>Q10. What is the purpose of an obsolescence register?</w:t>
      </w:r>
    </w:p>
    <w:p>
      <w:r>
        <w:t>It identifies discontinued or unsupported components, possible successors, replacement constraints, and risks to long-term maintenance and equipment availability.</w:t>
      </w:r>
    </w:p>
    <w:p>
      <w:pPr>
        <w:pStyle w:val="Heading3"/>
      </w:pPr>
      <w:r>
        <w:t>Q11. What should happen when an installed component differs from the approved drawing?</w:t>
      </w:r>
    </w:p>
    <w:p>
      <w:r>
        <w:t>Record the discrepancy, assess the impact, obtain the required engineering decision, implement the approved action, update affected documentation, and complete the necessary reinspection or testing.</w:t>
      </w:r>
    </w:p>
    <w:p>
      <w:pPr>
        <w:pStyle w:val="Heading3"/>
      </w:pPr>
      <w:r>
        <w:t>Q12. Does component PDI replace functional testing?</w:t>
      </w:r>
    </w:p>
    <w:p>
      <w:r>
        <w:t>No. Component PDI verifies individual components and their installation. Integrated functional testing establishes whether the assembled machine performs its required functions under the applicable test conditions.</w:t>
      </w:r>
    </w:p>
    <w:p>
      <w:pPr>
        <w:pStyle w:val="Heading2"/>
      </w:pPr>
      <w:r>
        <w:t>21. Final Component PDI Checklist</w:t>
      </w:r>
    </w:p>
    <w:p>
      <w:pPr>
        <w:pStyle w:val="ListBullet"/>
      </w:pPr>
      <w:r>
        <w:t>Approved BOM and current engineering drawings are available.</w:t>
      </w:r>
    </w:p>
    <w:p>
      <w:pPr>
        <w:pStyle w:val="ListBullet"/>
      </w:pPr>
      <w:r>
        <w:t>Component identities, part numbers, and quantities are verified.</w:t>
      </w:r>
    </w:p>
    <w:p>
      <w:pPr>
        <w:pStyle w:val="ListBullet"/>
      </w:pPr>
      <w:r>
        <w:t>Required ratings and technical specifications match the design.</w:t>
      </w:r>
    </w:p>
    <w:p>
      <w:pPr>
        <w:pStyle w:val="ListBullet"/>
      </w:pPr>
      <w:r>
        <w:t>Component compatibility is checked across electrical, mechanical, and control interfaces.</w:t>
      </w:r>
    </w:p>
    <w:p>
      <w:pPr>
        <w:pStyle w:val="ListBullet"/>
      </w:pPr>
      <w:r>
        <w:t>Physical condition, mounting, and connectors are inspected.</w:t>
      </w:r>
    </w:p>
    <w:p>
      <w:pPr>
        <w:pStyle w:val="ListBullet"/>
      </w:pPr>
      <w:r>
        <w:t>Wiring, tubing, and accessories are verified where applicable.</w:t>
      </w:r>
    </w:p>
    <w:p>
      <w:pPr>
        <w:pStyle w:val="ListBullet"/>
      </w:pPr>
      <w:r>
        <w:t>Safety-related component identity and documentation are checked.</w:t>
      </w:r>
    </w:p>
    <w:p>
      <w:pPr>
        <w:pStyle w:val="ListBullet"/>
      </w:pPr>
      <w:r>
        <w:t>Required serial numbers and traceability records are captured.</w:t>
      </w:r>
    </w:p>
    <w:p>
      <w:pPr>
        <w:pStyle w:val="ListBullet"/>
      </w:pPr>
      <w:r>
        <w:t>Calibration and certification records are available where required.</w:t>
      </w:r>
    </w:p>
    <w:p>
      <w:pPr>
        <w:pStyle w:val="ListBullet"/>
      </w:pPr>
      <w:r>
        <w:t>Firmware, revisions, parameter backups, and configuration records are verified where applicable.</w:t>
      </w:r>
    </w:p>
    <w:p>
      <w:pPr>
        <w:pStyle w:val="ListBullet"/>
      </w:pPr>
      <w:r>
        <w:t>Obsolete and substituted components are identified and formally evaluated.</w:t>
      </w:r>
    </w:p>
    <w:p>
      <w:pPr>
        <w:pStyle w:val="ListBullet"/>
      </w:pPr>
      <w:r>
        <w:t>Spare parts, accessories, and required loose items are accounted for.</w:t>
      </w:r>
    </w:p>
    <w:p>
      <w:pPr>
        <w:pStyle w:val="ListBullet"/>
      </w:pPr>
      <w:r>
        <w:t>Discrepancies are documented with evidence and assigned corrective actions.</w:t>
      </w:r>
    </w:p>
    <w:p>
      <w:pPr>
        <w:pStyle w:val="ListBullet"/>
      </w:pPr>
      <w:r>
        <w:t>Corrective actions and required reinspection are completed.</w:t>
      </w:r>
    </w:p>
    <w:p>
      <w:pPr>
        <w:pStyle w:val="ListBullet"/>
      </w:pPr>
      <w:r>
        <w:t>Required approvals are recorded before the applicable release.</w:t>
      </w:r>
    </w:p>
    <w:p>
      <w:r>
        <w:t>Key principle: Component PDI verifies not merely whether the right-looking devices are present, but whether the actual installed components are correct, compatible, traceable, undamaged, and approved for their intended function.</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02_PLAN_WISE_2026\02_INDUSTRY3_0\15_PDI\04_Electrical_Mechanical - Electrical/Mechanical systems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Components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