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Spares</w:t>
      </w:r>
    </w:p>
    <w:p>
      <w:pPr>
        <w:pStyle w:val="Heading2"/>
      </w:pPr>
      <w:r>
        <w:t>1. Definition</w:t>
      </w:r>
    </w:p>
    <w:p>
      <w:r>
        <w:t>PDI Spares is the process of identifying, verifying, documenting, and evaluating the spare parts required to support a machine or automation system after delivery. It ensures that critical components, replacement parts, and recommended maintenance spares are correctly identified and available according to operational risk, equipment requirements, and project specifications.</w:t>
      </w:r>
    </w:p>
    <w:p>
      <w:r>
        <w:t>In industrial automation, spare-parts planning covers electrical, electronic, mechanical, pneumatic, hydraulic, instrumentation, and control-system components.</w:t>
      </w:r>
    </w:p>
    <w:p>
      <w:r>
        <w:t>The purpose is to reduce equipment downtime, prevent incorrect replacements, support maintenance activities, and establish a traceable link between installed components and their approved replacements.</w:t>
      </w:r>
    </w:p>
    <w:p>
      <w:r>
        <w:t>A spare-parts list is not simply a list of everything installed in a machine. It must distinguish between installed components, recommended spares, consumables, repairable assemblies, and obsolete or discontinued parts.</w:t>
      </w:r>
    </w:p>
    <w:p>
      <w:pPr>
        <w:pStyle w:val="Heading2"/>
      </w:pPr>
      <w:r>
        <w:t>2. Objectives of PDI Spares</w:t>
      </w:r>
    </w:p>
    <w:p>
      <w:pPr>
        <w:pStyle w:val="ListBullet"/>
      </w:pPr>
      <w:r>
        <w:t>Verify that recommended spare parts match the installed equipment.</w:t>
      </w:r>
    </w:p>
    <w:p>
      <w:pPr>
        <w:pStyle w:val="ListBullet"/>
      </w:pPr>
      <w:r>
        <w:t>Identify manufacturer part numbers, specifications, ratings, and compatible replacements.</w:t>
      </w:r>
    </w:p>
    <w:p>
      <w:pPr>
        <w:pStyle w:val="ListBullet"/>
      </w:pPr>
      <w:r>
        <w:t>Determine critical spares based on failure consequences and equipment availability.</w:t>
      </w:r>
    </w:p>
    <w:p>
      <w:pPr>
        <w:pStyle w:val="ListBullet"/>
      </w:pPr>
      <w:r>
        <w:t>Identify obsolete, discontinued, or end-of-life components.</w:t>
      </w:r>
    </w:p>
    <w:p>
      <w:pPr>
        <w:pStyle w:val="ListBullet"/>
      </w:pPr>
      <w:r>
        <w:t>Record manufacturer-approved successors and migration requirements.</w:t>
      </w:r>
    </w:p>
    <w:p>
      <w:pPr>
        <w:pStyle w:val="ListBullet"/>
      </w:pPr>
      <w:r>
        <w:t>Establish recommended quantities and procurement lead times.</w:t>
      </w:r>
    </w:p>
    <w:p>
      <w:pPr>
        <w:pStyle w:val="ListBullet"/>
      </w:pPr>
      <w:r>
        <w:t>Support maintenance planning, breakdown response, and preventive maintenance.</w:t>
      </w:r>
    </w:p>
    <w:p>
      <w:pPr>
        <w:pStyle w:val="ListBullet"/>
      </w:pPr>
      <w:r>
        <w:t>Prevent incorrect substitutions that could affect machine performance or safety.</w:t>
      </w:r>
    </w:p>
    <w:p>
      <w:pPr>
        <w:pStyle w:val="ListBullet"/>
      </w:pPr>
      <w:r>
        <w:t>Maintain traceability between machine tags, installed components, spare parts, and technical documents.</w:t>
      </w:r>
    </w:p>
    <w:p>
      <w:pPr>
        <w:pStyle w:val="ListBullet"/>
      </w:pPr>
      <w:r>
        <w:t>Prepare a usable spare-parts register for handover to the maintenance or stores team.</w:t>
      </w:r>
    </w:p>
    <w:p>
      <w:pPr>
        <w:pStyle w:val="Heading2"/>
      </w:pPr>
      <w:r>
        <w:t>3. Categories of Industrial Spare Parts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Maintenance purpose</w:t>
            </w:r>
          </w:p>
        </w:tc>
      </w:tr>
      <w:tr>
        <w:tc>
          <w:tcPr>
            <w:tcW w:type="dxa" w:w="3600"/>
          </w:tcPr>
          <w:p>
            <w:pPr>
              <w:spacing w:after="0" w:before="0" w:line="240" w:lineRule="auto"/>
              <w:jc w:val="left"/>
            </w:pPr>
            <w:r>
              <w:t>Electrical components</w:t>
            </w:r>
          </w:p>
        </w:tc>
        <w:tc>
          <w:tcPr>
            <w:tcW w:type="dxa" w:w="3600"/>
          </w:tcPr>
          <w:p>
            <w:pPr>
              <w:spacing w:after="0" w:before="0" w:line="240" w:lineRule="auto"/>
              <w:jc w:val="left"/>
            </w:pPr>
            <w:r>
              <w:t>MCBs, contactors, overload relays, fuses</w:t>
            </w:r>
          </w:p>
        </w:tc>
        <w:tc>
          <w:tcPr>
            <w:tcW w:type="dxa" w:w="3600"/>
          </w:tcPr>
          <w:p>
            <w:pPr>
              <w:spacing w:after="0" w:before="0" w:line="240" w:lineRule="auto"/>
              <w:jc w:val="left"/>
            </w:pPr>
            <w:r>
              <w:t>Restore electrical power and control functions</w:t>
            </w:r>
          </w:p>
        </w:tc>
      </w:tr>
      <w:tr>
        <w:tc>
          <w:tcPr>
            <w:tcW w:type="dxa" w:w="3600"/>
          </w:tcPr>
          <w:p>
            <w:pPr>
              <w:spacing w:after="0" w:before="0" w:line="240" w:lineRule="auto"/>
              <w:jc w:val="left"/>
            </w:pPr>
            <w:r>
              <w:t>PLC components</w:t>
            </w:r>
          </w:p>
        </w:tc>
        <w:tc>
          <w:tcPr>
            <w:tcW w:type="dxa" w:w="3600"/>
          </w:tcPr>
          <w:p>
            <w:pPr>
              <w:spacing w:after="0" w:before="0" w:line="240" w:lineRule="auto"/>
              <w:jc w:val="left"/>
            </w:pPr>
            <w:r>
              <w:t>CPU, digital I/O modules, analog modules, communication modules</w:t>
            </w:r>
          </w:p>
        </w:tc>
        <w:tc>
          <w:tcPr>
            <w:tcW w:type="dxa" w:w="3600"/>
          </w:tcPr>
          <w:p>
            <w:pPr>
              <w:spacing w:after="0" w:before="0" w:line="240" w:lineRule="auto"/>
              <w:jc w:val="left"/>
            </w:pPr>
            <w:r>
              <w:t>Restore automation control</w:t>
            </w:r>
          </w:p>
        </w:tc>
      </w:tr>
      <w:tr>
        <w:tc>
          <w:tcPr>
            <w:tcW w:type="dxa" w:w="3600"/>
          </w:tcPr>
          <w:p>
            <w:pPr>
              <w:spacing w:after="0" w:before="0" w:line="240" w:lineRule="auto"/>
              <w:jc w:val="left"/>
            </w:pPr>
            <w:r>
              <w:t>HMI and industrial PC</w:t>
            </w:r>
          </w:p>
        </w:tc>
        <w:tc>
          <w:tcPr>
            <w:tcW w:type="dxa" w:w="3600"/>
          </w:tcPr>
          <w:p>
            <w:pPr>
              <w:spacing w:after="0" w:before="0" w:line="240" w:lineRule="auto"/>
              <w:jc w:val="left"/>
            </w:pPr>
            <w:r>
              <w:t>Operator panels, industrial computers, storage devices</w:t>
            </w:r>
          </w:p>
        </w:tc>
        <w:tc>
          <w:tcPr>
            <w:tcW w:type="dxa" w:w="3600"/>
          </w:tcPr>
          <w:p>
            <w:pPr>
              <w:spacing w:after="0" w:before="0" w:line="240" w:lineRule="auto"/>
              <w:jc w:val="left"/>
            </w:pPr>
            <w:r>
              <w:t>Restore operator interfaces and computing functions</w:t>
            </w:r>
          </w:p>
        </w:tc>
      </w:tr>
      <w:tr>
        <w:tc>
          <w:tcPr>
            <w:tcW w:type="dxa" w:w="3600"/>
          </w:tcPr>
          <w:p>
            <w:pPr>
              <w:spacing w:after="0" w:before="0" w:line="240" w:lineRule="auto"/>
              <w:jc w:val="left"/>
            </w:pPr>
            <w:r>
              <w:t>Drives and motion</w:t>
            </w:r>
          </w:p>
        </w:tc>
        <w:tc>
          <w:tcPr>
            <w:tcW w:type="dxa" w:w="3600"/>
          </w:tcPr>
          <w:p>
            <w:pPr>
              <w:spacing w:after="0" w:before="0" w:line="240" w:lineRule="auto"/>
              <w:jc w:val="left"/>
            </w:pPr>
            <w:r>
              <w:t>VFDs, servo drives, encoders, feedback cables</w:t>
            </w:r>
          </w:p>
        </w:tc>
        <w:tc>
          <w:tcPr>
            <w:tcW w:type="dxa" w:w="3600"/>
          </w:tcPr>
          <w:p>
            <w:pPr>
              <w:spacing w:after="0" w:before="0" w:line="240" w:lineRule="auto"/>
              <w:jc w:val="left"/>
            </w:pPr>
            <w:r>
              <w:t>Restore motor and motion-control functions</w:t>
            </w:r>
          </w:p>
        </w:tc>
      </w:tr>
      <w:tr>
        <w:tc>
          <w:tcPr>
            <w:tcW w:type="dxa" w:w="3600"/>
          </w:tcPr>
          <w:p>
            <w:pPr>
              <w:spacing w:after="0" w:before="0" w:line="240" w:lineRule="auto"/>
              <w:jc w:val="left"/>
            </w:pPr>
            <w:r>
              <w:t>Sensors</w:t>
            </w:r>
          </w:p>
        </w:tc>
        <w:tc>
          <w:tcPr>
            <w:tcW w:type="dxa" w:w="3600"/>
          </w:tcPr>
          <w:p>
            <w:pPr>
              <w:spacing w:after="0" w:before="0" w:line="240" w:lineRule="auto"/>
              <w:jc w:val="left"/>
            </w:pPr>
            <w:r>
              <w:t>Proximity sensors, photoelectric sensors, pressure sensors</w:t>
            </w:r>
          </w:p>
        </w:tc>
        <w:tc>
          <w:tcPr>
            <w:tcW w:type="dxa" w:w="3600"/>
          </w:tcPr>
          <w:p>
            <w:pPr>
              <w:spacing w:after="0" w:before="0" w:line="240" w:lineRule="auto"/>
              <w:jc w:val="left"/>
            </w:pPr>
            <w:r>
              <w:t>Restore detection and measurement</w:t>
            </w:r>
          </w:p>
        </w:tc>
      </w:tr>
      <w:tr>
        <w:tc>
          <w:tcPr>
            <w:tcW w:type="dxa" w:w="3600"/>
          </w:tcPr>
          <w:p>
            <w:pPr>
              <w:spacing w:after="0" w:before="0" w:line="240" w:lineRule="auto"/>
              <w:jc w:val="left"/>
            </w:pPr>
            <w:r>
              <w:t>Safety components</w:t>
            </w:r>
          </w:p>
        </w:tc>
        <w:tc>
          <w:tcPr>
            <w:tcW w:type="dxa" w:w="3600"/>
          </w:tcPr>
          <w:p>
            <w:pPr>
              <w:spacing w:after="0" w:before="0" w:line="240" w:lineRule="auto"/>
              <w:jc w:val="left"/>
            </w:pPr>
            <w:r>
              <w:t>Safety relays, interlocks, approved safety sensors</w:t>
            </w:r>
          </w:p>
        </w:tc>
        <w:tc>
          <w:tcPr>
            <w:tcW w:type="dxa" w:w="3600"/>
          </w:tcPr>
          <w:p>
            <w:pPr>
              <w:spacing w:after="0" w:before="0" w:line="240" w:lineRule="auto"/>
              <w:jc w:val="left"/>
            </w:pPr>
            <w:r>
              <w:t>Restore specified protective functions</w:t>
            </w:r>
          </w:p>
        </w:tc>
      </w:tr>
      <w:tr>
        <w:tc>
          <w:tcPr>
            <w:tcW w:type="dxa" w:w="3600"/>
          </w:tcPr>
          <w:p>
            <w:pPr>
              <w:spacing w:after="0" w:before="0" w:line="240" w:lineRule="auto"/>
              <w:jc w:val="left"/>
            </w:pPr>
            <w:r>
              <w:t>Communication components</w:t>
            </w:r>
          </w:p>
        </w:tc>
        <w:tc>
          <w:tcPr>
            <w:tcW w:type="dxa" w:w="3600"/>
          </w:tcPr>
          <w:p>
            <w:pPr>
              <w:spacing w:after="0" w:before="0" w:line="240" w:lineRule="auto"/>
              <w:jc w:val="left"/>
            </w:pPr>
            <w:r>
              <w:t>Industrial switches, media converters, network adapters</w:t>
            </w:r>
          </w:p>
        </w:tc>
        <w:tc>
          <w:tcPr>
            <w:tcW w:type="dxa" w:w="3600"/>
          </w:tcPr>
          <w:p>
            <w:pPr>
              <w:spacing w:after="0" w:before="0" w:line="240" w:lineRule="auto"/>
              <w:jc w:val="left"/>
            </w:pPr>
            <w:r>
              <w:t>Restore industrial communications</w:t>
            </w:r>
          </w:p>
        </w:tc>
      </w:tr>
      <w:tr>
        <w:tc>
          <w:tcPr>
            <w:tcW w:type="dxa" w:w="3600"/>
          </w:tcPr>
          <w:p>
            <w:pPr>
              <w:spacing w:after="0" w:before="0" w:line="240" w:lineRule="auto"/>
              <w:jc w:val="left"/>
            </w:pPr>
            <w:r>
              <w:t>Pneumatic components</w:t>
            </w:r>
          </w:p>
        </w:tc>
        <w:tc>
          <w:tcPr>
            <w:tcW w:type="dxa" w:w="3600"/>
          </w:tcPr>
          <w:p>
            <w:pPr>
              <w:spacing w:after="0" w:before="0" w:line="240" w:lineRule="auto"/>
              <w:jc w:val="left"/>
            </w:pPr>
            <w:r>
              <w:t>Solenoid valves, cylinders, regulators, fittings</w:t>
            </w:r>
          </w:p>
        </w:tc>
        <w:tc>
          <w:tcPr>
            <w:tcW w:type="dxa" w:w="3600"/>
          </w:tcPr>
          <w:p>
            <w:pPr>
              <w:spacing w:after="0" w:before="0" w:line="240" w:lineRule="auto"/>
              <w:jc w:val="left"/>
            </w:pPr>
            <w:r>
              <w:t>Restore pneumatic actuation</w:t>
            </w:r>
          </w:p>
        </w:tc>
      </w:tr>
      <w:tr>
        <w:tc>
          <w:tcPr>
            <w:tcW w:type="dxa" w:w="3600"/>
          </w:tcPr>
          <w:p>
            <w:pPr>
              <w:spacing w:after="0" w:before="0" w:line="240" w:lineRule="auto"/>
              <w:jc w:val="left"/>
            </w:pPr>
            <w:r>
              <w:t>Hydraulic components</w:t>
            </w:r>
          </w:p>
        </w:tc>
        <w:tc>
          <w:tcPr>
            <w:tcW w:type="dxa" w:w="3600"/>
          </w:tcPr>
          <w:p>
            <w:pPr>
              <w:spacing w:after="0" w:before="0" w:line="240" w:lineRule="auto"/>
              <w:jc w:val="left"/>
            </w:pPr>
            <w:r>
              <w:t>Valves, seals, filters, pressure switches</w:t>
            </w:r>
          </w:p>
        </w:tc>
        <w:tc>
          <w:tcPr>
            <w:tcW w:type="dxa" w:w="3600"/>
          </w:tcPr>
          <w:p>
            <w:pPr>
              <w:spacing w:after="0" w:before="0" w:line="240" w:lineRule="auto"/>
              <w:jc w:val="left"/>
            </w:pPr>
            <w:r>
              <w:t>Restore hydraulic functions</w:t>
            </w:r>
          </w:p>
        </w:tc>
      </w:tr>
      <w:tr>
        <w:tc>
          <w:tcPr>
            <w:tcW w:type="dxa" w:w="3600"/>
          </w:tcPr>
          <w:p>
            <w:pPr>
              <w:spacing w:after="0" w:before="0" w:line="240" w:lineRule="auto"/>
              <w:jc w:val="left"/>
            </w:pPr>
            <w:r>
              <w:t>Mechanical components</w:t>
            </w:r>
          </w:p>
        </w:tc>
        <w:tc>
          <w:tcPr>
            <w:tcW w:type="dxa" w:w="3600"/>
          </w:tcPr>
          <w:p>
            <w:pPr>
              <w:spacing w:after="0" w:before="0" w:line="240" w:lineRule="auto"/>
              <w:jc w:val="left"/>
            </w:pPr>
            <w:r>
              <w:t>Bearings, couplings, belts, gears, guide elements</w:t>
            </w:r>
          </w:p>
        </w:tc>
        <w:tc>
          <w:tcPr>
            <w:tcW w:type="dxa" w:w="3600"/>
          </w:tcPr>
          <w:p>
            <w:pPr>
              <w:spacing w:after="0" w:before="0" w:line="240" w:lineRule="auto"/>
              <w:jc w:val="left"/>
            </w:pPr>
            <w:r>
              <w:t>Restore mechanical movement</w:t>
            </w:r>
          </w:p>
        </w:tc>
      </w:tr>
      <w:tr>
        <w:tc>
          <w:tcPr>
            <w:tcW w:type="dxa" w:w="3600"/>
          </w:tcPr>
          <w:p>
            <w:pPr>
              <w:spacing w:after="0" w:before="0" w:line="240" w:lineRule="auto"/>
              <w:jc w:val="left"/>
            </w:pPr>
            <w:r>
              <w:t>Consumables</w:t>
            </w:r>
          </w:p>
        </w:tc>
        <w:tc>
          <w:tcPr>
            <w:tcW w:type="dxa" w:w="3600"/>
          </w:tcPr>
          <w:p>
            <w:pPr>
              <w:spacing w:after="0" w:before="0" w:line="240" w:lineRule="auto"/>
              <w:jc w:val="left"/>
            </w:pPr>
            <w:r>
              <w:t>Filters, lubricants, sealing materials</w:t>
            </w:r>
          </w:p>
        </w:tc>
        <w:tc>
          <w:tcPr>
            <w:tcW w:type="dxa" w:w="3600"/>
          </w:tcPr>
          <w:p>
            <w:pPr>
              <w:spacing w:after="0" w:before="0" w:line="240" w:lineRule="auto"/>
              <w:jc w:val="left"/>
            </w:pPr>
            <w:r>
              <w:t>Support routine servicing</w:t>
            </w:r>
          </w:p>
        </w:tc>
      </w:tr>
      <w:tr>
        <w:tc>
          <w:tcPr>
            <w:tcW w:type="dxa" w:w="3600"/>
          </w:tcPr>
          <w:p>
            <w:pPr>
              <w:spacing w:after="0" w:before="0" w:line="240" w:lineRule="auto"/>
              <w:jc w:val="left"/>
            </w:pPr>
            <w:r>
              <w:t>Repairable assemblies</w:t>
            </w:r>
          </w:p>
        </w:tc>
        <w:tc>
          <w:tcPr>
            <w:tcW w:type="dxa" w:w="3600"/>
          </w:tcPr>
          <w:p>
            <w:pPr>
              <w:spacing w:after="0" w:before="0" w:line="240" w:lineRule="auto"/>
              <w:jc w:val="left"/>
            </w:pPr>
            <w:r>
              <w:t>Electronic boards, drive assemblies, controller modules</w:t>
            </w:r>
          </w:p>
        </w:tc>
        <w:tc>
          <w:tcPr>
            <w:tcW w:type="dxa" w:w="3600"/>
          </w:tcPr>
          <w:p>
            <w:pPr>
              <w:spacing w:after="0" w:before="0" w:line="240" w:lineRule="auto"/>
              <w:jc w:val="left"/>
            </w:pPr>
            <w:r>
              <w:t>Support repair and exchange programs</w:t>
            </w:r>
          </w:p>
        </w:tc>
      </w:tr>
    </w:tbl>
    <w:p/>
    <w:p>
      <w:r>
        <w:t>Safety-related components must be selected and replaced according to the approved safety design. A physically similar component is not automatically an acceptable substitute.</w:t>
      </w:r>
    </w:p>
    <w:p>
      <w:pPr>
        <w:pStyle w:val="Heading2"/>
      </w:pPr>
      <w:r>
        <w:t>4. Installed Components vs. Recommended Spares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Installed component register</w:t>
            </w:r>
          </w:p>
        </w:tc>
        <w:tc>
          <w:tcPr>
            <w:tcW w:type="dxa" w:w="3600"/>
            <w:shd w:val="clear" w:color="auto" w:fill="EEF2F7"/>
          </w:tcPr>
          <w:p>
            <w:pPr>
              <w:spacing w:after="0" w:before="0" w:line="240" w:lineRule="auto"/>
              <w:jc w:val="left"/>
            </w:pPr>
            <w:r>
              <w:rPr>
                <w:b/>
                <w:color w:val="1A2E4A"/>
              </w:rPr>
              <w:t>Spare-parts register</w:t>
            </w:r>
          </w:p>
        </w:tc>
      </w:tr>
      <w:tr>
        <w:tc>
          <w:tcPr>
            <w:tcW w:type="dxa" w:w="3600"/>
          </w:tcPr>
          <w:p>
            <w:pPr>
              <w:spacing w:after="0" w:before="0" w:line="240" w:lineRule="auto"/>
              <w:jc w:val="left"/>
            </w:pPr>
            <w:r>
              <w:t>Purpose</w:t>
            </w:r>
          </w:p>
        </w:tc>
        <w:tc>
          <w:tcPr>
            <w:tcW w:type="dxa" w:w="3600"/>
          </w:tcPr>
          <w:p>
            <w:pPr>
              <w:spacing w:after="0" w:before="0" w:line="240" w:lineRule="auto"/>
              <w:jc w:val="left"/>
            </w:pPr>
            <w:r>
              <w:t>Records what is fitted to the machine</w:t>
            </w:r>
          </w:p>
        </w:tc>
        <w:tc>
          <w:tcPr>
            <w:tcW w:type="dxa" w:w="3600"/>
          </w:tcPr>
          <w:p>
            <w:pPr>
              <w:spacing w:after="0" w:before="0" w:line="240" w:lineRule="auto"/>
              <w:jc w:val="left"/>
            </w:pPr>
            <w:r>
              <w:t>Records what may be required for replacement</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Machine tag and installed location</w:t>
            </w:r>
          </w:p>
        </w:tc>
        <w:tc>
          <w:tcPr>
            <w:tcW w:type="dxa" w:w="3600"/>
          </w:tcPr>
          <w:p>
            <w:pPr>
              <w:spacing w:after="0" w:before="0" w:line="240" w:lineRule="auto"/>
              <w:jc w:val="left"/>
            </w:pPr>
            <w:r>
              <w:t>Spare item code and compatible equipment</w:t>
            </w:r>
          </w:p>
        </w:tc>
      </w:tr>
      <w:tr>
        <w:tc>
          <w:tcPr>
            <w:tcW w:type="dxa" w:w="3600"/>
          </w:tcPr>
          <w:p>
            <w:pPr>
              <w:spacing w:after="0" w:before="0" w:line="240" w:lineRule="auto"/>
              <w:jc w:val="left"/>
            </w:pPr>
            <w:r>
              <w:t>Quantity</w:t>
            </w:r>
          </w:p>
        </w:tc>
        <w:tc>
          <w:tcPr>
            <w:tcW w:type="dxa" w:w="3600"/>
          </w:tcPr>
          <w:p>
            <w:pPr>
              <w:spacing w:after="0" w:before="0" w:line="240" w:lineRule="auto"/>
              <w:jc w:val="left"/>
            </w:pPr>
            <w:r>
              <w:t>Actual installed quantity</w:t>
            </w:r>
          </w:p>
        </w:tc>
        <w:tc>
          <w:tcPr>
            <w:tcW w:type="dxa" w:w="3600"/>
          </w:tcPr>
          <w:p>
            <w:pPr>
              <w:spacing w:after="0" w:before="0" w:line="240" w:lineRule="auto"/>
              <w:jc w:val="left"/>
            </w:pPr>
            <w:r>
              <w:t>Recommended stocking quantity</w:t>
            </w:r>
          </w:p>
        </w:tc>
      </w:tr>
      <w:tr>
        <w:tc>
          <w:tcPr>
            <w:tcW w:type="dxa" w:w="3600"/>
          </w:tcPr>
          <w:p>
            <w:pPr>
              <w:spacing w:after="0" w:before="0" w:line="240" w:lineRule="auto"/>
              <w:jc w:val="left"/>
            </w:pPr>
            <w:r>
              <w:t>Part number</w:t>
            </w:r>
          </w:p>
        </w:tc>
        <w:tc>
          <w:tcPr>
            <w:tcW w:type="dxa" w:w="3600"/>
          </w:tcPr>
          <w:p>
            <w:pPr>
              <w:spacing w:after="0" w:before="0" w:line="240" w:lineRule="auto"/>
              <w:jc w:val="left"/>
            </w:pPr>
            <w:r>
              <w:t>Actual installed part number</w:t>
            </w:r>
          </w:p>
        </w:tc>
        <w:tc>
          <w:tcPr>
            <w:tcW w:type="dxa" w:w="3600"/>
          </w:tcPr>
          <w:p>
            <w:pPr>
              <w:spacing w:after="0" w:before="0" w:line="240" w:lineRule="auto"/>
              <w:jc w:val="left"/>
            </w:pPr>
            <w:r>
              <w:t>Approved replacement part number</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Must match the as-built configuration</w:t>
            </w:r>
          </w:p>
        </w:tc>
        <w:tc>
          <w:tcPr>
            <w:tcW w:type="dxa" w:w="3600"/>
          </w:tcPr>
          <w:p>
            <w:pPr>
              <w:spacing w:after="0" w:before="0" w:line="240" w:lineRule="auto"/>
              <w:jc w:val="left"/>
            </w:pPr>
            <w:r>
              <w:t>Must be suitable for the target application</w:t>
            </w:r>
          </w:p>
        </w:tc>
      </w:tr>
      <w:tr>
        <w:tc>
          <w:tcPr>
            <w:tcW w:type="dxa" w:w="3600"/>
          </w:tcPr>
          <w:p>
            <w:pPr>
              <w:spacing w:after="0" w:before="0" w:line="240" w:lineRule="auto"/>
              <w:jc w:val="left"/>
            </w:pPr>
            <w:r>
              <w:t>Stock status</w:t>
            </w:r>
          </w:p>
        </w:tc>
        <w:tc>
          <w:tcPr>
            <w:tcW w:type="dxa" w:w="3600"/>
          </w:tcPr>
          <w:p>
            <w:pPr>
              <w:spacing w:after="0" w:before="0" w:line="240" w:lineRule="auto"/>
              <w:jc w:val="left"/>
            </w:pPr>
            <w:r>
              <w:t>Usually not applicable</w:t>
            </w:r>
          </w:p>
        </w:tc>
        <w:tc>
          <w:tcPr>
            <w:tcW w:type="dxa" w:w="3600"/>
          </w:tcPr>
          <w:p>
            <w:pPr>
              <w:spacing w:after="0" w:before="0" w:line="240" w:lineRule="auto"/>
              <w:jc w:val="left"/>
            </w:pPr>
            <w:r>
              <w:t>Available, unavailable, ordered, or obsolete</w:t>
            </w:r>
          </w:p>
        </w:tc>
      </w:tr>
      <w:tr>
        <w:tc>
          <w:tcPr>
            <w:tcW w:type="dxa" w:w="3600"/>
          </w:tcPr>
          <w:p>
            <w:pPr>
              <w:spacing w:after="0" w:before="0" w:line="240" w:lineRule="auto"/>
              <w:jc w:val="left"/>
            </w:pPr>
            <w:r>
              <w:t>Replacement strategy</w:t>
            </w:r>
          </w:p>
        </w:tc>
        <w:tc>
          <w:tcPr>
            <w:tcW w:type="dxa" w:w="3600"/>
          </w:tcPr>
          <w:p>
            <w:pPr>
              <w:spacing w:after="0" w:before="0" w:line="240" w:lineRule="auto"/>
              <w:jc w:val="left"/>
            </w:pPr>
            <w:r>
              <w:t>Documents current equipment</w:t>
            </w:r>
          </w:p>
        </w:tc>
        <w:tc>
          <w:tcPr>
            <w:tcW w:type="dxa" w:w="3600"/>
          </w:tcPr>
          <w:p>
            <w:pPr>
              <w:spacing w:after="0" w:before="0" w:line="240" w:lineRule="auto"/>
              <w:jc w:val="left"/>
            </w:pPr>
            <w:r>
              <w:t>Documents repair, replacement, or migration options</w:t>
            </w:r>
          </w:p>
        </w:tc>
      </w:tr>
    </w:tbl>
    <w:p/>
    <w:p>
      <w:r>
        <w:t>The installed-component register should be the starting point for spare-parts planning. Without it, spare recommendations can easily become disconnected from the actual machine configuration.</w:t>
      </w:r>
    </w:p>
    <w:p>
      <w:pPr>
        <w:pStyle w:val="Heading2"/>
      </w:pPr>
      <w:r>
        <w:t>5. Spare-Part Identification</w:t>
      </w:r>
    </w:p>
    <w:p>
      <w:r>
        <w:t>Every spare part should have enough information to identify and procure the correct item.</w:t>
      </w:r>
    </w:p>
    <w:p>
      <w:r>
        <w:t>Typical fields include:</w:t>
      </w:r>
    </w:p>
    <w:p>
      <w:pPr>
        <w:pStyle w:val="ListBullet"/>
      </w:pPr>
      <w:r>
        <w:t>Manufacturer and exact part number.</w:t>
      </w:r>
    </w:p>
    <w:p>
      <w:pPr>
        <w:pStyle w:val="ListBullet"/>
      </w:pPr>
      <w:r>
        <w:t>Component description and function.</w:t>
      </w:r>
    </w:p>
    <w:p>
      <w:pPr>
        <w:pStyle w:val="ListBullet"/>
      </w:pPr>
      <w:r>
        <w:t>Machine ID and installed device tag.</w:t>
      </w:r>
    </w:p>
    <w:p>
      <w:pPr>
        <w:pStyle w:val="ListBullet"/>
      </w:pPr>
      <w:r>
        <w:t>Equipment location or panel reference.</w:t>
      </w:r>
    </w:p>
    <w:p>
      <w:pPr>
        <w:pStyle w:val="ListBullet"/>
      </w:pPr>
      <w:r>
        <w:t>Electrical, mechanical, or process ratings.</w:t>
      </w:r>
    </w:p>
    <w:p>
      <w:pPr>
        <w:pStyle w:val="ListBullet"/>
      </w:pPr>
      <w:r>
        <w:t>Hardware and firmware compatibility where applicable.</w:t>
      </w:r>
    </w:p>
    <w:p>
      <w:pPr>
        <w:pStyle w:val="ListBullet"/>
      </w:pPr>
      <w:r>
        <w:t>Approved successor or replacement part number.</w:t>
      </w:r>
    </w:p>
    <w:p>
      <w:pPr>
        <w:pStyle w:val="ListBullet"/>
      </w:pPr>
      <w:r>
        <w:t>Manufacturer documentation reference.</w:t>
      </w:r>
    </w:p>
    <w:p>
      <w:pPr>
        <w:pStyle w:val="ListBullet"/>
      </w:pPr>
      <w:r>
        <w:t>Procurement lead time and supplier information.</w:t>
      </w:r>
    </w:p>
    <w:p>
      <w:pPr>
        <w:pStyle w:val="ListBullet"/>
      </w:pPr>
      <w:r>
        <w:t>Stock quantity and recommended quantity.</w:t>
      </w:r>
    </w:p>
    <w:p>
      <w:pPr>
        <w:pStyle w:val="ListBullet"/>
      </w:pPr>
      <w:r>
        <w:t>Criticality and obsolescence status.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Machine ID</w:t>
            </w:r>
          </w:p>
        </w:tc>
        <w:tc>
          <w:tcPr>
            <w:tcW w:type="dxa" w:w="5400"/>
          </w:tcPr>
          <w:p>
            <w:pPr>
              <w:spacing w:after="0" w:before="0" w:line="240" w:lineRule="auto"/>
              <w:jc w:val="left"/>
            </w:pPr>
            <w:r>
              <w:t>MCH-001</w:t>
            </w:r>
          </w:p>
        </w:tc>
      </w:tr>
      <w:tr>
        <w:tc>
          <w:tcPr>
            <w:tcW w:type="dxa" w:w="5400"/>
          </w:tcPr>
          <w:p>
            <w:pPr>
              <w:spacing w:after="0" w:before="0" w:line="240" w:lineRule="auto"/>
              <w:jc w:val="left"/>
            </w:pPr>
            <w:r>
              <w:t>Device tag</w:t>
            </w:r>
          </w:p>
        </w:tc>
        <w:tc>
          <w:tcPr>
            <w:tcW w:type="dxa" w:w="5400"/>
          </w:tcPr>
          <w:p>
            <w:pPr>
              <w:spacing w:after="0" w:before="0" w:line="240" w:lineRule="auto"/>
              <w:jc w:val="left"/>
            </w:pPr>
            <w:r>
              <w:t>PLC-DI-01</w:t>
            </w:r>
          </w:p>
        </w:tc>
      </w:tr>
      <w:tr>
        <w:tc>
          <w:tcPr>
            <w:tcW w:type="dxa" w:w="5400"/>
          </w:tcPr>
          <w:p>
            <w:pPr>
              <w:spacing w:after="0" w:before="0" w:line="240" w:lineRule="auto"/>
              <w:jc w:val="left"/>
            </w:pPr>
            <w:r>
              <w:t>Component type</w:t>
            </w:r>
          </w:p>
        </w:tc>
        <w:tc>
          <w:tcPr>
            <w:tcW w:type="dxa" w:w="5400"/>
          </w:tcPr>
          <w:p>
            <w:pPr>
              <w:spacing w:after="0" w:before="0" w:line="240" w:lineRule="auto"/>
              <w:jc w:val="left"/>
            </w:pPr>
            <w:r>
              <w:t>Digital input module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Siemens</w:t>
            </w:r>
          </w:p>
        </w:tc>
      </w:tr>
      <w:tr>
        <w:tc>
          <w:tcPr>
            <w:tcW w:type="dxa" w:w="5400"/>
          </w:tcPr>
          <w:p>
            <w:pPr>
              <w:spacing w:after="0" w:before="0" w:line="240" w:lineRule="auto"/>
              <w:jc w:val="left"/>
            </w:pPr>
            <w:r>
              <w:t>Part number</w:t>
            </w:r>
          </w:p>
        </w:tc>
        <w:tc>
          <w:tcPr>
            <w:tcW w:type="dxa" w:w="5400"/>
          </w:tcPr>
          <w:p>
            <w:pPr>
              <w:spacing w:after="0" w:before="0" w:line="240" w:lineRule="auto"/>
              <w:jc w:val="left"/>
            </w:pPr>
            <w:r>
              <w:t>Verified from installed module label</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2</w:t>
            </w:r>
          </w:p>
        </w:tc>
      </w:tr>
      <w:tr>
        <w:tc>
          <w:tcPr>
            <w:tcW w:type="dxa" w:w="5400"/>
          </w:tcPr>
          <w:p>
            <w:pPr>
              <w:spacing w:after="0" w:before="0" w:line="240" w:lineRule="auto"/>
              <w:jc w:val="left"/>
            </w:pPr>
            <w:r>
              <w:t>Recommended spare quantity</w:t>
            </w:r>
          </w:p>
        </w:tc>
        <w:tc>
          <w:tcPr>
            <w:tcW w:type="dxa" w:w="5400"/>
          </w:tcPr>
          <w:p>
            <w:pPr>
              <w:spacing w:after="0" w:before="0" w:line="240" w:lineRule="auto"/>
              <w:jc w:val="left"/>
            </w:pPr>
            <w:r>
              <w:t>1, subject to criticality analysis</w:t>
            </w:r>
          </w:p>
        </w:tc>
      </w:tr>
      <w:tr>
        <w:tc>
          <w:tcPr>
            <w:tcW w:type="dxa" w:w="5400"/>
          </w:tcPr>
          <w:p>
            <w:pPr>
              <w:spacing w:after="0" w:before="0" w:line="240" w:lineRule="auto"/>
              <w:jc w:val="left"/>
            </w:pPr>
            <w:r>
              <w:t>Compatibility</w:t>
            </w:r>
          </w:p>
        </w:tc>
        <w:tc>
          <w:tcPr>
            <w:tcW w:type="dxa" w:w="5400"/>
          </w:tcPr>
          <w:p>
            <w:pPr>
              <w:spacing w:after="0" w:before="0" w:line="240" w:lineRule="auto"/>
              <w:jc w:val="left"/>
            </w:pPr>
            <w:r>
              <w:t>Verify CPU, rack, firmware, and system requirements</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To be checked against current manufacturer information</w:t>
            </w:r>
          </w:p>
        </w:tc>
      </w:tr>
    </w:tbl>
    <w:p/>
    <w:p>
      <w:r>
        <w:t>Part numbers should be verified against the actual installed device and authoritative manufacturer documentation. Similar product names and visual appearance are not sufficient evidence of compatibility.</w:t>
      </w:r>
    </w:p>
    <w:p>
      <w:pPr>
        <w:pStyle w:val="Heading2"/>
      </w:pPr>
      <w:r>
        <w:t>6. Spare-Part Criticality Analysis</w:t>
      </w:r>
    </w:p>
    <w:p>
      <w:r>
        <w:t>Not every component deserves the same stocking priority. A failed indicator lamp and a discontinued safety controller have very different operational consequences.</w:t>
      </w:r>
    </w:p>
    <w:p>
      <w:r>
        <w:t>Criticality assessment considers the consequences of failure, availability of alternatives, repair options, lead time, and likelihood of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Criticality factor</w:t>
            </w:r>
          </w:p>
        </w:tc>
        <w:tc>
          <w:tcPr>
            <w:tcW w:type="dxa" w:w="5400"/>
            <w:shd w:val="clear" w:color="auto" w:fill="EEF2F7"/>
          </w:tcPr>
          <w:p>
            <w:pPr>
              <w:spacing w:after="0" w:before="0" w:line="240" w:lineRule="auto"/>
              <w:jc w:val="left"/>
            </w:pPr>
            <w:r>
              <w:rPr>
                <w:b/>
                <w:color w:val="1A2E4A"/>
              </w:rPr>
              <w:t>Assessment question</w:t>
            </w:r>
          </w:p>
        </w:tc>
      </w:tr>
      <w:tr>
        <w:tc>
          <w:tcPr>
            <w:tcW w:type="dxa" w:w="5400"/>
          </w:tcPr>
          <w:p>
            <w:pPr>
              <w:spacing w:after="0" w:before="0" w:line="240" w:lineRule="auto"/>
              <w:jc w:val="left"/>
            </w:pPr>
            <w:r>
              <w:t>Production impact</w:t>
            </w:r>
          </w:p>
        </w:tc>
        <w:tc>
          <w:tcPr>
            <w:tcW w:type="dxa" w:w="5400"/>
          </w:tcPr>
          <w:p>
            <w:pPr>
              <w:spacing w:after="0" w:before="0" w:line="240" w:lineRule="auto"/>
              <w:jc w:val="left"/>
            </w:pPr>
            <w:r>
              <w:t>Will failure stop the machine or production line?</w:t>
            </w:r>
          </w:p>
        </w:tc>
      </w:tr>
      <w:tr>
        <w:tc>
          <w:tcPr>
            <w:tcW w:type="dxa" w:w="5400"/>
          </w:tcPr>
          <w:p>
            <w:pPr>
              <w:spacing w:after="0" w:before="0" w:line="240" w:lineRule="auto"/>
              <w:jc w:val="left"/>
            </w:pPr>
            <w:r>
              <w:t>Safety impact</w:t>
            </w:r>
          </w:p>
        </w:tc>
        <w:tc>
          <w:tcPr>
            <w:tcW w:type="dxa" w:w="5400"/>
          </w:tcPr>
          <w:p>
            <w:pPr>
              <w:spacing w:after="0" w:before="0" w:line="240" w:lineRule="auto"/>
              <w:jc w:val="left"/>
            </w:pPr>
            <w:r>
              <w:t>Could failure compromise a required safety function?</w:t>
            </w:r>
          </w:p>
        </w:tc>
      </w:tr>
      <w:tr>
        <w:tc>
          <w:tcPr>
            <w:tcW w:type="dxa" w:w="5400"/>
          </w:tcPr>
          <w:p>
            <w:pPr>
              <w:spacing w:after="0" w:before="0" w:line="240" w:lineRule="auto"/>
              <w:jc w:val="left"/>
            </w:pPr>
            <w:r>
              <w:t>Failure frequency</w:t>
            </w:r>
          </w:p>
        </w:tc>
        <w:tc>
          <w:tcPr>
            <w:tcW w:type="dxa" w:w="5400"/>
          </w:tcPr>
          <w:p>
            <w:pPr>
              <w:spacing w:after="0" w:before="0" w:line="240" w:lineRule="auto"/>
              <w:jc w:val="left"/>
            </w:pPr>
            <w:r>
              <w:t>How often has this component failed?</w:t>
            </w:r>
          </w:p>
        </w:tc>
      </w:tr>
      <w:tr>
        <w:tc>
          <w:tcPr>
            <w:tcW w:type="dxa" w:w="5400"/>
          </w:tcPr>
          <w:p>
            <w:pPr>
              <w:spacing w:after="0" w:before="0" w:line="240" w:lineRule="auto"/>
              <w:jc w:val="left"/>
            </w:pPr>
            <w:r>
              <w:t>Procurement lead time</w:t>
            </w:r>
          </w:p>
        </w:tc>
        <w:tc>
          <w:tcPr>
            <w:tcW w:type="dxa" w:w="5400"/>
          </w:tcPr>
          <w:p>
            <w:pPr>
              <w:spacing w:after="0" w:before="0" w:line="240" w:lineRule="auto"/>
              <w:jc w:val="left"/>
            </w:pPr>
            <w:r>
              <w:t>How long will replacement take?</w:t>
            </w:r>
          </w:p>
        </w:tc>
      </w:tr>
      <w:tr>
        <w:tc>
          <w:tcPr>
            <w:tcW w:type="dxa" w:w="5400"/>
          </w:tcPr>
          <w:p>
            <w:pPr>
              <w:spacing w:after="0" w:before="0" w:line="240" w:lineRule="auto"/>
              <w:jc w:val="left"/>
            </w:pPr>
            <w:r>
              <w:t>Obsolescence</w:t>
            </w:r>
          </w:p>
        </w:tc>
        <w:tc>
          <w:tcPr>
            <w:tcW w:type="dxa" w:w="5400"/>
          </w:tcPr>
          <w:p>
            <w:pPr>
              <w:spacing w:after="0" w:before="0" w:line="240" w:lineRule="auto"/>
              <w:jc w:val="left"/>
            </w:pPr>
            <w:r>
              <w:t>Is the component discontinued or approaching end of life?</w:t>
            </w:r>
          </w:p>
        </w:tc>
      </w:tr>
      <w:tr>
        <w:tc>
          <w:tcPr>
            <w:tcW w:type="dxa" w:w="5400"/>
          </w:tcPr>
          <w:p>
            <w:pPr>
              <w:spacing w:after="0" w:before="0" w:line="240" w:lineRule="auto"/>
              <w:jc w:val="left"/>
            </w:pPr>
            <w:r>
              <w:t>Repairability</w:t>
            </w:r>
          </w:p>
        </w:tc>
        <w:tc>
          <w:tcPr>
            <w:tcW w:type="dxa" w:w="5400"/>
          </w:tcPr>
          <w:p>
            <w:pPr>
              <w:spacing w:after="0" w:before="0" w:line="240" w:lineRule="auto"/>
              <w:jc w:val="left"/>
            </w:pPr>
            <w:r>
              <w:t>Can it be repaired locally or only by the manufacturer?</w:t>
            </w:r>
          </w:p>
        </w:tc>
      </w:tr>
      <w:tr>
        <w:tc>
          <w:tcPr>
            <w:tcW w:type="dxa" w:w="5400"/>
          </w:tcPr>
          <w:p>
            <w:pPr>
              <w:spacing w:after="0" w:before="0" w:line="240" w:lineRule="auto"/>
              <w:jc w:val="left"/>
            </w:pPr>
            <w:r>
              <w:t>Redundancy</w:t>
            </w:r>
          </w:p>
        </w:tc>
        <w:tc>
          <w:tcPr>
            <w:tcW w:type="dxa" w:w="5400"/>
          </w:tcPr>
          <w:p>
            <w:pPr>
              <w:spacing w:after="0" w:before="0" w:line="240" w:lineRule="auto"/>
              <w:jc w:val="left"/>
            </w:pPr>
            <w:r>
              <w:t>Is a suitable redundant component or alternate machine available?</w:t>
            </w:r>
          </w:p>
        </w:tc>
      </w:tr>
      <w:tr>
        <w:tc>
          <w:tcPr>
            <w:tcW w:type="dxa" w:w="5400"/>
          </w:tcPr>
          <w:p>
            <w:pPr>
              <w:spacing w:after="0" w:before="0" w:line="240" w:lineRule="auto"/>
              <w:jc w:val="left"/>
            </w:pPr>
            <w:r>
              <w:t>Substitutability</w:t>
            </w:r>
          </w:p>
        </w:tc>
        <w:tc>
          <w:tcPr>
            <w:tcW w:type="dxa" w:w="5400"/>
          </w:tcPr>
          <w:p>
            <w:pPr>
              <w:spacing w:after="0" w:before="0" w:line="240" w:lineRule="auto"/>
              <w:jc w:val="left"/>
            </w:pPr>
            <w:r>
              <w:t>Is there a verified compatible replacement?</w:t>
            </w:r>
          </w:p>
        </w:tc>
      </w:tr>
      <w:tr>
        <w:tc>
          <w:tcPr>
            <w:tcW w:type="dxa" w:w="5400"/>
          </w:tcPr>
          <w:p>
            <w:pPr>
              <w:spacing w:after="0" w:before="0" w:line="240" w:lineRule="auto"/>
              <w:jc w:val="left"/>
            </w:pPr>
            <w:r>
              <w:t>Cost of downtime</w:t>
            </w:r>
          </w:p>
        </w:tc>
        <w:tc>
          <w:tcPr>
            <w:tcW w:type="dxa" w:w="5400"/>
          </w:tcPr>
          <w:p>
            <w:pPr>
              <w:spacing w:after="0" w:before="0" w:line="240" w:lineRule="auto"/>
              <w:jc w:val="left"/>
            </w:pPr>
            <w:r>
              <w:t>What is the operational consequence of waiting for a spare?</w:t>
            </w:r>
          </w:p>
        </w:tc>
      </w:tr>
    </w:tbl>
    <w:p/>
    <w:p>
      <w:r>
        <w:t>A practical classification is:</w:t>
      </w:r>
    </w:p>
    <w:p>
      <w:pPr>
        <w:pStyle w:val="ListBullet"/>
      </w:pPr>
      <w:r>
        <w:t>Critical: Failure creates a major safety, production, or recovery concern.</w:t>
      </w:r>
    </w:p>
    <w:p>
      <w:pPr>
        <w:pStyle w:val="ListBullet"/>
      </w:pPr>
      <w:r>
        <w:t>High: Failure causes significant downtime or requires a long procurement cycle.</w:t>
      </w:r>
    </w:p>
    <w:p>
      <w:pPr>
        <w:pStyle w:val="ListBullet"/>
      </w:pPr>
      <w:r>
        <w:t>Medium: Failure causes manageable disruption with a reasonable replacement path.</w:t>
      </w:r>
    </w:p>
    <w:p>
      <w:pPr>
        <w:pStyle w:val="ListBullet"/>
      </w:pPr>
      <w:r>
        <w:t>Low: Failure has limited impact and the component is readily available.</w:t>
      </w:r>
    </w:p>
    <w:p>
      <w:r>
        <w:t>A criticality label should follow a defined company methodology. Safety-criticality and inventory priority are related but not identical: a safety component may require strict configuration control even when its failure does not immediately stop production.</w:t>
      </w:r>
    </w:p>
    <w:p>
      <w:pPr>
        <w:pStyle w:val="Heading2"/>
      </w:pPr>
      <w:r>
        <w:t>7. Recommended Spare Quantity</w:t>
      </w:r>
    </w:p>
    <w:p>
      <w:r>
        <w:t>Recommended stocking quantity should be based on risk and evidence rather than a universal rule.</w:t>
      </w:r>
    </w:p>
    <w:p>
      <w:r>
        <w:t>Important inputs include:</w:t>
      </w:r>
    </w:p>
    <w:p>
      <w:pPr>
        <w:pStyle w:val="ListBullet"/>
      </w:pPr>
      <w:r>
        <w:t>Installed population.</w:t>
      </w:r>
    </w:p>
    <w:p>
      <w:pPr>
        <w:pStyle w:val="ListBullet"/>
      </w:pPr>
      <w:r>
        <w:t>Historical failure rate.</w:t>
      </w:r>
    </w:p>
    <w:p>
      <w:pPr>
        <w:pStyle w:val="ListBullet"/>
      </w:pPr>
      <w:r>
        <w:t>Repair turnaround time.</w:t>
      </w:r>
    </w:p>
    <w:p>
      <w:pPr>
        <w:pStyle w:val="ListBullet"/>
      </w:pPr>
      <w:r>
        <w:t>Supplier lead time.</w:t>
      </w:r>
    </w:p>
    <w:p>
      <w:pPr>
        <w:pStyle w:val="ListBullet"/>
      </w:pPr>
      <w:r>
        <w:t>Production criticality.</w:t>
      </w:r>
    </w:p>
    <w:p>
      <w:pPr>
        <w:pStyle w:val="ListBullet"/>
      </w:pPr>
      <w:r>
        <w:t>Minimum order quantity.</w:t>
      </w:r>
    </w:p>
    <w:p>
      <w:pPr>
        <w:pStyle w:val="ListBullet"/>
      </w:pPr>
      <w:r>
        <w:t>Availability of compatible substitutes.</w:t>
      </w:r>
    </w:p>
    <w:p>
      <w:pPr>
        <w:pStyle w:val="ListBullet"/>
      </w:pPr>
      <w:r>
        <w:t>Existing stock across the plant.</w:t>
      </w:r>
    </w:p>
    <w:p>
      <w:pPr>
        <w:pStyle w:val="ListBullet"/>
      </w:pPr>
      <w:r>
        <w:t>Planned maintenance and replacement intervals.</w:t>
      </w:r>
    </w:p>
    <w:p>
      <w:r>
        <w:t xml:space="preserve">For a simple planning model, assume component failures follow a Poisson process. If the expected number of failures during the replenishment lead time is </w:t>
      </w:r>
      <m:oMath>
        <m:r>
          <m:t>λ</m:t>
        </m:r>
      </m:oMath>
      <w:r>
        <w:t xml:space="preserve">, the probability of experiencing </w:t>
      </w:r>
      <m:oMath>
        <m:r>
          <m:t>k</m:t>
        </m:r>
      </m:oMath>
      <w:r>
        <w:t xml:space="preserve"> failures is:</w:t>
      </w:r>
    </w:p>
    <w:p>
      <w:pPr>
        <w:spacing w:before="120" w:after="160"/>
        <w:jc w:val="center"/>
      </w:pPr>
      <m:oMathPara>
        <m:oMath>
          <m:r>
            <m:t>P(X=k)=</m:t>
          </m:r>
          <m:f>
            <m:fPr>
              <m:type m:val="bar"/>
            </m:fPr>
            <m:num>
              <m:sSup>
                <m:e>
                  <m:r>
                    <m:t>e</m:t>
                  </m:r>
                </m:e>
                <m:sup>
                  <m:r>
                    <m:t>−λ</m:t>
                  </m:r>
                </m:sup>
              </m:sSup>
              <m:sSup>
                <m:e>
                  <m:r>
                    <m:t>λ</m:t>
                  </m:r>
                </m:e>
                <m:sup>
                  <m:r>
                    <m:t>k</m:t>
                  </m:r>
                </m:sup>
              </m:sSup>
            </m:num>
            <m:den>
              <m:r>
                <m:t>k!</m:t>
              </m:r>
            </m:den>
          </m:f>
        </m:oMath>
      </m:oMathPara>
    </w:p>
    <w:p>
      <w:r>
        <w:t>The expected demand during lead time can be estimated as:</w:t>
      </w:r>
    </w:p>
    <w:p>
      <w:pPr>
        <w:spacing w:before="120" w:after="160"/>
        <w:jc w:val="center"/>
      </w:pPr>
      <m:oMathPara>
        <m:oMath>
          <m:r>
            <m:t>λ=N×r×L</m:t>
          </m:r>
        </m:oMath>
      </m:oMathPara>
    </w:p>
    <w:p>
      <w:r>
        <w:t>where:</w:t>
      </w:r>
    </w:p>
    <w:p>
      <w:pPr>
        <w:pStyle w:val="ListBullet"/>
      </w:pPr>
      <m:oMath>
        <m:r>
          <m:t>N</m:t>
        </m:r>
      </m:oMath>
      <w:r>
        <w:t xml:space="preserve"> = number of installed units.</w:t>
      </w:r>
    </w:p>
    <w:p>
      <w:pPr>
        <w:pStyle w:val="ListBullet"/>
      </w:pPr>
      <m:oMath>
        <m:r>
          <m:t>r</m:t>
        </m:r>
      </m:oMath>
      <w:r>
        <w:t xml:space="preserve"> = expected failure rate per unit per year.</w:t>
      </w:r>
    </w:p>
    <w:p>
      <w:pPr>
        <w:pStyle w:val="ListBullet"/>
      </w:pPr>
      <m:oMath>
        <m:r>
          <m:t>L</m:t>
        </m:r>
      </m:oMath>
      <w:r>
        <w:t xml:space="preserve"> = replenishment lead time in years.</w:t>
      </w:r>
    </w:p>
    <w:p>
      <w:r>
        <w:t>For example, if 20 identical units have a historical failure rate of 0.1 failures per unit per year and replenishment takes three months:</w:t>
      </w:r>
    </w:p>
    <w:p>
      <w:pPr>
        <w:spacing w:before="120" w:after="160"/>
        <w:jc w:val="center"/>
      </w:pPr>
      <m:oMathPara>
        <m:oMath>
          <m:r>
            <m:t>λ=20×0.1×</m:t>
          </m:r>
          <m:f>
            <m:fPr>
              <m:type m:val="bar"/>
            </m:fPr>
            <m:num>
              <m:r>
                <m:t>3</m:t>
              </m:r>
            </m:num>
            <m:den>
              <m:r>
                <m:t>12</m:t>
              </m:r>
            </m:den>
          </m:f>
          <m:r>
            <m:t>=0.5</m:t>
          </m:r>
        </m:oMath>
      </m:oMathPara>
    </w:p>
    <w:p>
      <w:r>
        <w:t>The expected demand during the replenishment period is 0.5 units. This does not automatically mean that zero or one spare is sufficient. The desired service level, failure consequences, and probability of multiple failures must also be considered.</w:t>
      </w:r>
    </w:p>
    <w:p>
      <w:r>
        <w:t>The model is only an estimate. Real failure rates may change with operating conditions, product age, maintenance quality, and common-cause failures.</w:t>
      </w:r>
    </w:p>
    <w:p>
      <w:pPr>
        <w:pStyle w:val="Heading2"/>
      </w:pPr>
      <w:r>
        <w:t>8. Obsolete Parts and Successor Identification</w:t>
      </w:r>
    </w:p>
    <w:p>
      <w:r>
        <w:t>Obsolescence management is especially important for PLCs, CNC systems, drives, HMIs, industrial PCs, and communication equipment.</w:t>
      </w:r>
    </w:p>
    <w:p>
      <w:r>
        <w:t>A component may be:</w:t>
      </w:r>
    </w:p>
    <w:p>
      <w:pPr>
        <w:pStyle w:val="ListBullet"/>
      </w:pPr>
      <w:r>
        <w:t>Active and currently supported.</w:t>
      </w:r>
    </w:p>
    <w:p>
      <w:pPr>
        <w:pStyle w:val="ListBullet"/>
      </w:pPr>
      <w:r>
        <w:t>Active but scheduled for discontinuation.</w:t>
      </w:r>
    </w:p>
    <w:p>
      <w:pPr>
        <w:pStyle w:val="ListBullet"/>
      </w:pPr>
      <w:r>
        <w:t>Discontinued but still supported.</w:t>
      </w:r>
    </w:p>
    <w:p>
      <w:pPr>
        <w:pStyle w:val="ListBullet"/>
      </w:pPr>
      <w:r>
        <w:t>Discontinued with limited repair or replacement availability.</w:t>
      </w:r>
    </w:p>
    <w:p>
      <w:pPr>
        <w:pStyle w:val="ListBullet"/>
      </w:pPr>
      <w:r>
        <w:t>Fully unsupported or unavailable.</w:t>
      </w:r>
    </w:p>
    <w:p>
      <w:r>
        <w:t>When a part is obsolete, record the manufacturer's lifecycle status and investigate the approved replacement path.</w:t>
      </w:r>
    </w:p>
    <w:p>
      <w:r>
        <w:t>A successor component may require:</w:t>
      </w:r>
    </w:p>
    <w:p>
      <w:pPr>
        <w:pStyle w:val="ListBullet"/>
      </w:pPr>
      <w:r>
        <w:t>Hardware or firmware changes.</w:t>
      </w:r>
    </w:p>
    <w:p>
      <w:pPr>
        <w:pStyle w:val="ListBullet"/>
      </w:pPr>
      <w:r>
        <w:t>Revised wiring or terminal assignments.</w:t>
      </w:r>
    </w:p>
    <w:p>
      <w:pPr>
        <w:pStyle w:val="ListBullet"/>
      </w:pPr>
      <w:r>
        <w:t>Different mounting or dimensions.</w:t>
      </w:r>
    </w:p>
    <w:p>
      <w:pPr>
        <w:pStyle w:val="ListBullet"/>
      </w:pPr>
      <w:r>
        <w:t>Updated PLC or HMI software.</w:t>
      </w:r>
    </w:p>
    <w:p>
      <w:pPr>
        <w:pStyle w:val="ListBullet"/>
      </w:pPr>
      <w:r>
        <w:t>Modified communication settings.</w:t>
      </w:r>
    </w:p>
    <w:p>
      <w:pPr>
        <w:pStyle w:val="ListBullet"/>
      </w:pPr>
      <w:r>
        <w:t>Parameter migration.</w:t>
      </w:r>
    </w:p>
    <w:p>
      <w:pPr>
        <w:pStyle w:val="ListBullet"/>
      </w:pPr>
      <w:r>
        <w:t>Additional functional testing.</w:t>
      </w:r>
    </w:p>
    <w:p>
      <w:pPr>
        <w:pStyle w:val="ListBullet"/>
      </w:pPr>
      <w:r>
        <w:t>Safety reassessment or validation where applicable.</w:t>
      </w:r>
    </w:p>
    <w:p>
      <w:r>
        <w:t>A successor part number does not guarantee a drop-in replacement. Compatibility must be established for the complete application, not merely the component name.</w:t>
      </w:r>
    </w:p>
    <w:p>
      <w:pPr>
        <w:pStyle w:val="Heading2"/>
      </w:pPr>
      <w:r>
        <w:t>9. Spare-Part Verification During PDI</w:t>
      </w:r>
    </w:p>
    <w:p>
      <w:pPr>
        <w:pStyle w:val="Heading3"/>
      </w:pPr>
      <w:r>
        <w:t>Step 1: Establish the installed equipment list</w:t>
      </w:r>
    </w:p>
    <w:p>
      <w:r>
        <w:t>Collect the as-built BOM, electrical drawings, panel layouts, pneumatic and hydraulic schematics, and equipment-tag register.</w:t>
      </w:r>
    </w:p>
    <w:p>
      <w:r>
        <w:t>Confirm that the documented component population matches the machine.</w:t>
      </w:r>
    </w:p>
    <w:p>
      <w:pPr>
        <w:pStyle w:val="Heading3"/>
      </w:pPr>
      <w:r>
        <w:t>Step 2: Verify part numbers and specifications</w:t>
      </w:r>
    </w:p>
    <w:p>
      <w:r>
        <w:t>Inspect component labels and manufacturer documentation. Record exact model numbers, ratings, revisions, and applicable firmware information.</w:t>
      </w:r>
    </w:p>
    <w:p>
      <w:r>
        <w:t>Resolve differences between the physical installation and the BOM.</w:t>
      </w:r>
    </w:p>
    <w:p>
      <w:pPr>
        <w:pStyle w:val="Heading3"/>
      </w:pPr>
      <w:r>
        <w:t>Step 3: Check spare compatibility</w:t>
      </w:r>
    </w:p>
    <w:p>
      <w:r>
        <w:t>For each recommended spare, verify the intended application and relevant technical requirements.</w:t>
      </w:r>
    </w:p>
    <w:p>
      <w:r>
        <w:t>Examples include:</w:t>
      </w:r>
    </w:p>
    <w:p>
      <w:pPr>
        <w:pStyle w:val="ListBullet"/>
      </w:pPr>
      <w:r>
        <w:t>PLC module compatibility with the CPU and rack.</w:t>
      </w:r>
    </w:p>
    <w:p>
      <w:pPr>
        <w:pStyle w:val="ListBullet"/>
      </w:pPr>
      <w:r>
        <w:t>VFD compatibility with motor ratings, supply voltage, and control architecture.</w:t>
      </w:r>
    </w:p>
    <w:p>
      <w:pPr>
        <w:pStyle w:val="ListBullet"/>
      </w:pPr>
      <w:r>
        <w:t>Sensor compatibility with supply voltage, output type, sensing range, and connector.</w:t>
      </w:r>
    </w:p>
    <w:p>
      <w:pPr>
        <w:pStyle w:val="ListBullet"/>
      </w:pPr>
      <w:r>
        <w:t>Safety-device compatibility with the approved safety function and required performance.</w:t>
      </w:r>
    </w:p>
    <w:p>
      <w:pPr>
        <w:pStyle w:val="ListBullet"/>
      </w:pPr>
      <w:r>
        <w:t>Servo-drive compatibility with the motor, encoder, and feedback system.</w:t>
      </w:r>
    </w:p>
    <w:p>
      <w:pPr>
        <w:pStyle w:val="Heading3"/>
      </w:pPr>
      <w:r>
        <w:t>Step 4: Evaluate criticality and availability</w:t>
      </w:r>
    </w:p>
    <w:p>
      <w:r>
        <w:t>Determine the operational impact of failure, procurement lead time, repair availability, and obsolescence status.</w:t>
      </w:r>
    </w:p>
    <w:p>
      <w:r>
        <w:t>Use these findings to establish the stocking recommendation.</w:t>
      </w:r>
    </w:p>
    <w:p>
      <w:pPr>
        <w:pStyle w:val="Heading3"/>
      </w:pPr>
      <w:r>
        <w:t>Step 5: Verify procurement and stock records</w:t>
      </w:r>
    </w:p>
    <w:p>
      <w:r>
        <w:t>Where the project requires spare delivery, verify part number, quantity, condition, packaging, and relevant storage requirements.</w:t>
      </w:r>
    </w:p>
    <w:p>
      <w:r>
        <w:t>Distinguish between spares physically supplied with the machine and spares merely recommended for future procurement.</w:t>
      </w:r>
    </w:p>
    <w:p>
      <w:pPr>
        <w:pStyle w:val="Heading3"/>
      </w:pPr>
      <w:r>
        <w:t>Step 6: Document deviations</w:t>
      </w:r>
    </w:p>
    <w:p>
      <w:r>
        <w:t>Record unavailable, incorrect, damaged, incompatible, or obsolete items.</w:t>
      </w:r>
    </w:p>
    <w:p>
      <w:r>
        <w:t>Assign responsibility for resolution and obtain the required approval for any proposed substitution.</w:t>
      </w:r>
    </w:p>
    <w:p>
      <w:pPr>
        <w:pStyle w:val="Heading3"/>
      </w:pPr>
      <w:r>
        <w:t>Step 7: Complete the handover register</w:t>
      </w:r>
    </w:p>
    <w:p>
      <w:r>
        <w:t>Provide the approved spare-parts list with machine references, quantities, technical documentation, and replacement guidance.</w:t>
      </w:r>
    </w:p>
    <w:p>
      <w:pPr>
        <w:pStyle w:val="Heading2"/>
      </w:pPr>
      <w:r>
        <w:t>10. Spare-Part Register Structure</w:t>
      </w:r>
    </w:p>
    <w:p>
      <w:r>
        <w:t>A practical digital register may contain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SPARE_ID</w:t>
            </w:r>
          </w:p>
        </w:tc>
        <w:tc>
          <w:tcPr>
            <w:tcW w:type="dxa" w:w="5400"/>
          </w:tcPr>
          <w:p>
            <w:pPr>
              <w:spacing w:after="0" w:before="0" w:line="240" w:lineRule="auto"/>
              <w:jc w:val="left"/>
            </w:pPr>
            <w:r>
              <w:t>Unique spare record</w:t>
            </w:r>
          </w:p>
        </w:tc>
      </w:tr>
      <w:tr>
        <w:tc>
          <w:tcPr>
            <w:tcW w:type="dxa" w:w="5400"/>
          </w:tcPr>
          <w:p>
            <w:pPr>
              <w:spacing w:after="0" w:before="0" w:line="240" w:lineRule="auto"/>
              <w:jc w:val="left"/>
            </w:pPr>
            <w:r>
              <w:t>PROJECT_ID</w:t>
            </w:r>
          </w:p>
        </w:tc>
        <w:tc>
          <w:tcPr>
            <w:tcW w:type="dxa" w:w="5400"/>
          </w:tcPr>
          <w:p>
            <w:pPr>
              <w:spacing w:after="0" w:before="0" w:line="240" w:lineRule="auto"/>
              <w:jc w:val="left"/>
            </w:pPr>
            <w:r>
              <w:t>Project association</w:t>
            </w:r>
          </w:p>
        </w:tc>
      </w:tr>
      <w:tr>
        <w:tc>
          <w:tcPr>
            <w:tcW w:type="dxa" w:w="5400"/>
          </w:tcPr>
          <w:p>
            <w:pPr>
              <w:spacing w:after="0" w:before="0" w:line="240" w:lineRule="auto"/>
              <w:jc w:val="left"/>
            </w:pPr>
            <w:r>
              <w:t>MACHINE_ID</w:t>
            </w:r>
          </w:p>
        </w:tc>
        <w:tc>
          <w:tcPr>
            <w:tcW w:type="dxa" w:w="5400"/>
          </w:tcPr>
          <w:p>
            <w:pPr>
              <w:spacing w:after="0" w:before="0" w:line="240" w:lineRule="auto"/>
              <w:jc w:val="left"/>
            </w:pPr>
            <w:r>
              <w:t>Machine association</w:t>
            </w:r>
          </w:p>
        </w:tc>
      </w:tr>
      <w:tr>
        <w:tc>
          <w:tcPr>
            <w:tcW w:type="dxa" w:w="5400"/>
          </w:tcPr>
          <w:p>
            <w:pPr>
              <w:spacing w:after="0" w:before="0" w:line="240" w:lineRule="auto"/>
              <w:jc w:val="left"/>
            </w:pPr>
            <w:r>
              <w:t>DEVICE_TAG</w:t>
            </w:r>
          </w:p>
        </w:tc>
        <w:tc>
          <w:tcPr>
            <w:tcW w:type="dxa" w:w="5400"/>
          </w:tcPr>
          <w:p>
            <w:pPr>
              <w:spacing w:after="0" w:before="0" w:line="240" w:lineRule="auto"/>
              <w:jc w:val="left"/>
            </w:pPr>
            <w:r>
              <w:t>Installed component reference</w:t>
            </w:r>
          </w:p>
        </w:tc>
      </w:tr>
      <w:tr>
        <w:tc>
          <w:tcPr>
            <w:tcW w:type="dxa" w:w="5400"/>
          </w:tcPr>
          <w:p>
            <w:pPr>
              <w:spacing w:after="0" w:before="0" w:line="240" w:lineRule="auto"/>
              <w:jc w:val="left"/>
            </w:pPr>
            <w:r>
              <w:t>LOCATION</w:t>
            </w:r>
          </w:p>
        </w:tc>
        <w:tc>
          <w:tcPr>
            <w:tcW w:type="dxa" w:w="5400"/>
          </w:tcPr>
          <w:p>
            <w:pPr>
              <w:spacing w:after="0" w:before="0" w:line="240" w:lineRule="auto"/>
              <w:jc w:val="left"/>
            </w:pPr>
            <w:r>
              <w:t>Panel, station, or machine location</w:t>
            </w:r>
          </w:p>
        </w:tc>
      </w:tr>
      <w:tr>
        <w:tc>
          <w:tcPr>
            <w:tcW w:type="dxa" w:w="5400"/>
          </w:tcPr>
          <w:p>
            <w:pPr>
              <w:spacing w:after="0" w:before="0" w:line="240" w:lineRule="auto"/>
              <w:jc w:val="left"/>
            </w:pPr>
            <w:r>
              <w:t>COMPONENT_CATEGORY</w:t>
            </w:r>
          </w:p>
        </w:tc>
        <w:tc>
          <w:tcPr>
            <w:tcW w:type="dxa" w:w="5400"/>
          </w:tcPr>
          <w:p>
            <w:pPr>
              <w:spacing w:after="0" w:before="0" w:line="240" w:lineRule="auto"/>
              <w:jc w:val="left"/>
            </w:pPr>
            <w:r>
              <w:t>PLC, sensor, drive, mechanical, etc.</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Original equipment manufacturer</w:t>
            </w:r>
          </w:p>
        </w:tc>
      </w:tr>
      <w:tr>
        <w:tc>
          <w:tcPr>
            <w:tcW w:type="dxa" w:w="5400"/>
          </w:tcPr>
          <w:p>
            <w:pPr>
              <w:spacing w:after="0" w:before="0" w:line="240" w:lineRule="auto"/>
              <w:jc w:val="left"/>
            </w:pPr>
            <w:r>
              <w:t>PART_NUMBER</w:t>
            </w:r>
          </w:p>
        </w:tc>
        <w:tc>
          <w:tcPr>
            <w:tcW w:type="dxa" w:w="5400"/>
          </w:tcPr>
          <w:p>
            <w:pPr>
              <w:spacing w:after="0" w:before="0" w:line="240" w:lineRule="auto"/>
              <w:jc w:val="left"/>
            </w:pPr>
            <w:r>
              <w:t>Verified manufacturer part number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Technical component description</w:t>
            </w:r>
          </w:p>
        </w:tc>
      </w:tr>
      <w:tr>
        <w:tc>
          <w:tcPr>
            <w:tcW w:type="dxa" w:w="5400"/>
          </w:tcPr>
          <w:p>
            <w:pPr>
              <w:spacing w:after="0" w:before="0" w:line="240" w:lineRule="auto"/>
              <w:jc w:val="left"/>
            </w:pPr>
            <w:r>
              <w:t>INSTALLED_QTY</w:t>
            </w:r>
          </w:p>
        </w:tc>
        <w:tc>
          <w:tcPr>
            <w:tcW w:type="dxa" w:w="5400"/>
          </w:tcPr>
          <w:p>
            <w:pPr>
              <w:spacing w:after="0" w:before="0" w:line="240" w:lineRule="auto"/>
              <w:jc w:val="left"/>
            </w:pPr>
            <w:r>
              <w:t>Installed population</w:t>
            </w:r>
          </w:p>
        </w:tc>
      </w:tr>
      <w:tr>
        <w:tc>
          <w:tcPr>
            <w:tcW w:type="dxa" w:w="5400"/>
          </w:tcPr>
          <w:p>
            <w:pPr>
              <w:spacing w:after="0" w:before="0" w:line="240" w:lineRule="auto"/>
              <w:jc w:val="left"/>
            </w:pPr>
            <w:r>
              <w:t>RECOMMENDED_QTY</w:t>
            </w:r>
          </w:p>
        </w:tc>
        <w:tc>
          <w:tcPr>
            <w:tcW w:type="dxa" w:w="5400"/>
          </w:tcPr>
          <w:p>
            <w:pPr>
              <w:spacing w:after="0" w:before="0" w:line="240" w:lineRule="auto"/>
              <w:jc w:val="left"/>
            </w:pPr>
            <w:r>
              <w:t>Planned spare quantity</w:t>
            </w:r>
          </w:p>
        </w:tc>
      </w:tr>
      <w:tr>
        <w:tc>
          <w:tcPr>
            <w:tcW w:type="dxa" w:w="5400"/>
          </w:tcPr>
          <w:p>
            <w:pPr>
              <w:spacing w:after="0" w:before="0" w:line="240" w:lineRule="auto"/>
              <w:jc w:val="left"/>
            </w:pPr>
            <w:r>
              <w:t>STOCK_QTY</w:t>
            </w:r>
          </w:p>
        </w:tc>
        <w:tc>
          <w:tcPr>
            <w:tcW w:type="dxa" w:w="5400"/>
          </w:tcPr>
          <w:p>
            <w:pPr>
              <w:spacing w:after="0" w:before="0" w:line="240" w:lineRule="auto"/>
              <w:jc w:val="left"/>
            </w:pPr>
            <w:r>
              <w:t>Current available inventory</w:t>
            </w:r>
          </w:p>
        </w:tc>
      </w:tr>
      <w:tr>
        <w:tc>
          <w:tcPr>
            <w:tcW w:type="dxa" w:w="5400"/>
          </w:tcPr>
          <w:p>
            <w:pPr>
              <w:spacing w:after="0" w:before="0" w:line="240" w:lineRule="auto"/>
              <w:jc w:val="left"/>
            </w:pPr>
            <w:r>
              <w:t>CRITICALITY</w:t>
            </w:r>
          </w:p>
        </w:tc>
        <w:tc>
          <w:tcPr>
            <w:tcW w:type="dxa" w:w="5400"/>
          </w:tcPr>
          <w:p>
            <w:pPr>
              <w:spacing w:after="0" w:before="0" w:line="240" w:lineRule="auto"/>
              <w:jc w:val="left"/>
            </w:pPr>
            <w:r>
              <w:t>Defined criticality classification</w:t>
            </w:r>
          </w:p>
        </w:tc>
      </w:tr>
      <w:tr>
        <w:tc>
          <w:tcPr>
            <w:tcW w:type="dxa" w:w="5400"/>
          </w:tcPr>
          <w:p>
            <w:pPr>
              <w:spacing w:after="0" w:before="0" w:line="240" w:lineRule="auto"/>
              <w:jc w:val="left"/>
            </w:pPr>
            <w:r>
              <w:t>LEAD_TIME_DAYS</w:t>
            </w:r>
          </w:p>
        </w:tc>
        <w:tc>
          <w:tcPr>
            <w:tcW w:type="dxa" w:w="5400"/>
          </w:tcPr>
          <w:p>
            <w:pPr>
              <w:spacing w:after="0" w:before="0" w:line="240" w:lineRule="auto"/>
              <w:jc w:val="left"/>
            </w:pPr>
            <w:r>
              <w:t>Expected procurement lead time</w:t>
            </w:r>
          </w:p>
        </w:tc>
      </w:tr>
      <w:tr>
        <w:tc>
          <w:tcPr>
            <w:tcW w:type="dxa" w:w="5400"/>
          </w:tcPr>
          <w:p>
            <w:pPr>
              <w:spacing w:after="0" w:before="0" w:line="240" w:lineRule="auto"/>
              <w:jc w:val="left"/>
            </w:pPr>
            <w:r>
              <w:t>OBSOLESCENCE_STATUS</w:t>
            </w:r>
          </w:p>
        </w:tc>
        <w:tc>
          <w:tcPr>
            <w:tcW w:type="dxa" w:w="5400"/>
          </w:tcPr>
          <w:p>
            <w:pPr>
              <w:spacing w:after="0" w:before="0" w:line="240" w:lineRule="auto"/>
              <w:jc w:val="left"/>
            </w:pPr>
            <w:r>
              <w:t>Lifecycle status</w:t>
            </w:r>
          </w:p>
        </w:tc>
      </w:tr>
      <w:tr>
        <w:tc>
          <w:tcPr>
            <w:tcW w:type="dxa" w:w="5400"/>
          </w:tcPr>
          <w:p>
            <w:pPr>
              <w:spacing w:after="0" w:before="0" w:line="240" w:lineRule="auto"/>
              <w:jc w:val="left"/>
            </w:pPr>
            <w:r>
              <w:t>SUCCESSOR_PART</w:t>
            </w:r>
          </w:p>
        </w:tc>
        <w:tc>
          <w:tcPr>
            <w:tcW w:type="dxa" w:w="5400"/>
          </w:tcPr>
          <w:p>
            <w:pPr>
              <w:spacing w:after="0" w:before="0" w:line="240" w:lineRule="auto"/>
              <w:jc w:val="left"/>
            </w:pPr>
            <w:r>
              <w:t>Verified successor, if applicable</w:t>
            </w:r>
          </w:p>
        </w:tc>
      </w:tr>
      <w:tr>
        <w:tc>
          <w:tcPr>
            <w:tcW w:type="dxa" w:w="5400"/>
          </w:tcPr>
          <w:p>
            <w:pPr>
              <w:spacing w:after="0" w:before="0" w:line="240" w:lineRule="auto"/>
              <w:jc w:val="left"/>
            </w:pPr>
            <w:r>
              <w:t>COMPATIBILITY_STATUS</w:t>
            </w:r>
          </w:p>
        </w:tc>
        <w:tc>
          <w:tcPr>
            <w:tcW w:type="dxa" w:w="5400"/>
          </w:tcPr>
          <w:p>
            <w:pPr>
              <w:spacing w:after="0" w:before="0" w:line="240" w:lineRule="auto"/>
              <w:jc w:val="left"/>
            </w:pPr>
            <w:r>
              <w:t>Verified, conditional, or unverified</w:t>
            </w:r>
          </w:p>
        </w:tc>
      </w:tr>
      <w:tr>
        <w:tc>
          <w:tcPr>
            <w:tcW w:type="dxa" w:w="5400"/>
          </w:tcPr>
          <w:p>
            <w:pPr>
              <w:spacing w:after="0" w:before="0" w:line="240" w:lineRule="auto"/>
              <w:jc w:val="left"/>
            </w:pPr>
            <w:r>
              <w:t>SUPPLIER</w:t>
            </w:r>
          </w:p>
        </w:tc>
        <w:tc>
          <w:tcPr>
            <w:tcW w:type="dxa" w:w="5400"/>
          </w:tcPr>
          <w:p>
            <w:pPr>
              <w:spacing w:after="0" w:before="0" w:line="240" w:lineRule="auto"/>
              <w:jc w:val="left"/>
            </w:pPr>
            <w:r>
              <w:t>Approved procurement source</w:t>
            </w:r>
          </w:p>
        </w:tc>
      </w:tr>
      <w:tr>
        <w:tc>
          <w:tcPr>
            <w:tcW w:type="dxa" w:w="5400"/>
          </w:tcPr>
          <w:p>
            <w:pPr>
              <w:spacing w:after="0" w:before="0" w:line="240" w:lineRule="auto"/>
              <w:jc w:val="left"/>
            </w:pPr>
            <w:r>
              <w:t>DATASHEET_PATH</w:t>
            </w:r>
          </w:p>
        </w:tc>
        <w:tc>
          <w:tcPr>
            <w:tcW w:type="dxa" w:w="5400"/>
          </w:tcPr>
          <w:p>
            <w:pPr>
              <w:spacing w:after="0" w:before="0" w:line="240" w:lineRule="auto"/>
              <w:jc w:val="left"/>
            </w:pPr>
            <w:r>
              <w:t>Technical document reference</w:t>
            </w:r>
          </w:p>
        </w:tc>
      </w:tr>
      <w:tr>
        <w:tc>
          <w:tcPr>
            <w:tcW w:type="dxa" w:w="5400"/>
          </w:tcPr>
          <w:p>
            <w:pPr>
              <w:spacing w:after="0" w:before="0" w:line="240" w:lineRule="auto"/>
              <w:jc w:val="left"/>
            </w:pPr>
            <w:r>
              <w:t>REMARKS</w:t>
            </w:r>
          </w:p>
        </w:tc>
        <w:tc>
          <w:tcPr>
            <w:tcW w:type="dxa" w:w="5400"/>
          </w:tcPr>
          <w:p>
            <w:pPr>
              <w:spacing w:after="0" w:before="0" w:line="240" w:lineRule="auto"/>
              <w:jc w:val="left"/>
            </w:pPr>
            <w:r>
              <w:t>Restrictions and replacement notes</w:t>
            </w:r>
          </w:p>
        </w:tc>
      </w:tr>
    </w:tbl>
    <w:p/>
    <w:p>
      <w:r>
        <w:t xml:space="preserve">For Excel VBA, this register can be loaded into a two-dimensional array and indexed with dictionaries by </w:t>
      </w:r>
      <w:r>
        <w:rPr>
          <w:rFonts w:ascii="Consolas" w:hAnsi="Consolas"/>
          <w:color w:val="333333"/>
          <w:sz w:val="19"/>
          <w:shd w:val="clear" w:color="auto" w:fill="EFEFEF"/>
        </w:rPr>
        <w:t>PART_NUMBER</w:t>
      </w:r>
      <w:r>
        <w:t xml:space="preserve">, </w:t>
      </w:r>
      <w:r>
        <w:rPr>
          <w:rFonts w:ascii="Consolas" w:hAnsi="Consolas"/>
          <w:color w:val="333333"/>
          <w:sz w:val="19"/>
          <w:shd w:val="clear" w:color="auto" w:fill="EFEFEF"/>
        </w:rPr>
        <w:t>DEVICE_TAG</w:t>
      </w:r>
      <w:r>
        <w:t xml:space="preserve">, or </w:t>
      </w:r>
      <w:r>
        <w:rPr>
          <w:rFonts w:ascii="Consolas" w:hAnsi="Consolas"/>
          <w:color w:val="333333"/>
          <w:sz w:val="19"/>
          <w:shd w:val="clear" w:color="auto" w:fill="EFEFEF"/>
        </w:rPr>
        <w:t>MACHINE_ID</w:t>
      </w:r>
      <w:r>
        <w:t>.</w:t>
      </w:r>
    </w:p>
    <w:p>
      <w:r>
        <w:t>That structure enables fast operations such as:</w:t>
      </w:r>
    </w:p>
    <w:p>
      <w:pPr>
        <w:pStyle w:val="ListBullet"/>
      </w:pPr>
      <w:r>
        <w:t>Finding all machines using a specific PLC module.</w:t>
      </w:r>
    </w:p>
    <w:p>
      <w:pPr>
        <w:pStyle w:val="ListBullet"/>
      </w:pPr>
      <w:r>
        <w:t>Identifying components shared across multiple machines.</w:t>
      </w:r>
    </w:p>
    <w:p>
      <w:pPr>
        <w:pStyle w:val="ListBullet"/>
      </w:pPr>
      <w:r>
        <w:t>Detecting parts with no approved spare.</w:t>
      </w:r>
    </w:p>
    <w:p>
      <w:pPr>
        <w:pStyle w:val="ListBullet"/>
      </w:pPr>
      <w:r>
        <w:t>Flagging obsolete components with long procurement lead times.</w:t>
      </w:r>
    </w:p>
    <w:p>
      <w:pPr>
        <w:pStyle w:val="ListBullet"/>
      </w:pPr>
      <w:r>
        <w:t>Comparing recommended quantities against available stock.</w:t>
      </w:r>
    </w:p>
    <w:p>
      <w:pPr>
        <w:pStyle w:val="ListBullet"/>
      </w:pPr>
      <w:r>
        <w:t>Generating machine-wise spare-parts lists.</w:t>
      </w:r>
    </w:p>
    <w:p>
      <w:pPr>
        <w:pStyle w:val="ListBullet"/>
      </w:pPr>
      <w:r>
        <w:t>Identifying successor-part dependencies before a migration.</w:t>
      </w:r>
    </w:p>
    <w:p>
      <w:pPr>
        <w:pStyle w:val="Heading2"/>
      </w:pPr>
      <w:r>
        <w:t>11. Inventory Management and Storage</w:t>
      </w:r>
    </w:p>
    <w:p>
      <w:r>
        <w:t>Correct identification is only one part of spare-parts readiness. Components must also remain usable while in storage.</w:t>
      </w:r>
    </w:p>
    <w:p>
      <w:r>
        <w:t>Important controls include:</w:t>
      </w:r>
    </w:p>
    <w:p>
      <w:pPr>
        <w:pStyle w:val="ListBullet"/>
      </w:pPr>
      <w:r>
        <w:t>Appropriate storage temperature and humidity.</w:t>
      </w:r>
    </w:p>
    <w:p>
      <w:pPr>
        <w:pStyle w:val="ListBullet"/>
      </w:pPr>
      <w:r>
        <w:t>Protection against electrostatic discharge for sensitive electronics.</w:t>
      </w:r>
    </w:p>
    <w:p>
      <w:pPr>
        <w:pStyle w:val="ListBullet"/>
      </w:pPr>
      <w:r>
        <w:t>Moisture protection for susceptible components.</w:t>
      </w:r>
    </w:p>
    <w:p>
      <w:pPr>
        <w:pStyle w:val="ListBullet"/>
      </w:pPr>
      <w:r>
        <w:t>Battery storage and replacement requirements.</w:t>
      </w:r>
    </w:p>
    <w:p>
      <w:pPr>
        <w:pStyle w:val="ListBullet"/>
      </w:pPr>
      <w:r>
        <w:t>Shelf-life monitoring for applicable consumables and materials.</w:t>
      </w:r>
    </w:p>
    <w:p>
      <w:pPr>
        <w:pStyle w:val="ListBullet"/>
      </w:pPr>
      <w:r>
        <w:t>Protection against mechanical damage and contamination.</w:t>
      </w:r>
    </w:p>
    <w:p>
      <w:pPr>
        <w:pStyle w:val="ListBullet"/>
      </w:pPr>
      <w:r>
        <w:t>Stock rotation where shelf life or storage degradation matters.</w:t>
      </w:r>
    </w:p>
    <w:p>
      <w:pPr>
        <w:pStyle w:val="ListBullet"/>
      </w:pPr>
      <w:r>
        <w:t>Clear part identification and separation of incompatible variants.</w:t>
      </w:r>
    </w:p>
    <w:p>
      <w:pPr>
        <w:pStyle w:val="ListBullet"/>
      </w:pPr>
      <w:r>
        <w:t>Traceable stock transactions and minimum-stock alerts.</w:t>
      </w:r>
    </w:p>
    <w:p>
      <w:r>
        <w:t>Electronic modules should be handled using appropriate ESD precautions. Safety-related devices and calibrated instruments should retain their required identification, configuration, and calibration records.</w:t>
      </w:r>
    </w:p>
    <w:p>
      <w:pPr>
        <w:pStyle w:val="Heading2"/>
      </w:pPr>
      <w:r>
        <w:t>12. Common PDI Spare-Part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Incorrect part number</w:t>
            </w:r>
          </w:p>
        </w:tc>
        <w:tc>
          <w:tcPr>
            <w:tcW w:type="dxa" w:w="3600"/>
          </w:tcPr>
          <w:p>
            <w:pPr>
              <w:spacing w:after="0" w:before="0" w:line="240" w:lineRule="auto"/>
              <w:jc w:val="left"/>
            </w:pPr>
            <w:r>
              <w:t>Wrong component ordered</w:t>
            </w:r>
          </w:p>
        </w:tc>
        <w:tc>
          <w:tcPr>
            <w:tcW w:type="dxa" w:w="3600"/>
          </w:tcPr>
          <w:p>
            <w:pPr>
              <w:spacing w:after="0" w:before="0" w:line="240" w:lineRule="auto"/>
              <w:jc w:val="left"/>
            </w:pPr>
            <w:r>
              <w:t>Verify the actual label and datasheet</w:t>
            </w:r>
          </w:p>
        </w:tc>
      </w:tr>
      <w:tr>
        <w:tc>
          <w:tcPr>
            <w:tcW w:type="dxa" w:w="3600"/>
          </w:tcPr>
          <w:p>
            <w:pPr>
              <w:spacing w:after="0" w:before="0" w:line="240" w:lineRule="auto"/>
              <w:jc w:val="left"/>
            </w:pPr>
            <w:r>
              <w:t>Incompatible successor</w:t>
            </w:r>
          </w:p>
        </w:tc>
        <w:tc>
          <w:tcPr>
            <w:tcW w:type="dxa" w:w="3600"/>
          </w:tcPr>
          <w:p>
            <w:pPr>
              <w:spacing w:after="0" w:before="0" w:line="240" w:lineRule="auto"/>
              <w:jc w:val="left"/>
            </w:pPr>
            <w:r>
              <w:t>Installation or functionality problems</w:t>
            </w:r>
          </w:p>
        </w:tc>
        <w:tc>
          <w:tcPr>
            <w:tcW w:type="dxa" w:w="3600"/>
          </w:tcPr>
          <w:p>
            <w:pPr>
              <w:spacing w:after="0" w:before="0" w:line="240" w:lineRule="auto"/>
              <w:jc w:val="left"/>
            </w:pPr>
            <w:r>
              <w:t>Complete application compatibility review</w:t>
            </w:r>
          </w:p>
        </w:tc>
      </w:tr>
      <w:tr>
        <w:tc>
          <w:tcPr>
            <w:tcW w:type="dxa" w:w="3600"/>
          </w:tcPr>
          <w:p>
            <w:pPr>
              <w:spacing w:after="0" w:before="0" w:line="240" w:lineRule="auto"/>
              <w:jc w:val="left"/>
            </w:pPr>
            <w:r>
              <w:t>Missing critical spare</w:t>
            </w:r>
          </w:p>
        </w:tc>
        <w:tc>
          <w:tcPr>
            <w:tcW w:type="dxa" w:w="3600"/>
          </w:tcPr>
          <w:p>
            <w:pPr>
              <w:spacing w:after="0" w:before="0" w:line="240" w:lineRule="auto"/>
              <w:jc w:val="left"/>
            </w:pPr>
            <w:r>
              <w:t>Extended production downtime</w:t>
            </w:r>
          </w:p>
        </w:tc>
        <w:tc>
          <w:tcPr>
            <w:tcW w:type="dxa" w:w="3600"/>
          </w:tcPr>
          <w:p>
            <w:pPr>
              <w:spacing w:after="0" w:before="0" w:line="240" w:lineRule="auto"/>
              <w:jc w:val="left"/>
            </w:pPr>
            <w:r>
              <w:t>Criticality and lead-time analysis</w:t>
            </w:r>
          </w:p>
        </w:tc>
      </w:tr>
      <w:tr>
        <w:tc>
          <w:tcPr>
            <w:tcW w:type="dxa" w:w="3600"/>
          </w:tcPr>
          <w:p>
            <w:pPr>
              <w:spacing w:after="0" w:before="0" w:line="240" w:lineRule="auto"/>
              <w:jc w:val="left"/>
            </w:pPr>
            <w:r>
              <w:t>Obsolete component not identified</w:t>
            </w:r>
          </w:p>
        </w:tc>
        <w:tc>
          <w:tcPr>
            <w:tcW w:type="dxa" w:w="3600"/>
          </w:tcPr>
          <w:p>
            <w:pPr>
              <w:spacing w:after="0" w:before="0" w:line="240" w:lineRule="auto"/>
              <w:jc w:val="left"/>
            </w:pPr>
            <w:r>
              <w:t>Unexpected future replacement difficulty</w:t>
            </w:r>
          </w:p>
        </w:tc>
        <w:tc>
          <w:tcPr>
            <w:tcW w:type="dxa" w:w="3600"/>
          </w:tcPr>
          <w:p>
            <w:pPr>
              <w:spacing w:after="0" w:before="0" w:line="240" w:lineRule="auto"/>
              <w:jc w:val="left"/>
            </w:pPr>
            <w:r>
              <w:t>Lifecycle assessment</w:t>
            </w:r>
          </w:p>
        </w:tc>
      </w:tr>
      <w:tr>
        <w:tc>
          <w:tcPr>
            <w:tcW w:type="dxa" w:w="3600"/>
          </w:tcPr>
          <w:p>
            <w:pPr>
              <w:spacing w:after="0" w:before="0" w:line="240" w:lineRule="auto"/>
              <w:jc w:val="left"/>
            </w:pPr>
            <w:r>
              <w:t>Spare quantity based only on guesswork</w:t>
            </w:r>
          </w:p>
        </w:tc>
        <w:tc>
          <w:tcPr>
            <w:tcW w:type="dxa" w:w="3600"/>
          </w:tcPr>
          <w:p>
            <w:pPr>
              <w:spacing w:after="0" w:before="0" w:line="240" w:lineRule="auto"/>
              <w:jc w:val="left"/>
            </w:pPr>
            <w:r>
              <w:t>Excess inventory or insufficient protection</w:t>
            </w:r>
          </w:p>
        </w:tc>
        <w:tc>
          <w:tcPr>
            <w:tcW w:type="dxa" w:w="3600"/>
          </w:tcPr>
          <w:p>
            <w:pPr>
              <w:spacing w:after="0" w:before="0" w:line="240" w:lineRule="auto"/>
              <w:jc w:val="left"/>
            </w:pPr>
            <w:r>
              <w:t>Evidence-based stocking analysis</w:t>
            </w:r>
          </w:p>
        </w:tc>
      </w:tr>
      <w:tr>
        <w:tc>
          <w:tcPr>
            <w:tcW w:type="dxa" w:w="3600"/>
          </w:tcPr>
          <w:p>
            <w:pPr>
              <w:spacing w:after="0" w:before="0" w:line="240" w:lineRule="auto"/>
              <w:jc w:val="left"/>
            </w:pPr>
            <w:r>
              <w:t>Spare list not linked to machine tags</w:t>
            </w:r>
          </w:p>
        </w:tc>
        <w:tc>
          <w:tcPr>
            <w:tcW w:type="dxa" w:w="3600"/>
          </w:tcPr>
          <w:p>
            <w:pPr>
              <w:spacing w:after="0" w:before="0" w:line="240" w:lineRule="auto"/>
              <w:jc w:val="left"/>
            </w:pPr>
            <w:r>
              <w:t>Slow fault diagnosis and procurement</w:t>
            </w:r>
          </w:p>
        </w:tc>
        <w:tc>
          <w:tcPr>
            <w:tcW w:type="dxa" w:w="3600"/>
          </w:tcPr>
          <w:p>
            <w:pPr>
              <w:spacing w:after="0" w:before="0" w:line="240" w:lineRule="auto"/>
              <w:jc w:val="left"/>
            </w:pPr>
            <w:r>
              <w:t>Maintain machine-to-component traceability</w:t>
            </w:r>
          </w:p>
        </w:tc>
      </w:tr>
      <w:tr>
        <w:tc>
          <w:tcPr>
            <w:tcW w:type="dxa" w:w="3600"/>
          </w:tcPr>
          <w:p>
            <w:pPr>
              <w:spacing w:after="0" w:before="0" w:line="240" w:lineRule="auto"/>
              <w:jc w:val="left"/>
            </w:pPr>
            <w:r>
              <w:t>Stored electronic part damaged</w:t>
            </w:r>
          </w:p>
        </w:tc>
        <w:tc>
          <w:tcPr>
            <w:tcW w:type="dxa" w:w="3600"/>
          </w:tcPr>
          <w:p>
            <w:pPr>
              <w:spacing w:after="0" w:before="0" w:line="240" w:lineRule="auto"/>
              <w:jc w:val="left"/>
            </w:pPr>
            <w:r>
              <w:t>Spare unavailable when required</w:t>
            </w:r>
          </w:p>
        </w:tc>
        <w:tc>
          <w:tcPr>
            <w:tcW w:type="dxa" w:w="3600"/>
          </w:tcPr>
          <w:p>
            <w:pPr>
              <w:spacing w:after="0" w:before="0" w:line="240" w:lineRule="auto"/>
              <w:jc w:val="left"/>
            </w:pPr>
            <w:r>
              <w:t>ESD and storage controls</w:t>
            </w:r>
          </w:p>
        </w:tc>
      </w:tr>
      <w:tr>
        <w:tc>
          <w:tcPr>
            <w:tcW w:type="dxa" w:w="3600"/>
          </w:tcPr>
          <w:p>
            <w:pPr>
              <w:spacing w:after="0" w:before="0" w:line="240" w:lineRule="auto"/>
              <w:jc w:val="left"/>
            </w:pPr>
            <w:r>
              <w:t>Parameter-dependent device replaced without configuration plan</w:t>
            </w:r>
          </w:p>
        </w:tc>
        <w:tc>
          <w:tcPr>
            <w:tcW w:type="dxa" w:w="3600"/>
          </w:tcPr>
          <w:p>
            <w:pPr>
              <w:spacing w:after="0" w:before="0" w:line="240" w:lineRule="auto"/>
              <w:jc w:val="left"/>
            </w:pPr>
            <w:r>
              <w:t>Incorrect operation after replacement</w:t>
            </w:r>
          </w:p>
        </w:tc>
        <w:tc>
          <w:tcPr>
            <w:tcW w:type="dxa" w:w="3600"/>
          </w:tcPr>
          <w:p>
            <w:pPr>
              <w:spacing w:after="0" w:before="0" w:line="240" w:lineRule="auto"/>
              <w:jc w:val="left"/>
            </w:pPr>
            <w:r>
              <w:t>Maintain approved backup and restoration instructions</w:t>
            </w:r>
          </w:p>
        </w:tc>
      </w:tr>
      <w:tr>
        <w:tc>
          <w:tcPr>
            <w:tcW w:type="dxa" w:w="3600"/>
          </w:tcPr>
          <w:p>
            <w:pPr>
              <w:spacing w:after="0" w:before="0" w:line="240" w:lineRule="auto"/>
              <w:jc w:val="left"/>
            </w:pPr>
            <w:r>
              <w:t>Unapproved safety component substitution</w:t>
            </w:r>
          </w:p>
        </w:tc>
        <w:tc>
          <w:tcPr>
            <w:tcW w:type="dxa" w:w="3600"/>
          </w:tcPr>
          <w:p>
            <w:pPr>
              <w:spacing w:after="0" w:before="0" w:line="240" w:lineRule="auto"/>
              <w:jc w:val="left"/>
            </w:pPr>
            <w:r>
              <w:t>Safety design may no longer comply</w:t>
            </w:r>
          </w:p>
        </w:tc>
        <w:tc>
          <w:tcPr>
            <w:tcW w:type="dxa" w:w="3600"/>
          </w:tcPr>
          <w:p>
            <w:pPr>
              <w:spacing w:after="0" w:before="0" w:line="240" w:lineRule="auto"/>
              <w:jc w:val="left"/>
            </w:pPr>
            <w:r>
              <w:t>Formal approval and validation</w:t>
            </w:r>
          </w:p>
        </w:tc>
      </w:tr>
      <w:tr>
        <w:tc>
          <w:tcPr>
            <w:tcW w:type="dxa" w:w="3600"/>
          </w:tcPr>
          <w:p>
            <w:pPr>
              <w:spacing w:after="0" w:before="0" w:line="240" w:lineRule="auto"/>
              <w:jc w:val="left"/>
            </w:pPr>
            <w:r>
              <w:t>Recommended spares confused with supplied spares</w:t>
            </w:r>
          </w:p>
        </w:tc>
        <w:tc>
          <w:tcPr>
            <w:tcW w:type="dxa" w:w="3600"/>
          </w:tcPr>
          <w:p>
            <w:pPr>
              <w:spacing w:after="0" w:before="0" w:line="240" w:lineRule="auto"/>
              <w:jc w:val="left"/>
            </w:pPr>
            <w:r>
              <w:t>Incorrect handover and stock expectations</w:t>
            </w:r>
          </w:p>
        </w:tc>
        <w:tc>
          <w:tcPr>
            <w:tcW w:type="dxa" w:w="3600"/>
          </w:tcPr>
          <w:p>
            <w:pPr>
              <w:spacing w:after="0" w:before="0" w:line="240" w:lineRule="auto"/>
              <w:jc w:val="left"/>
            </w:pPr>
            <w:r>
              <w:t>Separate supply status from recommendation</w:t>
            </w:r>
          </w:p>
        </w:tc>
      </w:tr>
    </w:tbl>
    <w:p/>
    <w:p>
      <w:pPr>
        <w:pStyle w:val="Heading2"/>
      </w:pPr>
      <w:r>
        <w:t>13. PDI Spares Acceptance Checklist</w:t>
      </w:r>
    </w:p>
    <w:p>
      <w:pPr>
        <w:pStyle w:val="ListBullet"/>
      </w:pPr>
      <w:r>
        <w:t>As-built component list is available.</w:t>
      </w:r>
    </w:p>
    <w:p>
      <w:pPr>
        <w:pStyle w:val="ListBullet"/>
      </w:pPr>
      <w:r>
        <w:t>Installed component identities and part numbers are verified.</w:t>
      </w:r>
    </w:p>
    <w:p>
      <w:pPr>
        <w:pStyle w:val="ListBullet"/>
      </w:pPr>
      <w:r>
        <w:t>Recommended spare parts are linked to machine and device tags.</w:t>
      </w:r>
    </w:p>
    <w:p>
      <w:pPr>
        <w:pStyle w:val="ListBullet"/>
      </w:pPr>
      <w:r>
        <w:t>Technical ratings and application compatibility are checked.</w:t>
      </w:r>
    </w:p>
    <w:p>
      <w:pPr>
        <w:pStyle w:val="ListBullet"/>
      </w:pPr>
      <w:r>
        <w:t>Criticality classifications follow the approved methodology.</w:t>
      </w:r>
    </w:p>
    <w:p>
      <w:pPr>
        <w:pStyle w:val="ListBullet"/>
      </w:pPr>
      <w:r>
        <w:t>Recommended quantities have a documented basis.</w:t>
      </w:r>
    </w:p>
    <w:p>
      <w:pPr>
        <w:pStyle w:val="ListBullet"/>
      </w:pPr>
      <w:r>
        <w:t>Procurement lead times are recorded for important items.</w:t>
      </w:r>
    </w:p>
    <w:p>
      <w:pPr>
        <w:pStyle w:val="ListBullet"/>
      </w:pPr>
      <w:r>
        <w:t>Obsolete or discontinued components are identified.</w:t>
      </w:r>
    </w:p>
    <w:p>
      <w:pPr>
        <w:pStyle w:val="ListBullet"/>
      </w:pPr>
      <w:r>
        <w:t>Proposed successor parts have verified compatibility.</w:t>
      </w:r>
    </w:p>
    <w:p>
      <w:pPr>
        <w:pStyle w:val="ListBullet"/>
      </w:pPr>
      <w:r>
        <w:t>Supplied spares are distinguished from recommended spares.</w:t>
      </w:r>
    </w:p>
    <w:p>
      <w:pPr>
        <w:pStyle w:val="ListBullet"/>
      </w:pPr>
      <w:r>
        <w:t>Physical quantity and condition are verified where spares are supplied.</w:t>
      </w:r>
    </w:p>
    <w:p>
      <w:pPr>
        <w:pStyle w:val="ListBullet"/>
      </w:pPr>
      <w:r>
        <w:t>Storage requirements are documented for sensitive components.</w:t>
      </w:r>
    </w:p>
    <w:p>
      <w:pPr>
        <w:pStyle w:val="ListBullet"/>
      </w:pPr>
      <w:r>
        <w:t>Relevant datasheets and replacement instructions are available.</w:t>
      </w:r>
    </w:p>
    <w:p>
      <w:pPr>
        <w:pStyle w:val="ListBullet"/>
      </w:pPr>
      <w:r>
        <w:t>Configuration backups and recovery requirements are identified for programmable devices.</w:t>
      </w:r>
    </w:p>
    <w:p>
      <w:pPr>
        <w:pStyle w:val="ListBullet"/>
      </w:pPr>
      <w:r>
        <w:t>The final spare-parts register is included in the required handover package.</w:t>
      </w:r>
    </w:p>
    <w:p>
      <w:pPr>
        <w:pStyle w:val="Heading2"/>
      </w:pPr>
      <w:r>
        <w:t>14. Practical Industrial Example</w:t>
      </w:r>
    </w:p>
    <w:p>
      <w:r>
        <w:t>Consider an automated test station containing a PLC, VFD, servo drive, pressure transmitter, photoelectric sensors, and safety interlocks.</w:t>
      </w:r>
    </w:p>
    <w:p>
      <w:r>
        <w:t>During PDI, the engineer records the installed part numbers and links each component to its machine tag. The VFD is identified as a long-lead-time component, while a pressure transmitter is readily available locally.</w:t>
      </w:r>
    </w:p>
    <w:p>
      <w:r>
        <w:t>The spare-parts analysis considers production impact, historical failures, replacement time, and compatibility. The VFD receives a higher inventory priority because its failure could stop the station for an extended period. The pressure transmitter receives a different stocking recommendation based on its availability and failure consequences.</w:t>
      </w:r>
    </w:p>
    <w:p>
      <w:r>
        <w:t>The engineer also discovers that the PLC's installed communication module is approaching obsolescence. The register records its lifecycle status and the proposed successor, together with the required compatibility checks and migration documentation.</w:t>
      </w:r>
    </w:p>
    <w:p>
      <w:r>
        <w:t>The result is a practical spare-parts plan that supports breakdown response, planned migration, inventory management, and long-term machine maintainability.</w:t>
      </w:r>
    </w:p>
    <w:p>
      <w:r>
        <w:t>The objective of PDI spares is to ensure that the right component can be identified, obtained, and safely integrated into the correct machine without avoidable delay or uncontrolled engineering changes.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02_PLAN_WISE_2026\02_INDUSTRY3_0\15_PDI\14_Nameplates - Nameplates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Spares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