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Equipment List in Industrial Maintenance</w:t>
      </w:r>
    </w:p>
    <w:p>
      <w:pPr>
        <w:pStyle w:val="Heading2"/>
      </w:pPr>
      <w:r>
        <w:t>1. Definition</w:t>
      </w:r>
    </w:p>
    <w:p>
      <w:r>
        <w:t>A critical equipment list is a controlled maintenance document that identifies equipment whose failure could have a significant impact on personnel safety, environmental protection, production, product quality, statutory compliance, equipment integrity, or business continuity.</w:t>
      </w:r>
    </w:p>
    <w:p>
      <w:r>
        <w:t>It establishes which assets require greater attention in maintenance planning, preventive maintenance, condition monitoring, spare-parts planning, failure analysis, and recovery preparation.</w:t>
      </w:r>
    </w:p>
    <w:p>
      <w:r>
        <w:t>A critical equipment list is not merely a list of expensive machines. An inexpensive sensor, safety relay, industrial network switch, or power supply can be highly critical if its failure stops an entire production line or disables an essential protective function.</w:t>
      </w:r>
    </w:p>
    <w:p>
      <w:r>
        <w:t>The list must be based on documented risk and operational impact rather than assumptions, purchase price, or equipment size.</w:t>
      </w:r>
    </w:p>
    <w:p>
      <w:pPr>
        <w:pStyle w:val="Heading2"/>
      </w:pPr>
      <w:r>
        <w:t>2. Objectives of a Critical Equipment List</w:t>
      </w:r>
    </w:p>
    <w:p>
      <w:r>
        <w:t>The primary objectives are to:</w:t>
      </w:r>
    </w:p>
    <w:p>
      <w:pPr>
        <w:pStyle w:val="ListBullet"/>
      </w:pPr>
      <w:r>
        <w:t>Identify assets that require priority maintenance attention.</w:t>
      </w:r>
    </w:p>
    <w:p>
      <w:pPr>
        <w:pStyle w:val="ListBullet"/>
      </w:pPr>
      <w:r>
        <w:t>Protect personnel and the environment.</w:t>
      </w:r>
    </w:p>
    <w:p>
      <w:pPr>
        <w:pStyle w:val="ListBullet"/>
      </w:pPr>
      <w:r>
        <w:t>Reduce the impact of equipment failures on production.</w:t>
      </w:r>
    </w:p>
    <w:p>
      <w:pPr>
        <w:pStyle w:val="ListBullet"/>
      </w:pPr>
      <w:r>
        <w:t>Prioritize preventive and predictive maintenance activities.</w:t>
      </w:r>
    </w:p>
    <w:p>
      <w:pPr>
        <w:pStyle w:val="ListBullet"/>
      </w:pPr>
      <w:r>
        <w:t>Establish suitable maintenance frequencies and inspection methods.</w:t>
      </w:r>
    </w:p>
    <w:p>
      <w:pPr>
        <w:pStyle w:val="ListBullet"/>
      </w:pPr>
      <w:r>
        <w:t>Support critical-spares identification and stocking decisions.</w:t>
      </w:r>
    </w:p>
    <w:p>
      <w:pPr>
        <w:pStyle w:val="ListBullet"/>
      </w:pPr>
      <w:r>
        <w:t>Define recovery procedures for major equipment failures.</w:t>
      </w:r>
    </w:p>
    <w:p>
      <w:pPr>
        <w:pStyle w:val="ListBullet"/>
      </w:pPr>
      <w:r>
        <w:t>Prioritize backup, configuration control, and restoration activities.</w:t>
      </w:r>
    </w:p>
    <w:p>
      <w:pPr>
        <w:pStyle w:val="ListBullet"/>
      </w:pPr>
      <w:r>
        <w:t>Support risk assessments, audits, RCA, CAPA, and reliability improvement.</w:t>
      </w:r>
    </w:p>
    <w:p>
      <w:pPr>
        <w:pStyle w:val="ListBullet"/>
      </w:pPr>
      <w:r>
        <w:t>Direct maintenance resources toward the highest-risk equipment.</w:t>
      </w:r>
    </w:p>
    <w:p>
      <w:r>
        <w:t>The critical equipment list connects equipment-level risk assessment with the actual maintenance strategy.</w:t>
      </w:r>
    </w:p>
    <w:p>
      <w:pPr>
        <w:pStyle w:val="Heading2"/>
      </w:pPr>
      <w:r>
        <w:t>3. Critical Equipment Versus Ordinary Equipment</w:t>
      </w:r>
    </w:p>
    <w:p>
      <w:r>
        <w:t>Equipment criticality depends on its role in the complete production or safety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 example</w:t>
            </w:r>
          </w:p>
        </w:tc>
        <w:tc>
          <w:tcPr>
            <w:tcW w:type="dxa" w:w="3600"/>
            <w:shd w:val="clear" w:color="auto" w:fill="EEF2F7"/>
          </w:tcPr>
          <w:p>
            <w:pPr>
              <w:spacing w:after="0" w:before="0" w:line="240" w:lineRule="auto"/>
              <w:jc w:val="left"/>
            </w:pPr>
            <w:r>
              <w:rPr>
                <w:b/>
                <w:color w:val="1A2E4A"/>
              </w:rPr>
              <w:t>Possible criticality</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Main production CNC machine</w:t>
            </w:r>
          </w:p>
        </w:tc>
        <w:tc>
          <w:tcPr>
            <w:tcW w:type="dxa" w:w="3600"/>
          </w:tcPr>
          <w:p>
            <w:pPr>
              <w:spacing w:after="0" w:before="0" w:line="240" w:lineRule="auto"/>
              <w:jc w:val="left"/>
            </w:pPr>
            <w:r>
              <w:t>High</w:t>
            </w:r>
          </w:p>
        </w:tc>
        <w:tc>
          <w:tcPr>
            <w:tcW w:type="dxa" w:w="3600"/>
          </w:tcPr>
          <w:p>
            <w:pPr>
              <w:spacing w:after="0" w:before="0" w:line="240" w:lineRule="auto"/>
              <w:jc w:val="left"/>
            </w:pPr>
            <w:r>
              <w:t>Failure may stop a bottleneck process</w:t>
            </w:r>
          </w:p>
        </w:tc>
      </w:tr>
      <w:tr>
        <w:tc>
          <w:tcPr>
            <w:tcW w:type="dxa" w:w="3600"/>
          </w:tcPr>
          <w:p>
            <w:pPr>
              <w:spacing w:after="0" w:before="0" w:line="240" w:lineRule="auto"/>
              <w:jc w:val="left"/>
            </w:pPr>
            <w:r>
              <w:t>Common PLC controlling several machines</w:t>
            </w:r>
          </w:p>
        </w:tc>
        <w:tc>
          <w:tcPr>
            <w:tcW w:type="dxa" w:w="3600"/>
          </w:tcPr>
          <w:p>
            <w:pPr>
              <w:spacing w:after="0" w:before="0" w:line="240" w:lineRule="auto"/>
              <w:jc w:val="left"/>
            </w:pPr>
            <w:r>
              <w:t>High</w:t>
            </w:r>
          </w:p>
        </w:tc>
        <w:tc>
          <w:tcPr>
            <w:tcW w:type="dxa" w:w="3600"/>
          </w:tcPr>
          <w:p>
            <w:pPr>
              <w:spacing w:after="0" w:before="0" w:line="240" w:lineRule="auto"/>
              <w:jc w:val="left"/>
            </w:pPr>
            <w:r>
              <w:t>Controller failure may stop multiple stations</w:t>
            </w:r>
          </w:p>
        </w:tc>
      </w:tr>
      <w:tr>
        <w:tc>
          <w:tcPr>
            <w:tcW w:type="dxa" w:w="3600"/>
          </w:tcPr>
          <w:p>
            <w:pPr>
              <w:spacing w:after="0" w:before="0" w:line="240" w:lineRule="auto"/>
              <w:jc w:val="left"/>
            </w:pPr>
            <w:r>
              <w:t>Safety PLC or safety relay</w:t>
            </w:r>
          </w:p>
        </w:tc>
        <w:tc>
          <w:tcPr>
            <w:tcW w:type="dxa" w:w="3600"/>
          </w:tcPr>
          <w:p>
            <w:pPr>
              <w:spacing w:after="0" w:before="0" w:line="240" w:lineRule="auto"/>
              <w:jc w:val="left"/>
            </w:pPr>
            <w:r>
              <w:t>High</w:t>
            </w:r>
          </w:p>
        </w:tc>
        <w:tc>
          <w:tcPr>
            <w:tcW w:type="dxa" w:w="3600"/>
          </w:tcPr>
          <w:p>
            <w:pPr>
              <w:spacing w:after="0" w:before="0" w:line="240" w:lineRule="auto"/>
              <w:jc w:val="left"/>
            </w:pPr>
            <w:r>
              <w:t>Failure may compromise a protective function</w:t>
            </w:r>
          </w:p>
        </w:tc>
      </w:tr>
      <w:tr>
        <w:tc>
          <w:tcPr>
            <w:tcW w:type="dxa" w:w="3600"/>
          </w:tcPr>
          <w:p>
            <w:pPr>
              <w:spacing w:after="0" w:before="0" w:line="240" w:lineRule="auto"/>
              <w:jc w:val="left"/>
            </w:pPr>
            <w:r>
              <w:t>Main hydraulic power unit</w:t>
            </w:r>
          </w:p>
        </w:tc>
        <w:tc>
          <w:tcPr>
            <w:tcW w:type="dxa" w:w="3600"/>
          </w:tcPr>
          <w:p>
            <w:pPr>
              <w:spacing w:after="0" w:before="0" w:line="240" w:lineRule="auto"/>
              <w:jc w:val="left"/>
            </w:pPr>
            <w:r>
              <w:t>High</w:t>
            </w:r>
          </w:p>
        </w:tc>
        <w:tc>
          <w:tcPr>
            <w:tcW w:type="dxa" w:w="3600"/>
          </w:tcPr>
          <w:p>
            <w:pPr>
              <w:spacing w:after="0" w:before="0" w:line="240" w:lineRule="auto"/>
              <w:jc w:val="left"/>
            </w:pPr>
            <w:r>
              <w:t>Multiple actuators may become unavailable</w:t>
            </w:r>
          </w:p>
        </w:tc>
      </w:tr>
      <w:tr>
        <w:tc>
          <w:tcPr>
            <w:tcW w:type="dxa" w:w="3600"/>
          </w:tcPr>
          <w:p>
            <w:pPr>
              <w:spacing w:after="0" w:before="0" w:line="240" w:lineRule="auto"/>
              <w:jc w:val="left"/>
            </w:pPr>
            <w:r>
              <w:t>Robot controller for a bottleneck cell</w:t>
            </w:r>
          </w:p>
        </w:tc>
        <w:tc>
          <w:tcPr>
            <w:tcW w:type="dxa" w:w="3600"/>
          </w:tcPr>
          <w:p>
            <w:pPr>
              <w:spacing w:after="0" w:before="0" w:line="240" w:lineRule="auto"/>
              <w:jc w:val="left"/>
            </w:pPr>
            <w:r>
              <w:t>High</w:t>
            </w:r>
          </w:p>
        </w:tc>
        <w:tc>
          <w:tcPr>
            <w:tcW w:type="dxa" w:w="3600"/>
          </w:tcPr>
          <w:p>
            <w:pPr>
              <w:spacing w:after="0" w:before="0" w:line="240" w:lineRule="auto"/>
              <w:jc w:val="left"/>
            </w:pPr>
            <w:r>
              <w:t>Production may stop until the controller is restored</w:t>
            </w:r>
          </w:p>
        </w:tc>
      </w:tr>
      <w:tr>
        <w:tc>
          <w:tcPr>
            <w:tcW w:type="dxa" w:w="3600"/>
          </w:tcPr>
          <w:p>
            <w:pPr>
              <w:spacing w:after="0" w:before="0" w:line="240" w:lineRule="auto"/>
              <w:jc w:val="left"/>
            </w:pPr>
            <w:r>
              <w:t>Nonessential local indicator lamp</w:t>
            </w:r>
          </w:p>
        </w:tc>
        <w:tc>
          <w:tcPr>
            <w:tcW w:type="dxa" w:w="3600"/>
          </w:tcPr>
          <w:p>
            <w:pPr>
              <w:spacing w:after="0" w:before="0" w:line="240" w:lineRule="auto"/>
              <w:jc w:val="left"/>
            </w:pPr>
            <w:r>
              <w:t>Low</w:t>
            </w:r>
          </w:p>
        </w:tc>
        <w:tc>
          <w:tcPr>
            <w:tcW w:type="dxa" w:w="3600"/>
          </w:tcPr>
          <w:p>
            <w:pPr>
              <w:spacing w:after="0" w:before="0" w:line="240" w:lineRule="auto"/>
              <w:jc w:val="left"/>
            </w:pPr>
            <w:r>
              <w:t>Failure may not affect production or safety</w:t>
            </w:r>
          </w:p>
        </w:tc>
      </w:tr>
      <w:tr>
        <w:tc>
          <w:tcPr>
            <w:tcW w:type="dxa" w:w="3600"/>
          </w:tcPr>
          <w:p>
            <w:pPr>
              <w:spacing w:after="0" w:before="0" w:line="240" w:lineRule="auto"/>
              <w:jc w:val="left"/>
            </w:pPr>
            <w:r>
              <w:t>Standby pump with automatic changeover</w:t>
            </w:r>
          </w:p>
        </w:tc>
        <w:tc>
          <w:tcPr>
            <w:tcW w:type="dxa" w:w="3600"/>
          </w:tcPr>
          <w:p>
            <w:pPr>
              <w:spacing w:after="0" w:before="0" w:line="240" w:lineRule="auto"/>
              <w:jc w:val="left"/>
            </w:pPr>
            <w:r>
              <w:t>Context-dependent</w:t>
            </w:r>
          </w:p>
        </w:tc>
        <w:tc>
          <w:tcPr>
            <w:tcW w:type="dxa" w:w="3600"/>
          </w:tcPr>
          <w:p>
            <w:pPr>
              <w:spacing w:after="0" w:before="0" w:line="240" w:lineRule="auto"/>
              <w:jc w:val="left"/>
            </w:pPr>
            <w:r>
              <w:t>Criticality depends on redundancy and standby readiness</w:t>
            </w:r>
          </w:p>
        </w:tc>
      </w:tr>
      <w:tr>
        <w:tc>
          <w:tcPr>
            <w:tcW w:type="dxa" w:w="3600"/>
          </w:tcPr>
          <w:p>
            <w:pPr>
              <w:spacing w:after="0" w:before="0" w:line="240" w:lineRule="auto"/>
              <w:jc w:val="left"/>
            </w:pPr>
            <w:r>
              <w:t>Network switch serving multiple critical controllers</w:t>
            </w:r>
          </w:p>
        </w:tc>
        <w:tc>
          <w:tcPr>
            <w:tcW w:type="dxa" w:w="3600"/>
          </w:tcPr>
          <w:p>
            <w:pPr>
              <w:spacing w:after="0" w:before="0" w:line="240" w:lineRule="auto"/>
              <w:jc w:val="left"/>
            </w:pPr>
            <w:r>
              <w:t>High</w:t>
            </w:r>
          </w:p>
        </w:tc>
        <w:tc>
          <w:tcPr>
            <w:tcW w:type="dxa" w:w="3600"/>
          </w:tcPr>
          <w:p>
            <w:pPr>
              <w:spacing w:after="0" w:before="0" w:line="240" w:lineRule="auto"/>
              <w:jc w:val="left"/>
            </w:pPr>
            <w:r>
              <w:t>One switch failure may affect several assets</w:t>
            </w:r>
          </w:p>
        </w:tc>
      </w:tr>
      <w:tr>
        <w:tc>
          <w:tcPr>
            <w:tcW w:type="dxa" w:w="3600"/>
          </w:tcPr>
          <w:p>
            <w:pPr>
              <w:spacing w:after="0" w:before="0" w:line="240" w:lineRule="auto"/>
              <w:jc w:val="left"/>
            </w:pPr>
            <w:r>
              <w:t>Common 24 V DC supply serving multiple control panels</w:t>
            </w:r>
          </w:p>
        </w:tc>
        <w:tc>
          <w:tcPr>
            <w:tcW w:type="dxa" w:w="3600"/>
          </w:tcPr>
          <w:p>
            <w:pPr>
              <w:spacing w:after="0" w:before="0" w:line="240" w:lineRule="auto"/>
              <w:jc w:val="left"/>
            </w:pPr>
            <w:r>
              <w:t>Potentially high</w:t>
            </w:r>
          </w:p>
        </w:tc>
        <w:tc>
          <w:tcPr>
            <w:tcW w:type="dxa" w:w="3600"/>
          </w:tcPr>
          <w:p>
            <w:pPr>
              <w:spacing w:after="0" w:before="0" w:line="240" w:lineRule="auto"/>
              <w:jc w:val="left"/>
            </w:pPr>
            <w:r>
              <w:t>A single failure may remove power from multiple control devices</w:t>
            </w:r>
          </w:p>
        </w:tc>
      </w:tr>
    </w:tbl>
    <w:p/>
    <w:p>
      <w:r>
        <w:t>These examples are illustrative. The actual classification must consider the installed configuration, failure consequences, redundancy, recovery time, and applicable safety requirements.</w:t>
      </w:r>
    </w:p>
    <w:p>
      <w:pPr>
        <w:pStyle w:val="Heading2"/>
      </w:pPr>
      <w:r>
        <w:t>4. Equipment Criticality and Risk</w:t>
      </w:r>
    </w:p>
    <w:p>
      <w:r>
        <w:t>Equipment criticality is commonly determined through a structured risk assessment.</w:t>
      </w:r>
    </w:p>
    <w:p>
      <w:r>
        <w:t>A practical approach is to evaluate the consequences of failure and the likelihood of failure, while accounting for the effectiveness of existing controls.</w:t>
      </w:r>
    </w:p>
    <w:p>
      <w:r>
        <w:t>A simple risk model is:</w:t>
      </w:r>
    </w:p>
    <w:p>
      <w:pPr>
        <w:spacing w:before="120" w:after="160"/>
        <w:jc w:val="center"/>
      </w:pPr>
      <m:oMathPara>
        <m:oMath>
          <m:r>
            <m:t>R=S×O</m:t>
          </m:r>
        </m:oMath>
      </m:oMathPara>
    </w:p>
    <w:p>
      <w:r>
        <w:t>Where:</w:t>
      </w:r>
    </w:p>
    <w:p>
      <w:pPr>
        <w:pStyle w:val="ListBullet"/>
      </w:pPr>
      <m:oMath>
        <m:r>
          <m:t>R</m:t>
        </m:r>
      </m:oMath>
      <w:r>
        <w:t xml:space="preserve"> = risk score.</w:t>
      </w:r>
    </w:p>
    <w:p>
      <w:pPr>
        <w:pStyle w:val="ListBullet"/>
      </w:pPr>
      <m:oMath>
        <m:r>
          <m:t>S</m:t>
        </m:r>
      </m:oMath>
      <w:r>
        <w:t xml:space="preserve"> = severity or consequence score.</w:t>
      </w:r>
    </w:p>
    <w:p>
      <w:pPr>
        <w:pStyle w:val="ListBullet"/>
      </w:pPr>
      <m:oMath>
        <m:r>
          <m:t>O</m:t>
        </m:r>
      </m:oMath>
      <w:r>
        <w:t xml:space="preserve"> = occurrence or likelihood score.</w:t>
      </w:r>
    </w:p>
    <w:p>
      <w:r>
        <w:t>Some organizations also include detectability, exposure, recovery time, or other factors. The selected model must be approved and consistently applied.</w:t>
      </w:r>
    </w:p>
    <w:p>
      <w:r>
        <w:t>Important: A numerical score is a prioritization tool, not a replacement for engineering judgment. Safety-critical functions may require mandatory controls regardless of their calculated score.</w:t>
      </w:r>
    </w:p>
    <w:p>
      <w:pPr>
        <w:pStyle w:val="Heading2"/>
      </w:pPr>
      <w:r>
        <w:t>5. Criticality Assessment Factors</w:t>
      </w:r>
    </w:p>
    <w:p>
      <w:pPr>
        <w:pStyle w:val="Heading3"/>
      </w:pPr>
      <w:r>
        <w:t>5.1 Safety impact</w:t>
      </w:r>
    </w:p>
    <w:p>
      <w:r>
        <w:t>Assess whether failure could:</w:t>
      </w:r>
    </w:p>
    <w:p>
      <w:pPr>
        <w:pStyle w:val="ListBullet"/>
      </w:pPr>
      <w:r>
        <w:t>Expose personnel to hazardous motion or energy.</w:t>
      </w:r>
    </w:p>
    <w:p>
      <w:pPr>
        <w:pStyle w:val="ListBullet"/>
      </w:pPr>
      <w:r>
        <w:t>Disable a guard, interlock, emergency-stop function, or safety-related control.</w:t>
      </w:r>
    </w:p>
    <w:p>
      <w:pPr>
        <w:pStyle w:val="ListBullet"/>
      </w:pPr>
      <w:r>
        <w:t>Create electrical, hydraulic, pneumatic, thermal, or mechanical hazards.</w:t>
      </w:r>
    </w:p>
    <w:p>
      <w:pPr>
        <w:pStyle w:val="ListBullet"/>
      </w:pPr>
      <w:r>
        <w:t>Cause a dangerous loss of process control.</w:t>
      </w:r>
    </w:p>
    <w:p>
      <w:pPr>
        <w:pStyle w:val="ListBullet"/>
      </w:pPr>
      <w:r>
        <w:t>Prevent safe isolation or maintenance.</w:t>
      </w:r>
    </w:p>
    <w:p>
      <w:r>
        <w:t>Safety-critical equipment must be assessed using the applicable machinery risk assessment and functional-safety requirements. A low historical failure count does not make a safety function unimportant.</w:t>
      </w:r>
    </w:p>
    <w:p>
      <w:pPr>
        <w:pStyle w:val="Heading3"/>
      </w:pPr>
      <w:r>
        <w:t>5.2 Production impact</w:t>
      </w:r>
    </w:p>
    <w:p>
      <w:r>
        <w:t>Evaluate:</w:t>
      </w:r>
    </w:p>
    <w:p>
      <w:pPr>
        <w:pStyle w:val="ListBullet"/>
      </w:pPr>
      <w:r>
        <w:t>Production capacity lost per hour.</w:t>
      </w:r>
    </w:p>
    <w:p>
      <w:pPr>
        <w:pStyle w:val="ListBullet"/>
      </w:pPr>
      <w:r>
        <w:t>Number of stations affected.</w:t>
      </w:r>
    </w:p>
    <w:p>
      <w:pPr>
        <w:pStyle w:val="ListBullet"/>
      </w:pPr>
      <w:r>
        <w:t>Whether the asset is a bottleneck.</w:t>
      </w:r>
    </w:p>
    <w:p>
      <w:pPr>
        <w:pStyle w:val="ListBullet"/>
      </w:pPr>
      <w:r>
        <w:t>Whether production can continue through an alternative route.</w:t>
      </w:r>
    </w:p>
    <w:p>
      <w:pPr>
        <w:pStyle w:val="ListBullet"/>
      </w:pPr>
      <w:r>
        <w:t>Whether a failure stops one machine, one line, or an entire facility.</w:t>
      </w:r>
    </w:p>
    <w:p>
      <w:pPr>
        <w:pStyle w:val="ListBullet"/>
      </w:pPr>
      <w:r>
        <w:t>Whether the affected process supports downstream production.</w:t>
      </w:r>
    </w:p>
    <w:p>
      <w:pPr>
        <w:pStyle w:val="Heading3"/>
      </w:pPr>
      <w:r>
        <w:t>5.3 Quality impact</w:t>
      </w:r>
    </w:p>
    <w:p>
      <w:r>
        <w:t>Consider whether failure can cause:</w:t>
      </w:r>
    </w:p>
    <w:p>
      <w:pPr>
        <w:pStyle w:val="ListBullet"/>
      </w:pPr>
      <w:r>
        <w:t>Incorrect machining dimensions.</w:t>
      </w:r>
    </w:p>
    <w:p>
      <w:pPr>
        <w:pStyle w:val="ListBullet"/>
      </w:pPr>
      <w:r>
        <w:t>Incorrect torque or fastening results.</w:t>
      </w:r>
    </w:p>
    <w:p>
      <w:pPr>
        <w:pStyle w:val="ListBullet"/>
      </w:pPr>
      <w:r>
        <w:t>Defective welding or joining.</w:t>
      </w:r>
    </w:p>
    <w:p>
      <w:pPr>
        <w:pStyle w:val="ListBullet"/>
      </w:pPr>
      <w:r>
        <w:t>Invalid end-of-line test results.</w:t>
      </w:r>
    </w:p>
    <w:p>
      <w:pPr>
        <w:pStyle w:val="ListBullet"/>
      </w:pPr>
      <w:r>
        <w:t>Loss of traceability.</w:t>
      </w:r>
    </w:p>
    <w:p>
      <w:pPr>
        <w:pStyle w:val="ListBullet"/>
      </w:pPr>
      <w:r>
        <w:t>Incorrect sensor readings used for acceptance decisions.</w:t>
      </w:r>
    </w:p>
    <w:p>
      <w:pPr>
        <w:pStyle w:val="ListBullet"/>
      </w:pPr>
      <w:r>
        <w:t>Scrap, rework, or customer-quality escapes.</w:t>
      </w:r>
    </w:p>
    <w:p>
      <w:r>
        <w:t>A test-bench measurement device can be critical even when its failure does not physically stop the production line. If its failure invalidates product acceptance, its quality and compliance impact may be substantial.</w:t>
      </w:r>
    </w:p>
    <w:p>
      <w:pPr>
        <w:pStyle w:val="Heading3"/>
      </w:pPr>
      <w:r>
        <w:t>5.4 Environmental impact</w:t>
      </w:r>
    </w:p>
    <w:p>
      <w:r>
        <w:t>Consider risks such as:</w:t>
      </w:r>
    </w:p>
    <w:p>
      <w:pPr>
        <w:pStyle w:val="ListBullet"/>
      </w:pPr>
      <w:r>
        <w:t>Hydraulic or lubricant leakage.</w:t>
      </w:r>
    </w:p>
    <w:p>
      <w:pPr>
        <w:pStyle w:val="ListBullet"/>
      </w:pPr>
      <w:r>
        <w:t>Chemical release.</w:t>
      </w:r>
    </w:p>
    <w:p>
      <w:pPr>
        <w:pStyle w:val="ListBullet"/>
      </w:pPr>
      <w:r>
        <w:t>Excessive emissions.</w:t>
      </w:r>
    </w:p>
    <w:p>
      <w:pPr>
        <w:pStyle w:val="ListBullet"/>
      </w:pPr>
      <w:r>
        <w:t>Cooling-system failure.</w:t>
      </w:r>
    </w:p>
    <w:p>
      <w:pPr>
        <w:pStyle w:val="ListBullet"/>
      </w:pPr>
      <w:r>
        <w:t>Waste discharge.</w:t>
      </w:r>
    </w:p>
    <w:p>
      <w:pPr>
        <w:pStyle w:val="ListBullet"/>
      </w:pPr>
      <w:r>
        <w:t>Failure of pollution-control or containment systems.</w:t>
      </w:r>
    </w:p>
    <w:p>
      <w:pPr>
        <w:pStyle w:val="Heading3"/>
      </w:pPr>
      <w:r>
        <w:t>5.5 Financial impact</w:t>
      </w:r>
    </w:p>
    <w:p>
      <w:r>
        <w:t>Evaluate:</w:t>
      </w:r>
    </w:p>
    <w:p>
      <w:pPr>
        <w:pStyle w:val="ListBullet"/>
      </w:pPr>
      <w:r>
        <w:t>Production-loss cost.</w:t>
      </w:r>
    </w:p>
    <w:p>
      <w:pPr>
        <w:pStyle w:val="ListBullet"/>
      </w:pPr>
      <w:r>
        <w:t>Repair cost.</w:t>
      </w:r>
    </w:p>
    <w:p>
      <w:pPr>
        <w:pStyle w:val="ListBullet"/>
      </w:pPr>
      <w:r>
        <w:t>Replacement cost.</w:t>
      </w:r>
    </w:p>
    <w:p>
      <w:pPr>
        <w:pStyle w:val="ListBullet"/>
      </w:pPr>
      <w:r>
        <w:t>Emergency procurement expense.</w:t>
      </w:r>
    </w:p>
    <w:p>
      <w:pPr>
        <w:pStyle w:val="ListBullet"/>
      </w:pPr>
      <w:r>
        <w:t>Scrap and rework cost.</w:t>
      </w:r>
    </w:p>
    <w:p>
      <w:pPr>
        <w:pStyle w:val="ListBullet"/>
      </w:pPr>
      <w:r>
        <w:t>Contractor or OEM support cost.</w:t>
      </w:r>
    </w:p>
    <w:p>
      <w:pPr>
        <w:pStyle w:val="ListBullet"/>
      </w:pPr>
      <w:r>
        <w:t>Consequences of extended downtime.</w:t>
      </w:r>
    </w:p>
    <w:p>
      <w:r>
        <w:t>Purchase price alone is not a sufficient criticality measure.</w:t>
      </w:r>
    </w:p>
    <w:p>
      <w:pPr>
        <w:pStyle w:val="Heading3"/>
      </w:pPr>
      <w:r>
        <w:t>5.6 Recovery and maintainability</w:t>
      </w:r>
    </w:p>
    <w:p>
      <w:r>
        <w:t>Assess:</w:t>
      </w:r>
    </w:p>
    <w:p>
      <w:pPr>
        <w:pStyle w:val="ListBullet"/>
      </w:pPr>
      <w:r>
        <w:t>Expected repair time.</w:t>
      </w:r>
    </w:p>
    <w:p>
      <w:pPr>
        <w:pStyle w:val="ListBullet"/>
      </w:pPr>
      <w:r>
        <w:t>Availability of qualified technicians.</w:t>
      </w:r>
    </w:p>
    <w:p>
      <w:pPr>
        <w:pStyle w:val="ListBullet"/>
      </w:pPr>
      <w:r>
        <w:t>Availability of technical documentation.</w:t>
      </w:r>
    </w:p>
    <w:p>
      <w:pPr>
        <w:pStyle w:val="ListBullet"/>
      </w:pPr>
      <w:r>
        <w:t>Availability of configuration backups.</w:t>
      </w:r>
    </w:p>
    <w:p>
      <w:pPr>
        <w:pStyle w:val="ListBullet"/>
      </w:pPr>
      <w:r>
        <w:t>OEM response time.</w:t>
      </w:r>
    </w:p>
    <w:p>
      <w:pPr>
        <w:pStyle w:val="ListBullet"/>
      </w:pPr>
      <w:r>
        <w:t>Obsolescence and replacement lead time.</w:t>
      </w:r>
    </w:p>
    <w:p>
      <w:pPr>
        <w:pStyle w:val="ListBullet"/>
      </w:pPr>
      <w:r>
        <w:t>Availability of suitable substitutes.</w:t>
      </w:r>
    </w:p>
    <w:p>
      <w:pPr>
        <w:pStyle w:val="ListBullet"/>
      </w:pPr>
      <w:r>
        <w:t>Time required for commissioning and validation.</w:t>
      </w:r>
    </w:p>
    <w:p>
      <w:r>
        <w:t>An asset with a moderate failure probability can be highly critical if recovery requires a specialist, an obsolete component, and several weeks of procurement.</w:t>
      </w:r>
    </w:p>
    <w:p>
      <w:pPr>
        <w:pStyle w:val="Heading3"/>
      </w:pPr>
      <w:r>
        <w:t>5.7 Redundancy and common-cause failure</w:t>
      </w:r>
    </w:p>
    <w:p>
      <w:r>
        <w:t>Determine whether a backup system genuinely protects the process.</w:t>
      </w:r>
    </w:p>
    <w:p>
      <w:r>
        <w:t>Questions include:</w:t>
      </w:r>
    </w:p>
    <w:p>
      <w:pPr>
        <w:pStyle w:val="ListBullet"/>
      </w:pPr>
      <w:r>
        <w:t>Is the standby equipment installed and ready?</w:t>
      </w:r>
    </w:p>
    <w:p>
      <w:pPr>
        <w:pStyle w:val="ListBullet"/>
      </w:pPr>
      <w:r>
        <w:t>Does changeover occur automatically or manually?</w:t>
      </w:r>
    </w:p>
    <w:p>
      <w:pPr>
        <w:pStyle w:val="ListBullet"/>
      </w:pPr>
      <w:r>
        <w:t>Is the backup tested periodically?</w:t>
      </w:r>
    </w:p>
    <w:p>
      <w:pPr>
        <w:pStyle w:val="ListBullet"/>
      </w:pPr>
      <w:r>
        <w:t>Does the backup share the same power supply?</w:t>
      </w:r>
    </w:p>
    <w:p>
      <w:pPr>
        <w:pStyle w:val="ListBullet"/>
      </w:pPr>
      <w:r>
        <w:t>Does it share the same network switch or communication path?</w:t>
      </w:r>
    </w:p>
    <w:p>
      <w:pPr>
        <w:pStyle w:val="ListBullet"/>
      </w:pPr>
      <w:r>
        <w:t>Could one environmental event disable both units?</w:t>
      </w:r>
    </w:p>
    <w:p>
      <w:pPr>
        <w:pStyle w:val="ListBullet"/>
      </w:pPr>
      <w:r>
        <w:t>Is sufficient capacity available when operating on the backup?</w:t>
      </w:r>
    </w:p>
    <w:p>
      <w:r>
        <w:t>Two devices do not provide effective redundancy if one shared component can disable both.</w:t>
      </w:r>
    </w:p>
    <w:p>
      <w:pPr>
        <w:pStyle w:val="Heading2"/>
      </w:pPr>
      <w:r>
        <w:t>6. Criticality Scoring Method</w:t>
      </w:r>
    </w:p>
    <w:p>
      <w:r>
        <w:t>An organization may use a weighted scoring model to compare assets consistently.</w:t>
      </w:r>
    </w:p>
    <w:p>
      <w:r>
        <w:t>For example, assign each factor a score from 1 to 5.</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Factor</w:t>
            </w:r>
          </w:p>
        </w:tc>
        <w:tc>
          <w:tcPr>
            <w:tcW w:type="dxa" w:w="2700"/>
            <w:shd w:val="clear" w:color="auto" w:fill="EEF2F7"/>
          </w:tcPr>
          <w:p>
            <w:pPr>
              <w:spacing w:after="0" w:before="0" w:line="240" w:lineRule="auto"/>
              <w:jc w:val="left"/>
            </w:pPr>
            <w:r>
              <w:rPr>
                <w:b/>
                <w:color w:val="1A2E4A"/>
              </w:rPr>
              <w:t>Score 1</w:t>
            </w:r>
          </w:p>
        </w:tc>
        <w:tc>
          <w:tcPr>
            <w:tcW w:type="dxa" w:w="2700"/>
            <w:shd w:val="clear" w:color="auto" w:fill="EEF2F7"/>
          </w:tcPr>
          <w:p>
            <w:pPr>
              <w:spacing w:after="0" w:before="0" w:line="240" w:lineRule="auto"/>
              <w:jc w:val="left"/>
            </w:pPr>
            <w:r>
              <w:rPr>
                <w:b/>
                <w:color w:val="1A2E4A"/>
              </w:rPr>
              <w:t>Score 3</w:t>
            </w:r>
          </w:p>
        </w:tc>
        <w:tc>
          <w:tcPr>
            <w:tcW w:type="dxa" w:w="2700"/>
            <w:shd w:val="clear" w:color="auto" w:fill="EEF2F7"/>
          </w:tcPr>
          <w:p>
            <w:pPr>
              <w:spacing w:after="0" w:before="0" w:line="240" w:lineRule="auto"/>
              <w:jc w:val="left"/>
            </w:pPr>
            <w:r>
              <w:rPr>
                <w:b/>
                <w:color w:val="1A2E4A"/>
              </w:rPr>
              <w:t>Score 5</w:t>
            </w:r>
          </w:p>
        </w:tc>
      </w:tr>
      <w:tr>
        <w:tc>
          <w:tcPr>
            <w:tcW w:type="dxa" w:w="2700"/>
          </w:tcPr>
          <w:p>
            <w:pPr>
              <w:spacing w:after="0" w:before="0" w:line="240" w:lineRule="auto"/>
              <w:jc w:val="left"/>
            </w:pPr>
            <w:r>
              <w:t>Safety consequence</w:t>
            </w:r>
          </w:p>
        </w:tc>
        <w:tc>
          <w:tcPr>
            <w:tcW w:type="dxa" w:w="2700"/>
          </w:tcPr>
          <w:p>
            <w:pPr>
              <w:spacing w:after="0" w:before="0" w:line="240" w:lineRule="auto"/>
              <w:jc w:val="left"/>
            </w:pPr>
            <w:r>
              <w:t>Negligible credible impact</w:t>
            </w:r>
          </w:p>
        </w:tc>
        <w:tc>
          <w:tcPr>
            <w:tcW w:type="dxa" w:w="2700"/>
          </w:tcPr>
          <w:p>
            <w:pPr>
              <w:spacing w:after="0" w:before="0" w:line="240" w:lineRule="auto"/>
              <w:jc w:val="left"/>
            </w:pPr>
            <w:r>
              <w:t>Moderate hazard or consequence</w:t>
            </w:r>
          </w:p>
        </w:tc>
        <w:tc>
          <w:tcPr>
            <w:tcW w:type="dxa" w:w="2700"/>
          </w:tcPr>
          <w:p>
            <w:pPr>
              <w:spacing w:after="0" w:before="0" w:line="240" w:lineRule="auto"/>
              <w:jc w:val="left"/>
            </w:pPr>
            <w:r>
              <w:t>Potential for severe injury or major safety consequence</w:t>
            </w:r>
          </w:p>
        </w:tc>
      </w:tr>
      <w:tr>
        <w:tc>
          <w:tcPr>
            <w:tcW w:type="dxa" w:w="2700"/>
          </w:tcPr>
          <w:p>
            <w:pPr>
              <w:spacing w:after="0" w:before="0" w:line="240" w:lineRule="auto"/>
              <w:jc w:val="left"/>
            </w:pPr>
            <w:r>
              <w:t>Production impact</w:t>
            </w:r>
          </w:p>
        </w:tc>
        <w:tc>
          <w:tcPr>
            <w:tcW w:type="dxa" w:w="2700"/>
          </w:tcPr>
          <w:p>
            <w:pPr>
              <w:spacing w:after="0" w:before="0" w:line="240" w:lineRule="auto"/>
              <w:jc w:val="left"/>
            </w:pPr>
            <w:r>
              <w:t>Negligible interruption</w:t>
            </w:r>
          </w:p>
        </w:tc>
        <w:tc>
          <w:tcPr>
            <w:tcW w:type="dxa" w:w="2700"/>
          </w:tcPr>
          <w:p>
            <w:pPr>
              <w:spacing w:after="0" w:before="0" w:line="240" w:lineRule="auto"/>
              <w:jc w:val="left"/>
            </w:pPr>
            <w:r>
              <w:t>Significant local disruption</w:t>
            </w:r>
          </w:p>
        </w:tc>
        <w:tc>
          <w:tcPr>
            <w:tcW w:type="dxa" w:w="2700"/>
          </w:tcPr>
          <w:p>
            <w:pPr>
              <w:spacing w:after="0" w:before="0" w:line="240" w:lineRule="auto"/>
              <w:jc w:val="left"/>
            </w:pPr>
            <w:r>
              <w:t>Major line or plant stoppage</w:t>
            </w:r>
          </w:p>
        </w:tc>
      </w:tr>
      <w:tr>
        <w:tc>
          <w:tcPr>
            <w:tcW w:type="dxa" w:w="2700"/>
          </w:tcPr>
          <w:p>
            <w:pPr>
              <w:spacing w:after="0" w:before="0" w:line="240" w:lineRule="auto"/>
              <w:jc w:val="left"/>
            </w:pPr>
            <w:r>
              <w:t>Quality impact</w:t>
            </w:r>
          </w:p>
        </w:tc>
        <w:tc>
          <w:tcPr>
            <w:tcW w:type="dxa" w:w="2700"/>
          </w:tcPr>
          <w:p>
            <w:pPr>
              <w:spacing w:after="0" w:before="0" w:line="240" w:lineRule="auto"/>
              <w:jc w:val="left"/>
            </w:pPr>
            <w:r>
              <w:t>Minimal quality consequence</w:t>
            </w:r>
          </w:p>
        </w:tc>
        <w:tc>
          <w:tcPr>
            <w:tcW w:type="dxa" w:w="2700"/>
          </w:tcPr>
          <w:p>
            <w:pPr>
              <w:spacing w:after="0" w:before="0" w:line="240" w:lineRule="auto"/>
              <w:jc w:val="left"/>
            </w:pPr>
            <w:r>
              <w:t>Rework or contained defects</w:t>
            </w:r>
          </w:p>
        </w:tc>
        <w:tc>
          <w:tcPr>
            <w:tcW w:type="dxa" w:w="2700"/>
          </w:tcPr>
          <w:p>
            <w:pPr>
              <w:spacing w:after="0" w:before="0" w:line="240" w:lineRule="auto"/>
              <w:jc w:val="left"/>
            </w:pPr>
            <w:r>
              <w:t>Major quality escape or invalid acceptance</w:t>
            </w:r>
          </w:p>
        </w:tc>
      </w:tr>
      <w:tr>
        <w:tc>
          <w:tcPr>
            <w:tcW w:type="dxa" w:w="2700"/>
          </w:tcPr>
          <w:p>
            <w:pPr>
              <w:spacing w:after="0" w:before="0" w:line="240" w:lineRule="auto"/>
              <w:jc w:val="left"/>
            </w:pPr>
            <w:r>
              <w:t>Environmental impact</w:t>
            </w:r>
          </w:p>
        </w:tc>
        <w:tc>
          <w:tcPr>
            <w:tcW w:type="dxa" w:w="2700"/>
          </w:tcPr>
          <w:p>
            <w:pPr>
              <w:spacing w:after="0" w:before="0" w:line="240" w:lineRule="auto"/>
              <w:jc w:val="left"/>
            </w:pPr>
            <w:r>
              <w:t>Negligible</w:t>
            </w:r>
          </w:p>
        </w:tc>
        <w:tc>
          <w:tcPr>
            <w:tcW w:type="dxa" w:w="2700"/>
          </w:tcPr>
          <w:p>
            <w:pPr>
              <w:spacing w:after="0" w:before="0" w:line="240" w:lineRule="auto"/>
              <w:jc w:val="left"/>
            </w:pPr>
            <w:r>
              <w:t>Contained or moderate impact</w:t>
            </w:r>
          </w:p>
        </w:tc>
        <w:tc>
          <w:tcPr>
            <w:tcW w:type="dxa" w:w="2700"/>
          </w:tcPr>
          <w:p>
            <w:pPr>
              <w:spacing w:after="0" w:before="0" w:line="240" w:lineRule="auto"/>
              <w:jc w:val="left"/>
            </w:pPr>
            <w:r>
              <w:t>Major environmental consequence</w:t>
            </w:r>
          </w:p>
        </w:tc>
      </w:tr>
      <w:tr>
        <w:tc>
          <w:tcPr>
            <w:tcW w:type="dxa" w:w="2700"/>
          </w:tcPr>
          <w:p>
            <w:pPr>
              <w:spacing w:after="0" w:before="0" w:line="240" w:lineRule="auto"/>
              <w:jc w:val="left"/>
            </w:pPr>
            <w:r>
              <w:t>Recovery difficulty</w:t>
            </w:r>
          </w:p>
        </w:tc>
        <w:tc>
          <w:tcPr>
            <w:tcW w:type="dxa" w:w="2700"/>
          </w:tcPr>
          <w:p>
            <w:pPr>
              <w:spacing w:after="0" w:before="0" w:line="240" w:lineRule="auto"/>
              <w:jc w:val="left"/>
            </w:pPr>
            <w:r>
              <w:t>Simple rapid restoration</w:t>
            </w:r>
          </w:p>
        </w:tc>
        <w:tc>
          <w:tcPr>
            <w:tcW w:type="dxa" w:w="2700"/>
          </w:tcPr>
          <w:p>
            <w:pPr>
              <w:spacing w:after="0" w:before="0" w:line="240" w:lineRule="auto"/>
              <w:jc w:val="left"/>
            </w:pPr>
            <w:r>
              <w:t>Specialist work or moderate delay</w:t>
            </w:r>
          </w:p>
        </w:tc>
        <w:tc>
          <w:tcPr>
            <w:tcW w:type="dxa" w:w="2700"/>
          </w:tcPr>
          <w:p>
            <w:pPr>
              <w:spacing w:after="0" w:before="0" w:line="240" w:lineRule="auto"/>
              <w:jc w:val="left"/>
            </w:pPr>
            <w:r>
              <w:t>Extended outage or difficult restoration</w:t>
            </w:r>
          </w:p>
        </w:tc>
      </w:tr>
      <w:tr>
        <w:tc>
          <w:tcPr>
            <w:tcW w:type="dxa" w:w="2700"/>
          </w:tcPr>
          <w:p>
            <w:pPr>
              <w:spacing w:after="0" w:before="0" w:line="240" w:lineRule="auto"/>
              <w:jc w:val="left"/>
            </w:pPr>
            <w:r>
              <w:t>Redundancy weakness</w:t>
            </w:r>
          </w:p>
        </w:tc>
        <w:tc>
          <w:tcPr>
            <w:tcW w:type="dxa" w:w="2700"/>
          </w:tcPr>
          <w:p>
            <w:pPr>
              <w:spacing w:after="0" w:before="0" w:line="240" w:lineRule="auto"/>
              <w:jc w:val="left"/>
            </w:pPr>
            <w:r>
              <w:t>Effective tested backup</w:t>
            </w:r>
          </w:p>
        </w:tc>
        <w:tc>
          <w:tcPr>
            <w:tcW w:type="dxa" w:w="2700"/>
          </w:tcPr>
          <w:p>
            <w:pPr>
              <w:spacing w:after="0" w:before="0" w:line="240" w:lineRule="auto"/>
              <w:jc w:val="left"/>
            </w:pPr>
            <w:r>
              <w:t>Partial or limited backup</w:t>
            </w:r>
          </w:p>
        </w:tc>
        <w:tc>
          <w:tcPr>
            <w:tcW w:type="dxa" w:w="2700"/>
          </w:tcPr>
          <w:p>
            <w:pPr>
              <w:spacing w:after="0" w:before="0" w:line="240" w:lineRule="auto"/>
              <w:jc w:val="left"/>
            </w:pPr>
            <w:r>
              <w:t>No effective backup for a major consequence</w:t>
            </w:r>
          </w:p>
        </w:tc>
      </w:tr>
    </w:tbl>
    <w:p/>
    <w:p>
      <w:r>
        <w:t>These descriptions are examples, not universal rating definitions. The organization must define precise scoring criteria and evidence requirements before applying the model.</w:t>
      </w:r>
    </w:p>
    <w:p>
      <w:pPr>
        <w:pStyle w:val="Heading3"/>
      </w:pPr>
      <w:r>
        <w:t>Example weighted score</w:t>
      </w:r>
    </w:p>
    <w:p>
      <w:r>
        <w:t>Suppose the approved model uses the following weights: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Safety</w:t>
            </w:r>
          </w:p>
        </w:tc>
        <w:tc>
          <w:tcPr>
            <w:tcW w:type="dxa" w:w="5400"/>
          </w:tcPr>
          <w:p>
            <w:pPr>
              <w:spacing w:after="0" w:before="0" w:line="240" w:lineRule="auto"/>
              <w:jc w:val="left"/>
            </w:pPr>
            <w:r>
              <w:t>30%</w:t>
            </w:r>
          </w:p>
        </w:tc>
      </w:tr>
      <w:tr>
        <w:tc>
          <w:tcPr>
            <w:tcW w:type="dxa" w:w="5400"/>
          </w:tcPr>
          <w:p>
            <w:pPr>
              <w:spacing w:after="0" w:before="0" w:line="240" w:lineRule="auto"/>
              <w:jc w:val="left"/>
            </w:pPr>
            <w:r>
              <w:t>Production</w:t>
            </w:r>
          </w:p>
        </w:tc>
        <w:tc>
          <w:tcPr>
            <w:tcW w:type="dxa" w:w="5400"/>
          </w:tcPr>
          <w:p>
            <w:pPr>
              <w:spacing w:after="0" w:before="0" w:line="240" w:lineRule="auto"/>
              <w:jc w:val="left"/>
            </w:pPr>
            <w:r>
              <w:t>25%</w:t>
            </w:r>
          </w:p>
        </w:tc>
      </w:tr>
      <w:tr>
        <w:tc>
          <w:tcPr>
            <w:tcW w:type="dxa" w:w="5400"/>
          </w:tcPr>
          <w:p>
            <w:pPr>
              <w:spacing w:after="0" w:before="0" w:line="240" w:lineRule="auto"/>
              <w:jc w:val="left"/>
            </w:pPr>
            <w:r>
              <w:t>Quality</w:t>
            </w:r>
          </w:p>
        </w:tc>
        <w:tc>
          <w:tcPr>
            <w:tcW w:type="dxa" w:w="5400"/>
          </w:tcPr>
          <w:p>
            <w:pPr>
              <w:spacing w:after="0" w:before="0" w:line="240" w:lineRule="auto"/>
              <w:jc w:val="left"/>
            </w:pPr>
            <w:r>
              <w:t>20%</w:t>
            </w:r>
          </w:p>
        </w:tc>
      </w:tr>
      <w:tr>
        <w:tc>
          <w:tcPr>
            <w:tcW w:type="dxa" w:w="5400"/>
          </w:tcPr>
          <w:p>
            <w:pPr>
              <w:spacing w:after="0" w:before="0" w:line="240" w:lineRule="auto"/>
              <w:jc w:val="left"/>
            </w:pPr>
            <w:r>
              <w:t>Environmental impact</w:t>
            </w:r>
          </w:p>
        </w:tc>
        <w:tc>
          <w:tcPr>
            <w:tcW w:type="dxa" w:w="5400"/>
          </w:tcPr>
          <w:p>
            <w:pPr>
              <w:spacing w:after="0" w:before="0" w:line="240" w:lineRule="auto"/>
              <w:jc w:val="left"/>
            </w:pPr>
            <w:r>
              <w:t>10%</w:t>
            </w:r>
          </w:p>
        </w:tc>
      </w:tr>
      <w:tr>
        <w:tc>
          <w:tcPr>
            <w:tcW w:type="dxa" w:w="5400"/>
          </w:tcPr>
          <w:p>
            <w:pPr>
              <w:spacing w:after="0" w:before="0" w:line="240" w:lineRule="auto"/>
              <w:jc w:val="left"/>
            </w:pPr>
            <w:r>
              <w:t>Recovery difficulty</w:t>
            </w:r>
          </w:p>
        </w:tc>
        <w:tc>
          <w:tcPr>
            <w:tcW w:type="dxa" w:w="5400"/>
          </w:tcPr>
          <w:p>
            <w:pPr>
              <w:spacing w:after="0" w:before="0" w:line="240" w:lineRule="auto"/>
              <w:jc w:val="left"/>
            </w:pPr>
            <w:r>
              <w:t>10%</w:t>
            </w:r>
          </w:p>
        </w:tc>
      </w:tr>
      <w:tr>
        <w:tc>
          <w:tcPr>
            <w:tcW w:type="dxa" w:w="5400"/>
          </w:tcPr>
          <w:p>
            <w:pPr>
              <w:spacing w:after="0" w:before="0" w:line="240" w:lineRule="auto"/>
              <w:jc w:val="left"/>
            </w:pPr>
            <w:r>
              <w:t>Redundancy weakness</w:t>
            </w:r>
          </w:p>
        </w:tc>
        <w:tc>
          <w:tcPr>
            <w:tcW w:type="dxa" w:w="5400"/>
          </w:tcPr>
          <w:p>
            <w:pPr>
              <w:spacing w:after="0" w:before="0" w:line="240" w:lineRule="auto"/>
              <w:jc w:val="left"/>
            </w:pPr>
            <w:r>
              <w:t>5%</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 weighted score is:</w:t>
      </w:r>
    </w:p>
    <w:p>
      <w:pPr>
        <w:spacing w:before="120" w:after="160"/>
        <w:jc w:val="center"/>
      </w:pPr>
      <m:oMathPara>
        <m:oMath>
          <m:r>
            <m:t>C=</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Where:</w:t>
      </w:r>
    </w:p>
    <w:p>
      <w:pPr>
        <w:pStyle w:val="ListBullet"/>
      </w:pPr>
      <m:oMath>
        <m:r>
          <m:t>C</m:t>
        </m:r>
      </m:oMath>
      <w:r>
        <w:t xml:space="preserve"> = weighted criticality score.</w:t>
      </w:r>
    </w:p>
    <w:p>
      <w:pPr>
        <w:pStyle w:val="ListBullet"/>
      </w:pPr>
      <m:oMath>
        <m:sSub>
          <m:e>
            <m:r>
              <m:t>w</m:t>
            </m:r>
          </m:e>
          <m:sub>
            <m:r>
              <m:t>i</m:t>
            </m:r>
          </m:sub>
        </m:sSub>
      </m:oMath>
      <w:r>
        <w:t xml:space="preserve"> = normalized weight for factor </w:t>
      </w:r>
      <m:oMath>
        <m:r>
          <m:t>i</m:t>
        </m:r>
      </m:oMath>
      <w:r>
        <w:t>.</w:t>
      </w:r>
    </w:p>
    <w:p>
      <w:pPr>
        <w:pStyle w:val="ListBullet"/>
      </w:pPr>
      <m:oMath>
        <m:sSub>
          <m:e>
            <m:r>
              <m:t>s</m:t>
            </m:r>
          </m:e>
          <m:sub>
            <m:r>
              <m:t>i</m:t>
            </m:r>
          </m:sub>
        </m:sSub>
      </m:oMath>
      <w:r>
        <w:t xml:space="preserve"> = score assigned to factor </w:t>
      </w:r>
      <m:oMath>
        <m:r>
          <m:t>i</m:t>
        </m:r>
      </m:oMath>
      <w:r>
        <w:t>.</w:t>
      </w:r>
    </w:p>
    <w:p>
      <w:pPr>
        <w:pStyle w:val="ListBullet"/>
      </w:pPr>
      <w:r>
        <w:t>The sum of all normalized weights equals 1.</w:t>
      </w:r>
    </w:p>
    <w:p>
      <w:r>
        <w:t>Suppose an asset receives scores of 5, 5, 4, 2, 4, and 5, respectively.</w:t>
      </w:r>
    </w:p>
    <w:p>
      <w:pPr>
        <w:spacing w:before="120" w:after="160"/>
        <w:jc w:val="center"/>
      </w:pPr>
      <m:oMathPara>
        <m:oMath>
          <m:r>
            <m:t>C=(0.30×5)+(0.25×5)+(0.20×4)</m:t>
          </m:r>
        </m:oMath>
      </m:oMathPara>
    </w:p>
    <w:p>
      <w:pPr>
        <w:spacing w:before="120" w:after="160"/>
        <w:jc w:val="center"/>
      </w:pPr>
      <m:oMathPara>
        <m:oMath>
          <m:r>
            <m:t>+(0.10×2)+(0.10×4)+(0.05×5)</m:t>
          </m:r>
        </m:oMath>
      </m:oMathPara>
    </w:p>
    <w:p>
      <w:pPr>
        <w:spacing w:before="120" w:after="160"/>
        <w:jc w:val="center"/>
      </w:pPr>
      <m:oMathPara>
        <m:oMath>
          <m:r>
            <m:t>C=4.35</m:t>
          </m:r>
        </m:oMath>
      </m:oMathPara>
    </w:p>
    <w:p>
      <w:r>
        <w:t>The asset's weighted score is 4.35 out of 5.</w:t>
      </w:r>
    </w:p>
    <w:p>
      <w:r>
        <w:t>An organization could classify assets into criticality bands using approved thresholds. Those thresholds must be defined locally and should not be treated as industry-wide standards.</w:t>
      </w:r>
    </w:p>
    <w:p>
      <w:r>
        <w:t>Safety override: If an asset is associated with a legally required or risk-critical protective function, the applicable safety requirements take precedence over an ordinary weighted score.</w:t>
      </w:r>
    </w:p>
    <w:p>
      <w:pPr>
        <w:pStyle w:val="Heading2"/>
      </w:pPr>
      <w:r>
        <w:t>7. Example Criticality Classification</w:t>
      </w:r>
    </w:p>
    <w:p>
      <w:r>
        <w:t>A practical register may use three broad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maintenance approach</w:t>
            </w:r>
          </w:p>
        </w:tc>
      </w:tr>
      <w:tr>
        <w:tc>
          <w:tcPr>
            <w:tcW w:type="dxa" w:w="3600"/>
          </w:tcPr>
          <w:p>
            <w:pPr>
              <w:spacing w:after="0" w:before="0" w:line="240" w:lineRule="auto"/>
              <w:jc w:val="left"/>
            </w:pPr>
            <w:r>
              <w:t>A - Critical</w:t>
            </w:r>
          </w:p>
        </w:tc>
        <w:tc>
          <w:tcPr>
            <w:tcW w:type="dxa" w:w="3600"/>
          </w:tcPr>
          <w:p>
            <w:pPr>
              <w:spacing w:after="0" w:before="0" w:line="240" w:lineRule="auto"/>
              <w:jc w:val="left"/>
            </w:pPr>
            <w:r>
              <w:t>Failure could cause severe safety, production, quality, or business consequences</w:t>
            </w:r>
          </w:p>
        </w:tc>
        <w:tc>
          <w:tcPr>
            <w:tcW w:type="dxa" w:w="3600"/>
          </w:tcPr>
          <w:p>
            <w:pPr>
              <w:spacing w:after="0" w:before="0" w:line="240" w:lineRule="auto"/>
              <w:jc w:val="left"/>
            </w:pPr>
            <w:r>
              <w:t>Risk-based PM, condition monitoring where applicable, strong recovery planning, critical-spares review</w:t>
            </w:r>
          </w:p>
        </w:tc>
      </w:tr>
      <w:tr>
        <w:tc>
          <w:tcPr>
            <w:tcW w:type="dxa" w:w="3600"/>
          </w:tcPr>
          <w:p>
            <w:pPr>
              <w:spacing w:after="0" w:before="0" w:line="240" w:lineRule="auto"/>
              <w:jc w:val="left"/>
            </w:pPr>
            <w:r>
              <w:t>B - Important</w:t>
            </w:r>
          </w:p>
        </w:tc>
        <w:tc>
          <w:tcPr>
            <w:tcW w:type="dxa" w:w="3600"/>
          </w:tcPr>
          <w:p>
            <w:pPr>
              <w:spacing w:after="0" w:before="0" w:line="240" w:lineRule="auto"/>
              <w:jc w:val="left"/>
            </w:pPr>
            <w:r>
              <w:t>Failure causes meaningful but manageable operational impact</w:t>
            </w:r>
          </w:p>
        </w:tc>
        <w:tc>
          <w:tcPr>
            <w:tcW w:type="dxa" w:w="3600"/>
          </w:tcPr>
          <w:p>
            <w:pPr>
              <w:spacing w:after="0" w:before="0" w:line="240" w:lineRule="auto"/>
              <w:jc w:val="left"/>
            </w:pPr>
            <w:r>
              <w:t>Planned maintenance, routine inspection, defined repair strategy</w:t>
            </w:r>
          </w:p>
        </w:tc>
      </w:tr>
      <w:tr>
        <w:tc>
          <w:tcPr>
            <w:tcW w:type="dxa" w:w="3600"/>
          </w:tcPr>
          <w:p>
            <w:pPr>
              <w:spacing w:after="0" w:before="0" w:line="240" w:lineRule="auto"/>
              <w:jc w:val="left"/>
            </w:pPr>
            <w:r>
              <w:t>C - General</w:t>
            </w:r>
          </w:p>
        </w:tc>
        <w:tc>
          <w:tcPr>
            <w:tcW w:type="dxa" w:w="3600"/>
          </w:tcPr>
          <w:p>
            <w:pPr>
              <w:spacing w:after="0" w:before="0" w:line="240" w:lineRule="auto"/>
              <w:jc w:val="left"/>
            </w:pPr>
            <w:r>
              <w:t>Failure has limited consequence and relatively simple recovery</w:t>
            </w:r>
          </w:p>
        </w:tc>
        <w:tc>
          <w:tcPr>
            <w:tcW w:type="dxa" w:w="3600"/>
          </w:tcPr>
          <w:p>
            <w:pPr>
              <w:spacing w:after="0" w:before="0" w:line="240" w:lineRule="auto"/>
              <w:jc w:val="left"/>
            </w:pPr>
            <w:r>
              <w:t>Standard maintenance, run-to-failure where technically and operationally justified</w:t>
            </w:r>
          </w:p>
        </w:tc>
      </w:tr>
    </w:tbl>
    <w:p/>
    <w:p>
      <w:r>
        <w:t>The labels A, B, and C are a common organizational convention, not a universal requirement.</w:t>
      </w:r>
    </w:p>
    <w:p>
      <w:r>
        <w:t>A criticality class should never be assigned only from the equipment name. Two identical VFDs may have different criticality if one drives a bottleneck machine and the other drives a nonessential auxiliary conveyor.</w:t>
      </w:r>
    </w:p>
    <w:p>
      <w:pPr>
        <w:pStyle w:val="Heading2"/>
      </w:pPr>
      <w:r>
        <w:t>8. Critical Equipment List Structure</w:t>
      </w:r>
    </w:p>
    <w:p>
      <w:r>
        <w:t>The list should be maintained as a controlled register, preferably linked to the plant's asset master and maintenance records.</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Criticality ID</w:t>
            </w:r>
          </w:p>
        </w:tc>
        <w:tc>
          <w:tcPr>
            <w:tcW w:type="dxa" w:w="5400"/>
          </w:tcPr>
          <w:p>
            <w:pPr>
              <w:spacing w:after="0" w:before="0" w:line="240" w:lineRule="auto"/>
              <w:jc w:val="left"/>
            </w:pPr>
            <w:r>
              <w:t>Unique register record identifier</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plant equipment identifier</w:t>
            </w:r>
          </w:p>
        </w:tc>
      </w:tr>
      <w:tr>
        <w:tc>
          <w:tcPr>
            <w:tcW w:type="dxa" w:w="5400"/>
          </w:tcPr>
          <w:p>
            <w:pPr>
              <w:spacing w:after="0" w:before="0" w:line="240" w:lineRule="auto"/>
              <w:jc w:val="left"/>
            </w:pPr>
            <w:r>
              <w:t>Equipment name</w:t>
            </w:r>
          </w:p>
        </w:tc>
        <w:tc>
          <w:tcPr>
            <w:tcW w:type="dxa" w:w="5400"/>
          </w:tcPr>
          <w:p>
            <w:pPr>
              <w:spacing w:after="0" w:before="0" w:line="240" w:lineRule="auto"/>
              <w:jc w:val="left"/>
            </w:pPr>
            <w:r>
              <w:t>Standard equipment description</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Plant, line, cell, or installation location</w:t>
            </w:r>
          </w:p>
        </w:tc>
      </w:tr>
      <w:tr>
        <w:tc>
          <w:tcPr>
            <w:tcW w:type="dxa" w:w="5400"/>
          </w:tcPr>
          <w:p>
            <w:pPr>
              <w:spacing w:after="0" w:before="0" w:line="240" w:lineRule="auto"/>
              <w:jc w:val="left"/>
            </w:pPr>
            <w:r>
              <w:t>System or subsystem</w:t>
            </w:r>
          </w:p>
        </w:tc>
        <w:tc>
          <w:tcPr>
            <w:tcW w:type="dxa" w:w="5400"/>
          </w:tcPr>
          <w:p>
            <w:pPr>
              <w:spacing w:after="0" w:before="0" w:line="240" w:lineRule="auto"/>
              <w:jc w:val="left"/>
            </w:pPr>
            <w:r>
              <w:t>Parent process or equipment group</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equipment manufacturer</w:t>
            </w:r>
          </w:p>
        </w:tc>
      </w:tr>
      <w:tr>
        <w:tc>
          <w:tcPr>
            <w:tcW w:type="dxa" w:w="5400"/>
          </w:tcPr>
          <w:p>
            <w:pPr>
              <w:spacing w:after="0" w:before="0" w:line="240" w:lineRule="auto"/>
              <w:jc w:val="left"/>
            </w:pPr>
            <w:r>
              <w:t>Model and type</w:t>
            </w:r>
          </w:p>
        </w:tc>
        <w:tc>
          <w:tcPr>
            <w:tcW w:type="dxa" w:w="5400"/>
          </w:tcPr>
          <w:p>
            <w:pPr>
              <w:spacing w:after="0" w:before="0" w:line="240" w:lineRule="auto"/>
              <w:jc w:val="left"/>
            </w:pPr>
            <w:r>
              <w:t>Equipment identification</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Specific installed unit identification</w:t>
            </w:r>
          </w:p>
        </w:tc>
      </w:tr>
      <w:tr>
        <w:tc>
          <w:tcPr>
            <w:tcW w:type="dxa" w:w="5400"/>
          </w:tcPr>
          <w:p>
            <w:pPr>
              <w:spacing w:after="0" w:before="0" w:line="240" w:lineRule="auto"/>
              <w:jc w:val="left"/>
            </w:pPr>
            <w:r>
              <w:t>Equipment function</w:t>
            </w:r>
          </w:p>
        </w:tc>
        <w:tc>
          <w:tcPr>
            <w:tcW w:type="dxa" w:w="5400"/>
          </w:tcPr>
          <w:p>
            <w:pPr>
              <w:spacing w:after="0" w:before="0" w:line="240" w:lineRule="auto"/>
              <w:jc w:val="left"/>
            </w:pPr>
            <w:r>
              <w:t>Purpose within the process</w:t>
            </w:r>
          </w:p>
        </w:tc>
      </w:tr>
      <w:tr>
        <w:tc>
          <w:tcPr>
            <w:tcW w:type="dxa" w:w="5400"/>
          </w:tcPr>
          <w:p>
            <w:pPr>
              <w:spacing w:after="0" w:before="0" w:line="240" w:lineRule="auto"/>
              <w:jc w:val="left"/>
            </w:pPr>
            <w:r>
              <w:t>Criticality class</w:t>
            </w:r>
          </w:p>
        </w:tc>
        <w:tc>
          <w:tcPr>
            <w:tcW w:type="dxa" w:w="5400"/>
          </w:tcPr>
          <w:p>
            <w:pPr>
              <w:spacing w:after="0" w:before="0" w:line="240" w:lineRule="auto"/>
              <w:jc w:val="left"/>
            </w:pPr>
            <w:r>
              <w:t>Approved category</w:t>
            </w:r>
          </w:p>
        </w:tc>
      </w:tr>
      <w:tr>
        <w:tc>
          <w:tcPr>
            <w:tcW w:type="dxa" w:w="5400"/>
          </w:tcPr>
          <w:p>
            <w:pPr>
              <w:spacing w:after="0" w:before="0" w:line="240" w:lineRule="auto"/>
              <w:jc w:val="left"/>
            </w:pPr>
            <w:r>
              <w:t>Criticality score</w:t>
            </w:r>
          </w:p>
        </w:tc>
        <w:tc>
          <w:tcPr>
            <w:tcW w:type="dxa" w:w="5400"/>
          </w:tcPr>
          <w:p>
            <w:pPr>
              <w:spacing w:after="0" w:before="0" w:line="240" w:lineRule="auto"/>
              <w:jc w:val="left"/>
            </w:pPr>
            <w:r>
              <w:t>Result of the approved scoring method</w:t>
            </w:r>
          </w:p>
        </w:tc>
      </w:tr>
      <w:tr>
        <w:tc>
          <w:tcPr>
            <w:tcW w:type="dxa" w:w="5400"/>
          </w:tcPr>
          <w:p>
            <w:pPr>
              <w:spacing w:after="0" w:before="0" w:line="240" w:lineRule="auto"/>
              <w:jc w:val="left"/>
            </w:pPr>
            <w:r>
              <w:t>Safety relevance</w:t>
            </w:r>
          </w:p>
        </w:tc>
        <w:tc>
          <w:tcPr>
            <w:tcW w:type="dxa" w:w="5400"/>
          </w:tcPr>
          <w:p>
            <w:pPr>
              <w:spacing w:after="0" w:before="0" w:line="240" w:lineRule="auto"/>
              <w:jc w:val="left"/>
            </w:pPr>
            <w:r>
              <w:t>Associated hazard or protective function</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Consequence of equipment failure</w:t>
            </w:r>
          </w:p>
        </w:tc>
      </w:tr>
      <w:tr>
        <w:tc>
          <w:tcPr>
            <w:tcW w:type="dxa" w:w="5400"/>
          </w:tcPr>
          <w:p>
            <w:pPr>
              <w:spacing w:after="0" w:before="0" w:line="240" w:lineRule="auto"/>
              <w:jc w:val="left"/>
            </w:pPr>
            <w:r>
              <w:t>Quality impact</w:t>
            </w:r>
          </w:p>
        </w:tc>
        <w:tc>
          <w:tcPr>
            <w:tcW w:type="dxa" w:w="5400"/>
          </w:tcPr>
          <w:p>
            <w:pPr>
              <w:spacing w:after="0" w:before="0" w:line="240" w:lineRule="auto"/>
              <w:jc w:val="left"/>
            </w:pPr>
            <w:r>
              <w:t>Effect on product conformity or test validity</w:t>
            </w:r>
          </w:p>
        </w:tc>
      </w:tr>
      <w:tr>
        <w:tc>
          <w:tcPr>
            <w:tcW w:type="dxa" w:w="5400"/>
          </w:tcPr>
          <w:p>
            <w:pPr>
              <w:spacing w:after="0" w:before="0" w:line="240" w:lineRule="auto"/>
              <w:jc w:val="left"/>
            </w:pPr>
            <w:r>
              <w:t>Environmental impact</w:t>
            </w:r>
          </w:p>
        </w:tc>
        <w:tc>
          <w:tcPr>
            <w:tcW w:type="dxa" w:w="5400"/>
          </w:tcPr>
          <w:p>
            <w:pPr>
              <w:spacing w:after="0" w:before="0" w:line="240" w:lineRule="auto"/>
              <w:jc w:val="left"/>
            </w:pPr>
            <w:r>
              <w:t>Credible environmental consequence</w:t>
            </w:r>
          </w:p>
        </w:tc>
      </w:tr>
      <w:tr>
        <w:tc>
          <w:tcPr>
            <w:tcW w:type="dxa" w:w="5400"/>
          </w:tcPr>
          <w:p>
            <w:pPr>
              <w:spacing w:after="0" w:before="0" w:line="240" w:lineRule="auto"/>
              <w:jc w:val="left"/>
            </w:pPr>
            <w:r>
              <w:t>Redundancy status</w:t>
            </w:r>
          </w:p>
        </w:tc>
        <w:tc>
          <w:tcPr>
            <w:tcW w:type="dxa" w:w="5400"/>
          </w:tcPr>
          <w:p>
            <w:pPr>
              <w:spacing w:after="0" w:before="0" w:line="240" w:lineRule="auto"/>
              <w:jc w:val="left"/>
            </w:pPr>
            <w:r>
              <w:t>Installed and verified backup arrangement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Important credible failure mechanisms</w:t>
            </w:r>
          </w:p>
        </w:tc>
      </w:tr>
      <w:tr>
        <w:tc>
          <w:tcPr>
            <w:tcW w:type="dxa" w:w="5400"/>
          </w:tcPr>
          <w:p>
            <w:pPr>
              <w:spacing w:after="0" w:before="0" w:line="240" w:lineRule="auto"/>
              <w:jc w:val="left"/>
            </w:pPr>
            <w:r>
              <w:t>Maintenance strategy</w:t>
            </w:r>
          </w:p>
        </w:tc>
        <w:tc>
          <w:tcPr>
            <w:tcW w:type="dxa" w:w="5400"/>
          </w:tcPr>
          <w:p>
            <w:pPr>
              <w:spacing w:after="0" w:before="0" w:line="240" w:lineRule="auto"/>
              <w:jc w:val="left"/>
            </w:pPr>
            <w:r>
              <w:t>PM, condition monitoring, inspection, or justified alternative</w:t>
            </w:r>
          </w:p>
        </w:tc>
      </w:tr>
      <w:tr>
        <w:tc>
          <w:tcPr>
            <w:tcW w:type="dxa" w:w="5400"/>
          </w:tcPr>
          <w:p>
            <w:pPr>
              <w:spacing w:after="0" w:before="0" w:line="240" w:lineRule="auto"/>
              <w:jc w:val="left"/>
            </w:pPr>
            <w:r>
              <w:t>Recovery requirement</w:t>
            </w:r>
          </w:p>
        </w:tc>
        <w:tc>
          <w:tcPr>
            <w:tcW w:type="dxa" w:w="5400"/>
          </w:tcPr>
          <w:p>
            <w:pPr>
              <w:spacing w:after="0" w:before="0" w:line="240" w:lineRule="auto"/>
              <w:jc w:val="left"/>
            </w:pPr>
            <w:r>
              <w:t>Required recovery or restoration objective</w:t>
            </w:r>
          </w:p>
        </w:tc>
      </w:tr>
      <w:tr>
        <w:tc>
          <w:tcPr>
            <w:tcW w:type="dxa" w:w="5400"/>
          </w:tcPr>
          <w:p>
            <w:pPr>
              <w:spacing w:after="0" w:before="0" w:line="240" w:lineRule="auto"/>
              <w:jc w:val="left"/>
            </w:pPr>
            <w:r>
              <w:t>Critical-spares reference</w:t>
            </w:r>
          </w:p>
        </w:tc>
        <w:tc>
          <w:tcPr>
            <w:tcW w:type="dxa" w:w="5400"/>
          </w:tcPr>
          <w:p>
            <w:pPr>
              <w:spacing w:after="0" w:before="0" w:line="240" w:lineRule="auto"/>
              <w:jc w:val="left"/>
            </w:pPr>
            <w:r>
              <w:t>Link to the relevant spare-parts register</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Location or identifier for configuration backups</w:t>
            </w:r>
          </w:p>
        </w:tc>
      </w:tr>
      <w:tr>
        <w:tc>
          <w:tcPr>
            <w:tcW w:type="dxa" w:w="5400"/>
          </w:tcPr>
          <w:p>
            <w:pPr>
              <w:spacing w:after="0" w:before="0" w:line="240" w:lineRule="auto"/>
              <w:jc w:val="left"/>
            </w:pPr>
            <w:r>
              <w:t>Documentation reference</w:t>
            </w:r>
          </w:p>
        </w:tc>
        <w:tc>
          <w:tcPr>
            <w:tcW w:type="dxa" w:w="5400"/>
          </w:tcPr>
          <w:p>
            <w:pPr>
              <w:spacing w:after="0" w:before="0" w:line="240" w:lineRule="auto"/>
              <w:jc w:val="left"/>
            </w:pPr>
            <w:r>
              <w:t>Drawings, manuals, parameter files, or procedures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or function accountable for the asset record</w:t>
            </w:r>
          </w:p>
        </w:tc>
      </w:tr>
      <w:tr>
        <w:tc>
          <w:tcPr>
            <w:tcW w:type="dxa" w:w="5400"/>
          </w:tcPr>
          <w:p>
            <w:pPr>
              <w:spacing w:after="0" w:before="0" w:line="240" w:lineRule="auto"/>
              <w:jc w:val="left"/>
            </w:pPr>
            <w:r>
              <w:t>Assessment date</w:t>
            </w:r>
          </w:p>
        </w:tc>
        <w:tc>
          <w:tcPr>
            <w:tcW w:type="dxa" w:w="5400"/>
          </w:tcPr>
          <w:p>
            <w:pPr>
              <w:spacing w:after="0" w:before="0" w:line="240" w:lineRule="auto"/>
              <w:jc w:val="left"/>
            </w:pPr>
            <w:r>
              <w:t>Date of latest criticality assessment</w:t>
            </w:r>
          </w:p>
        </w:tc>
      </w:tr>
      <w:tr>
        <w:tc>
          <w:tcPr>
            <w:tcW w:type="dxa" w:w="5400"/>
          </w:tcPr>
          <w:p>
            <w:pPr>
              <w:spacing w:after="0" w:before="0" w:line="240" w:lineRule="auto"/>
              <w:jc w:val="left"/>
            </w:pPr>
            <w:r>
              <w:t>Review date</w:t>
            </w:r>
          </w:p>
        </w:tc>
        <w:tc>
          <w:tcPr>
            <w:tcW w:type="dxa" w:w="5400"/>
          </w:tcPr>
          <w:p>
            <w:pPr>
              <w:spacing w:after="0" w:before="0" w:line="240" w:lineRule="auto"/>
              <w:jc w:val="left"/>
            </w:pPr>
            <w:r>
              <w:t>Planned review date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Draft, reviewed, or approved</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record revision</w:t>
            </w:r>
          </w:p>
        </w:tc>
      </w:tr>
    </w:tbl>
    <w:p/>
    <w:p>
      <w:r>
        <w:t>Not every organization needs every field in one spreadsheet. Some information may be maintained in SAP or another asset-management system and linked through the asset ID.</w:t>
      </w:r>
    </w:p>
    <w:p>
      <w:pPr>
        <w:pStyle w:val="Heading2"/>
      </w:pPr>
      <w:r>
        <w:t>9. Equipment Hierarchy and Asset Identification</w:t>
      </w:r>
    </w:p>
    <w:p>
      <w:r>
        <w:t>A critical equipment list must use consistent equipment identification.</w:t>
      </w:r>
    </w:p>
    <w:p>
      <w:r>
        <w:t>Example:</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 Production Line</w:t>
      </w:r>
    </w:p>
    <w:p>
      <w:pPr>
        <w:shd w:val="clear" w:color="auto" w:fill="F4F4F4"/>
        <w:spacing w:before="0" w:after="0" w:line="240" w:lineRule="auto"/>
        <w:ind w:left="216" w:right="216"/>
        <w:jc w:val="left"/>
      </w:pPr>
      <w:r>
        <w:rPr>
          <w:rFonts w:ascii="Consolas" w:hAnsi="Consolas"/>
          <w:color w:val="202020"/>
          <w:sz w:val="18"/>
        </w:rPr>
        <w:t xml:space="preserve">    → Machining Cell</w:t>
      </w:r>
    </w:p>
    <w:p>
      <w:pPr>
        <w:shd w:val="clear" w:color="auto" w:fill="F4F4F4"/>
        <w:spacing w:before="0" w:after="0" w:line="240" w:lineRule="auto"/>
        <w:ind w:left="216" w:right="216"/>
        <w:jc w:val="left"/>
      </w:pPr>
      <w:r>
        <w:rPr>
          <w:rFonts w:ascii="Consolas" w:hAnsi="Consolas"/>
          <w:color w:val="202020"/>
          <w:sz w:val="18"/>
        </w:rPr>
        <w:t xml:space="preserve">      → CNC Machine</w:t>
      </w:r>
    </w:p>
    <w:p>
      <w:pPr>
        <w:shd w:val="clear" w:color="auto" w:fill="F4F4F4"/>
        <w:spacing w:before="0" w:after="0" w:line="240" w:lineRule="auto"/>
        <w:ind w:left="216" w:right="216"/>
        <w:jc w:val="left"/>
      </w:pPr>
      <w:r>
        <w:rPr>
          <w:rFonts w:ascii="Consolas" w:hAnsi="Consolas"/>
          <w:color w:val="202020"/>
          <w:sz w:val="18"/>
        </w:rPr>
        <w:t xml:space="preserve">        → CNC Controller</w:t>
      </w:r>
    </w:p>
    <w:p>
      <w:pPr>
        <w:shd w:val="clear" w:color="auto" w:fill="F4F4F4"/>
        <w:spacing w:before="0" w:after="0" w:line="240" w:lineRule="auto"/>
        <w:ind w:left="216" w:right="216"/>
        <w:jc w:val="left"/>
      </w:pPr>
      <w:r>
        <w:rPr>
          <w:rFonts w:ascii="Consolas" w:hAnsi="Consolas"/>
          <w:color w:val="202020"/>
          <w:sz w:val="18"/>
        </w:rPr>
        <w:t xml:space="preserve">        → Spindle Drive</w:t>
      </w:r>
    </w:p>
    <w:p>
      <w:pPr>
        <w:shd w:val="clear" w:color="auto" w:fill="F4F4F4"/>
        <w:spacing w:before="0" w:after="0" w:line="240" w:lineRule="auto"/>
        <w:ind w:left="216" w:right="216"/>
        <w:jc w:val="left"/>
      </w:pPr>
      <w:r>
        <w:rPr>
          <w:rFonts w:ascii="Consolas" w:hAnsi="Consolas"/>
          <w:color w:val="202020"/>
          <w:sz w:val="18"/>
        </w:rPr>
        <w:t xml:space="preserve">        → Servo Drives</w:t>
      </w:r>
    </w:p>
    <w:p>
      <w:pPr>
        <w:shd w:val="clear" w:color="auto" w:fill="F4F4F4"/>
        <w:spacing w:before="0" w:after="0" w:line="240" w:lineRule="auto"/>
        <w:ind w:left="216" w:right="216"/>
        <w:jc w:val="left"/>
      </w:pPr>
      <w:r>
        <w:rPr>
          <w:rFonts w:ascii="Consolas" w:hAnsi="Consolas"/>
          <w:color w:val="202020"/>
          <w:sz w:val="18"/>
        </w:rPr>
        <w:t xml:space="preserve">        → Lubrication Unit</w:t>
      </w:r>
    </w:p>
    <w:p>
      <w:pPr>
        <w:shd w:val="clear" w:color="auto" w:fill="F4F4F4"/>
        <w:spacing w:before="0" w:after="0" w:line="240" w:lineRule="auto"/>
        <w:ind w:left="216" w:right="216"/>
        <w:jc w:val="left"/>
      </w:pPr>
      <w:r>
        <w:rPr>
          <w:rFonts w:ascii="Consolas" w:hAnsi="Consolas"/>
          <w:color w:val="202020"/>
          <w:sz w:val="18"/>
        </w:rPr>
        <w:t xml:space="preserve">        → Hydraulic Unit</w:t>
      </w:r>
    </w:p>
    <w:p>
      <w:pPr>
        <w:shd w:val="clear" w:color="auto" w:fill="F4F4F4"/>
        <w:spacing w:before="0" w:after="0" w:line="240" w:lineRule="auto"/>
        <w:ind w:left="216" w:right="216"/>
        <w:jc w:val="left"/>
      </w:pPr>
      <w:r>
        <w:rPr>
          <w:rFonts w:ascii="Consolas" w:hAnsi="Consolas"/>
          <w:color w:val="202020"/>
          <w:sz w:val="18"/>
        </w:rPr>
        <w:t xml:space="preserve">        → Safety Circuit</w:t>
      </w:r>
    </w:p>
    <w:p/>
    <w:p>
      <w:r>
        <w:t>The hierarchy helps determine whether a failure affects a single component, the complete machine, or several connected assets.</w:t>
      </w:r>
    </w:p>
    <w:p>
      <w:r>
        <w:t>For example, a common control-panel power supply may support multiple PLC, network, and remote I/O devices. Listing only the individual downstream devices can hide the common-cause failure risk.</w:t>
      </w:r>
    </w:p>
    <w:p>
      <w:r>
        <w:t>Where practical, identify both the parent asset and the critical subcomponents that determine system availability or safety.</w:t>
      </w:r>
    </w:p>
    <w:p>
      <w:pPr>
        <w:pStyle w:val="Heading2"/>
      </w:pPr>
      <w:r>
        <w:t>10. Industrial Automation Example</w:t>
      </w:r>
    </w:p>
    <w:p>
      <w:r>
        <w:t>Consider a production cell containing:</w:t>
      </w:r>
    </w:p>
    <w:p>
      <w:pPr>
        <w:pStyle w:val="ListBullet"/>
      </w:pPr>
      <w:r>
        <w:t>A PLC controlling sequence logic.</w:t>
      </w:r>
    </w:p>
    <w:p>
      <w:pPr>
        <w:pStyle w:val="ListBullet"/>
      </w:pPr>
      <w:r>
        <w:t>Remote I/O racks.</w:t>
      </w:r>
    </w:p>
    <w:p>
      <w:pPr>
        <w:pStyle w:val="ListBullet"/>
      </w:pPr>
      <w:r>
        <w:t>VFDs controlling conveyors.</w:t>
      </w:r>
    </w:p>
    <w:p>
      <w:pPr>
        <w:pStyle w:val="ListBullet"/>
      </w:pPr>
      <w:r>
        <w:t>A CNC machine.</w:t>
      </w:r>
    </w:p>
    <w:p>
      <w:pPr>
        <w:pStyle w:val="ListBullet"/>
      </w:pPr>
      <w:r>
        <w:t>A robot controller.</w:t>
      </w:r>
    </w:p>
    <w:p>
      <w:pPr>
        <w:pStyle w:val="ListBullet"/>
      </w:pPr>
      <w:r>
        <w:t>Safety relays or a safety PLC.</w:t>
      </w:r>
    </w:p>
    <w:p>
      <w:pPr>
        <w:pStyle w:val="ListBullet"/>
      </w:pPr>
      <w:r>
        <w:t>An industrial Ethernet switch.</w:t>
      </w:r>
    </w:p>
    <w:p>
      <w:pPr>
        <w:pStyle w:val="ListBullet"/>
      </w:pPr>
      <w:r>
        <w:t>A shared 24 V DC control power supply.</w:t>
      </w:r>
    </w:p>
    <w:p>
      <w:r>
        <w:t>A criticality assessment might produce the following preliminary findings.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w:t>
            </w:r>
          </w:p>
        </w:tc>
        <w:tc>
          <w:tcPr>
            <w:tcW w:type="dxa" w:w="3600"/>
            <w:shd w:val="clear" w:color="auto" w:fill="EEF2F7"/>
          </w:tcPr>
          <w:p>
            <w:pPr>
              <w:spacing w:after="0" w:before="0" w:line="240" w:lineRule="auto"/>
              <w:jc w:val="left"/>
            </w:pPr>
            <w:r>
              <w:rPr>
                <w:b/>
                <w:color w:val="1A2E4A"/>
              </w:rPr>
              <w:t>Main failure consequence</w:t>
            </w:r>
          </w:p>
        </w:tc>
        <w:tc>
          <w:tcPr>
            <w:tcW w:type="dxa" w:w="3600"/>
            <w:shd w:val="clear" w:color="auto" w:fill="EEF2F7"/>
          </w:tcPr>
          <w:p>
            <w:pPr>
              <w:spacing w:after="0" w:before="0" w:line="240" w:lineRule="auto"/>
              <w:jc w:val="left"/>
            </w:pPr>
            <w:r>
              <w:rPr>
                <w:b/>
                <w:color w:val="1A2E4A"/>
              </w:rPr>
              <w:t>Criticality consideration</w:t>
            </w:r>
          </w:p>
        </w:tc>
      </w:tr>
      <w:tr>
        <w:tc>
          <w:tcPr>
            <w:tcW w:type="dxa" w:w="3600"/>
          </w:tcPr>
          <w:p>
            <w:pPr>
              <w:spacing w:after="0" w:before="0" w:line="240" w:lineRule="auto"/>
              <w:jc w:val="left"/>
            </w:pPr>
            <w:r>
              <w:t>Safety PLC</w:t>
            </w:r>
          </w:p>
        </w:tc>
        <w:tc>
          <w:tcPr>
            <w:tcW w:type="dxa" w:w="3600"/>
          </w:tcPr>
          <w:p>
            <w:pPr>
              <w:spacing w:after="0" w:before="0" w:line="240" w:lineRule="auto"/>
              <w:jc w:val="left"/>
            </w:pPr>
            <w:r>
              <w:t>Protective function may become unavailable or enter a safe state</w:t>
            </w:r>
          </w:p>
        </w:tc>
        <w:tc>
          <w:tcPr>
            <w:tcW w:type="dxa" w:w="3600"/>
          </w:tcPr>
          <w:p>
            <w:pPr>
              <w:spacing w:after="0" w:before="0" w:line="240" w:lineRule="auto"/>
              <w:jc w:val="left"/>
            </w:pPr>
            <w:r>
              <w:t>Safety requirements and validated safety architecture</w:t>
            </w:r>
          </w:p>
        </w:tc>
      </w:tr>
      <w:tr>
        <w:tc>
          <w:tcPr>
            <w:tcW w:type="dxa" w:w="3600"/>
          </w:tcPr>
          <w:p>
            <w:pPr>
              <w:spacing w:after="0" w:before="0" w:line="240" w:lineRule="auto"/>
              <w:jc w:val="left"/>
            </w:pPr>
            <w:r>
              <w:t>Main PLC</w:t>
            </w:r>
          </w:p>
        </w:tc>
        <w:tc>
          <w:tcPr>
            <w:tcW w:type="dxa" w:w="3600"/>
          </w:tcPr>
          <w:p>
            <w:pPr>
              <w:spacing w:after="0" w:before="0" w:line="240" w:lineRule="auto"/>
              <w:jc w:val="left"/>
            </w:pPr>
            <w:r>
              <w:t>Multiple sequence-controlled devices may stop</w:t>
            </w:r>
          </w:p>
        </w:tc>
        <w:tc>
          <w:tcPr>
            <w:tcW w:type="dxa" w:w="3600"/>
          </w:tcPr>
          <w:p>
            <w:pPr>
              <w:spacing w:after="0" w:before="0" w:line="240" w:lineRule="auto"/>
              <w:jc w:val="left"/>
            </w:pPr>
            <w:r>
              <w:t>Production scope and recovery time</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Several controllers or I/O devices may lose communication</w:t>
            </w:r>
          </w:p>
        </w:tc>
        <w:tc>
          <w:tcPr>
            <w:tcW w:type="dxa" w:w="3600"/>
          </w:tcPr>
          <w:p>
            <w:pPr>
              <w:spacing w:after="0" w:before="0" w:line="240" w:lineRule="auto"/>
              <w:jc w:val="left"/>
            </w:pPr>
            <w:r>
              <w:t>Network topology and common-cause impact</w:t>
            </w:r>
          </w:p>
        </w:tc>
      </w:tr>
      <w:tr>
        <w:tc>
          <w:tcPr>
            <w:tcW w:type="dxa" w:w="3600"/>
          </w:tcPr>
          <w:p>
            <w:pPr>
              <w:spacing w:after="0" w:before="0" w:line="240" w:lineRule="auto"/>
              <w:jc w:val="left"/>
            </w:pPr>
            <w:r>
              <w:t>Shared 24 V DC supply</w:t>
            </w:r>
          </w:p>
        </w:tc>
        <w:tc>
          <w:tcPr>
            <w:tcW w:type="dxa" w:w="3600"/>
          </w:tcPr>
          <w:p>
            <w:pPr>
              <w:spacing w:after="0" w:before="0" w:line="240" w:lineRule="auto"/>
              <w:jc w:val="left"/>
            </w:pPr>
            <w:r>
              <w:t>Multiple control devices may lose power</w:t>
            </w:r>
          </w:p>
        </w:tc>
        <w:tc>
          <w:tcPr>
            <w:tcW w:type="dxa" w:w="3600"/>
          </w:tcPr>
          <w:p>
            <w:pPr>
              <w:spacing w:after="0" w:before="0" w:line="240" w:lineRule="auto"/>
              <w:jc w:val="left"/>
            </w:pPr>
            <w:r>
              <w:t>Number of dependent loads and backup arrangements</w:t>
            </w:r>
          </w:p>
        </w:tc>
      </w:tr>
      <w:tr>
        <w:tc>
          <w:tcPr>
            <w:tcW w:type="dxa" w:w="3600"/>
          </w:tcPr>
          <w:p>
            <w:pPr>
              <w:spacing w:after="0" w:before="0" w:line="240" w:lineRule="auto"/>
              <w:jc w:val="left"/>
            </w:pPr>
            <w:r>
              <w:t>CNC spindle drive</w:t>
            </w:r>
          </w:p>
        </w:tc>
        <w:tc>
          <w:tcPr>
            <w:tcW w:type="dxa" w:w="3600"/>
          </w:tcPr>
          <w:p>
            <w:pPr>
              <w:spacing w:after="0" w:before="0" w:line="240" w:lineRule="auto"/>
              <w:jc w:val="left"/>
            </w:pPr>
            <w:r>
              <w:t>Machining process may become unavailable</w:t>
            </w:r>
          </w:p>
        </w:tc>
        <w:tc>
          <w:tcPr>
            <w:tcW w:type="dxa" w:w="3600"/>
          </w:tcPr>
          <w:p>
            <w:pPr>
              <w:spacing w:after="0" w:before="0" w:line="240" w:lineRule="auto"/>
              <w:jc w:val="left"/>
            </w:pPr>
            <w:r>
              <w:t>Downtime, repair time, and spare availability</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 cell may stop</w:t>
            </w:r>
          </w:p>
        </w:tc>
        <w:tc>
          <w:tcPr>
            <w:tcW w:type="dxa" w:w="3600"/>
          </w:tcPr>
          <w:p>
            <w:pPr>
              <w:spacing w:after="0" w:before="0" w:line="240" w:lineRule="auto"/>
              <w:jc w:val="left"/>
            </w:pPr>
            <w:r>
              <w:t>Production bottleneck and OEM recovery requirements</w:t>
            </w:r>
          </w:p>
        </w:tc>
      </w:tr>
      <w:tr>
        <w:tc>
          <w:tcPr>
            <w:tcW w:type="dxa" w:w="3600"/>
          </w:tcPr>
          <w:p>
            <w:pPr>
              <w:spacing w:after="0" w:before="0" w:line="240" w:lineRule="auto"/>
              <w:jc w:val="left"/>
            </w:pPr>
            <w:r>
              <w:t>Local indicator lamp</w:t>
            </w:r>
          </w:p>
        </w:tc>
        <w:tc>
          <w:tcPr>
            <w:tcW w:type="dxa" w:w="3600"/>
          </w:tcPr>
          <w:p>
            <w:pPr>
              <w:spacing w:after="0" w:before="0" w:line="240" w:lineRule="auto"/>
              <w:jc w:val="left"/>
            </w:pPr>
            <w:r>
              <w:t>Loss of local visual indication</w:t>
            </w:r>
          </w:p>
        </w:tc>
        <w:tc>
          <w:tcPr>
            <w:tcW w:type="dxa" w:w="3600"/>
          </w:tcPr>
          <w:p>
            <w:pPr>
              <w:spacing w:after="0" w:before="0" w:line="240" w:lineRule="auto"/>
              <w:jc w:val="left"/>
            </w:pPr>
            <w:r>
              <w:t>Consequence depends on operator interface and required indication</w:t>
            </w:r>
          </w:p>
        </w:tc>
      </w:tr>
    </w:tbl>
    <w:p/>
    <w:p>
      <w:r>
        <w:t>The table is a starting point for assessment, not an automatic approved classification.</w:t>
      </w:r>
    </w:p>
    <w:p>
      <w:pPr>
        <w:pStyle w:val="Heading2"/>
      </w:pPr>
      <w:r>
        <w:t>11. Critical Equipment and Preventive Maintenance</w:t>
      </w:r>
    </w:p>
    <w:p>
      <w:r>
        <w:t>Criticality should influence maintenance strategy.</w:t>
      </w:r>
    </w:p>
    <w:p>
      <w:r>
        <w:t>Higher criticality may justify more rigorous maintenance controls, but it does not automatically mean that every component requires more frequent preventive maintenance.</w:t>
      </w:r>
    </w:p>
    <w:p>
      <w:r>
        <w:t>A suitable strategy depends on the failure mechanism, detectability, degradation pattern, and available maintenance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 characteristic</w:t>
            </w:r>
          </w:p>
        </w:tc>
        <w:tc>
          <w:tcPr>
            <w:tcW w:type="dxa" w:w="5400"/>
            <w:shd w:val="clear" w:color="auto" w:fill="EEF2F7"/>
          </w:tcPr>
          <w:p>
            <w:pPr>
              <w:spacing w:after="0" w:before="0" w:line="240" w:lineRule="auto"/>
              <w:jc w:val="left"/>
            </w:pPr>
            <w:r>
              <w:rPr>
                <w:b/>
                <w:color w:val="1A2E4A"/>
              </w:rPr>
              <w:t>Possible maintenance strategy</w:t>
            </w:r>
          </w:p>
        </w:tc>
      </w:tr>
      <w:tr>
        <w:tc>
          <w:tcPr>
            <w:tcW w:type="dxa" w:w="5400"/>
          </w:tcPr>
          <w:p>
            <w:pPr>
              <w:spacing w:after="0" w:before="0" w:line="240" w:lineRule="auto"/>
              <w:jc w:val="left"/>
            </w:pPr>
            <w:r>
              <w:t>Predictable wear or degradation</w:t>
            </w:r>
          </w:p>
        </w:tc>
        <w:tc>
          <w:tcPr>
            <w:tcW w:type="dxa" w:w="5400"/>
          </w:tcPr>
          <w:p>
            <w:pPr>
              <w:spacing w:after="0" w:before="0" w:line="240" w:lineRule="auto"/>
              <w:jc w:val="left"/>
            </w:pPr>
            <w:r>
              <w:t>Scheduled replacement or restoration</w:t>
            </w:r>
          </w:p>
        </w:tc>
      </w:tr>
      <w:tr>
        <w:tc>
          <w:tcPr>
            <w:tcW w:type="dxa" w:w="5400"/>
          </w:tcPr>
          <w:p>
            <w:pPr>
              <w:spacing w:after="0" w:before="0" w:line="240" w:lineRule="auto"/>
              <w:jc w:val="left"/>
            </w:pPr>
            <w:r>
              <w:t>Detectable deterioration</w:t>
            </w:r>
          </w:p>
        </w:tc>
        <w:tc>
          <w:tcPr>
            <w:tcW w:type="dxa" w:w="5400"/>
          </w:tcPr>
          <w:p>
            <w:pPr>
              <w:spacing w:after="0" w:before="0" w:line="240" w:lineRule="auto"/>
              <w:jc w:val="left"/>
            </w:pPr>
            <w:r>
              <w:t>Condition monitoring or periodic inspection</w:t>
            </w:r>
          </w:p>
        </w:tc>
      </w:tr>
      <w:tr>
        <w:tc>
          <w:tcPr>
            <w:tcW w:type="dxa" w:w="5400"/>
          </w:tcPr>
          <w:p>
            <w:pPr>
              <w:spacing w:after="0" w:before="0" w:line="240" w:lineRule="auto"/>
              <w:jc w:val="left"/>
            </w:pPr>
            <w:r>
              <w:t>Electrical connection degradation</w:t>
            </w:r>
          </w:p>
        </w:tc>
        <w:tc>
          <w:tcPr>
            <w:tcW w:type="dxa" w:w="5400"/>
          </w:tcPr>
          <w:p>
            <w:pPr>
              <w:spacing w:after="0" w:before="0" w:line="240" w:lineRule="auto"/>
              <w:jc w:val="left"/>
            </w:pPr>
            <w:r>
              <w:t>Inspection, appropriate torque checks, and thermal inspection where justified</w:t>
            </w:r>
          </w:p>
        </w:tc>
      </w:tr>
      <w:tr>
        <w:tc>
          <w:tcPr>
            <w:tcW w:type="dxa" w:w="5400"/>
          </w:tcPr>
          <w:p>
            <w:pPr>
              <w:spacing w:after="0" w:before="0" w:line="240" w:lineRule="auto"/>
              <w:jc w:val="left"/>
            </w:pPr>
            <w:r>
              <w:t>Cooling-system deterioration</w:t>
            </w:r>
          </w:p>
        </w:tc>
        <w:tc>
          <w:tcPr>
            <w:tcW w:type="dxa" w:w="5400"/>
          </w:tcPr>
          <w:p>
            <w:pPr>
              <w:spacing w:after="0" w:before="0" w:line="240" w:lineRule="auto"/>
              <w:jc w:val="left"/>
            </w:pPr>
            <w:r>
              <w:t>Filter, fan, airflow, temperature, and contamination checks</w:t>
            </w:r>
          </w:p>
        </w:tc>
      </w:tr>
      <w:tr>
        <w:tc>
          <w:tcPr>
            <w:tcW w:type="dxa" w:w="5400"/>
          </w:tcPr>
          <w:p>
            <w:pPr>
              <w:spacing w:after="0" w:before="0" w:line="240" w:lineRule="auto"/>
              <w:jc w:val="left"/>
            </w:pPr>
            <w:r>
              <w:t>Battery degradation</w:t>
            </w:r>
          </w:p>
        </w:tc>
        <w:tc>
          <w:tcPr>
            <w:tcW w:type="dxa" w:w="5400"/>
          </w:tcPr>
          <w:p>
            <w:pPr>
              <w:spacing w:after="0" w:before="0" w:line="240" w:lineRule="auto"/>
              <w:jc w:val="left"/>
            </w:pPr>
            <w:r>
              <w:t>Condition checks and replacement according to approved requirements</w:t>
            </w:r>
          </w:p>
        </w:tc>
      </w:tr>
      <w:tr>
        <w:tc>
          <w:tcPr>
            <w:tcW w:type="dxa" w:w="5400"/>
          </w:tcPr>
          <w:p>
            <w:pPr>
              <w:spacing w:after="0" w:before="0" w:line="240" w:lineRule="auto"/>
              <w:jc w:val="left"/>
            </w:pPr>
            <w:r>
              <w:t>Configuration loss or corruption</w:t>
            </w:r>
          </w:p>
        </w:tc>
        <w:tc>
          <w:tcPr>
            <w:tcW w:type="dxa" w:w="5400"/>
          </w:tcPr>
          <w:p>
            <w:pPr>
              <w:spacing w:after="0" w:before="0" w:line="240" w:lineRule="auto"/>
              <w:jc w:val="left"/>
            </w:pPr>
            <w:r>
              <w:t>Verified backups and controlled restoration procedures</w:t>
            </w:r>
          </w:p>
        </w:tc>
      </w:tr>
      <w:tr>
        <w:tc>
          <w:tcPr>
            <w:tcW w:type="dxa" w:w="5400"/>
          </w:tcPr>
          <w:p>
            <w:pPr>
              <w:spacing w:after="0" w:before="0" w:line="240" w:lineRule="auto"/>
              <w:jc w:val="left"/>
            </w:pPr>
            <w:r>
              <w:t>Random electronic failure with no effective preventive task</w:t>
            </w:r>
          </w:p>
        </w:tc>
        <w:tc>
          <w:tcPr>
            <w:tcW w:type="dxa" w:w="5400"/>
          </w:tcPr>
          <w:p>
            <w:pPr>
              <w:spacing w:after="0" w:before="0" w:line="240" w:lineRule="auto"/>
              <w:jc w:val="left"/>
            </w:pPr>
            <w:r>
              <w:t>Failure mitigation, recovery planning, spares, and design improvement</w:t>
            </w:r>
          </w:p>
        </w:tc>
      </w:tr>
      <w:tr>
        <w:tc>
          <w:tcPr>
            <w:tcW w:type="dxa" w:w="5400"/>
          </w:tcPr>
          <w:p>
            <w:pPr>
              <w:spacing w:after="0" w:before="0" w:line="240" w:lineRule="auto"/>
              <w:jc w:val="left"/>
            </w:pPr>
            <w:r>
              <w:t>Safety-system failure</w:t>
            </w:r>
          </w:p>
        </w:tc>
        <w:tc>
          <w:tcPr>
            <w:tcW w:type="dxa" w:w="5400"/>
          </w:tcPr>
          <w:p>
            <w:pPr>
              <w:spacing w:after="0" w:before="0" w:line="240" w:lineRule="auto"/>
              <w:jc w:val="left"/>
            </w:pPr>
            <w:r>
              <w:t>Required proof testing, validation, inspection, and lifecycle controls appropriate to the safety function</w:t>
            </w:r>
          </w:p>
        </w:tc>
      </w:tr>
    </w:tbl>
    <w:p/>
    <w:p>
      <w:r>
        <w:t>A critical asset with no effective preventive task should not receive meaningless inspection activities merely to make its maintenance plan appear complete.</w:t>
      </w:r>
    </w:p>
    <w:p>
      <w:r>
        <w:t>The strategy should address the actual risk and credible failure modes.</w:t>
      </w:r>
    </w:p>
    <w:p>
      <w:pPr>
        <w:pStyle w:val="Heading2"/>
      </w:pPr>
      <w:r>
        <w:t>12. Critical Equipment and Spare Parts</w:t>
      </w:r>
    </w:p>
    <w:p>
      <w:r>
        <w:t>The critical equipment list provides an important input to spare-parts planning.</w:t>
      </w:r>
    </w:p>
    <w:p>
      <w:r>
        <w:t>For each critical asset, identify components whose unavailability could delay restoration.</w:t>
      </w:r>
    </w:p>
    <w:p>
      <w:r>
        <w:t>Examples include:</w:t>
      </w:r>
    </w:p>
    <w:p>
      <w:pPr>
        <w:pStyle w:val="ListBullet"/>
      </w:pPr>
      <w:r>
        <w:t>PLC CPU and compatible I/O modules.</w:t>
      </w:r>
    </w:p>
    <w:p>
      <w:pPr>
        <w:pStyle w:val="ListBullet"/>
      </w:pPr>
      <w:r>
        <w:t>Industrial Ethernet switches.</w:t>
      </w:r>
    </w:p>
    <w:p>
      <w:pPr>
        <w:pStyle w:val="ListBullet"/>
      </w:pPr>
      <w:r>
        <w:t>VFDs and servo drives.</w:t>
      </w:r>
    </w:p>
    <w:p>
      <w:pPr>
        <w:pStyle w:val="ListBullet"/>
      </w:pPr>
      <w:r>
        <w:t>CNC drive units and feedback components.</w:t>
      </w:r>
    </w:p>
    <w:p>
      <w:pPr>
        <w:pStyle w:val="ListBullet"/>
      </w:pPr>
      <w:r>
        <w:t>Robot controller components.</w:t>
      </w:r>
    </w:p>
    <w:p>
      <w:pPr>
        <w:pStyle w:val="ListBullet"/>
      </w:pPr>
      <w:r>
        <w:t>Safety relays and approved replacement devices.</w:t>
      </w:r>
    </w:p>
    <w:p>
      <w:pPr>
        <w:pStyle w:val="ListBullet"/>
      </w:pPr>
      <w:r>
        <w:t>Power supplies and communication modules.</w:t>
      </w:r>
    </w:p>
    <w:p>
      <w:pPr>
        <w:pStyle w:val="ListBullet"/>
      </w:pPr>
      <w:r>
        <w:t>Special sensors and obsolete electronic assemblies.</w:t>
      </w:r>
    </w:p>
    <w:p>
      <w:r>
        <w:t>The equipment register should link to a spare-parts record rather than duplicating uncontrolled stock information.</w:t>
      </w:r>
    </w:p>
    <w:p>
      <w:r>
        <w:t>A critical asset does not automatically require a spare for every component. Spare decisions must consider failure likelihood, consequence, repairability, lead time, interchangeability, shelf life, and total lifecycle cost.</w:t>
      </w:r>
    </w:p>
    <w:p>
      <w:pPr>
        <w:pStyle w:val="Heading2"/>
      </w:pPr>
      <w:r>
        <w:t>13. Critical Equipment and Obsolescence Management</w:t>
      </w:r>
    </w:p>
    <w:p>
      <w:r>
        <w:t>Obsolescence can substantially increase the recovery time of industrial automation equipment.</w:t>
      </w:r>
    </w:p>
    <w:p>
      <w:r>
        <w:t>For each critical electronic or automation asset, assess:</w:t>
      </w:r>
    </w:p>
    <w:p>
      <w:pPr>
        <w:pStyle w:val="ListBullet"/>
      </w:pPr>
      <w:r>
        <w:t>Whether the installed model is still manufactured.</w:t>
      </w:r>
    </w:p>
    <w:p>
      <w:pPr>
        <w:pStyle w:val="ListBullet"/>
      </w:pPr>
      <w:r>
        <w:t>Whether the manufacturer provides technical support.</w:t>
      </w:r>
    </w:p>
    <w:p>
      <w:pPr>
        <w:pStyle w:val="ListBullet"/>
      </w:pPr>
      <w:r>
        <w:t>Whether a compatible successor exists.</w:t>
      </w:r>
    </w:p>
    <w:p>
      <w:pPr>
        <w:pStyle w:val="ListBullet"/>
      </w:pPr>
      <w:r>
        <w:t>Whether the successor requires wiring, firmware, program, or network changes.</w:t>
      </w:r>
    </w:p>
    <w:p>
      <w:pPr>
        <w:pStyle w:val="ListBullet"/>
      </w:pPr>
      <w:r>
        <w:t>Whether engineering software and licenses remain available.</w:t>
      </w:r>
    </w:p>
    <w:p>
      <w:pPr>
        <w:pStyle w:val="ListBullet"/>
      </w:pPr>
      <w:r>
        <w:t>Whether replacement requires machine revalidation.</w:t>
      </w:r>
    </w:p>
    <w:p>
      <w:pPr>
        <w:pStyle w:val="ListBullet"/>
      </w:pPr>
      <w:r>
        <w:t>Whether the current program and parameters are backed up.</w:t>
      </w:r>
    </w:p>
    <w:p>
      <w:pPr>
        <w:pStyle w:val="ListBullet"/>
      </w:pPr>
      <w:r>
        <w:t>Whether a migration plan is documented.</w:t>
      </w:r>
    </w:p>
    <w:p>
      <w:pPr>
        <w:pStyle w:val="ListBullet"/>
      </w:pPr>
      <w:r>
        <w:t>Whether a compatible spare has been tested.</w:t>
      </w:r>
    </w:p>
    <w:p>
      <w:r>
        <w:t>For example, replacing an obsolete PLC communication module may require a network configuration change, updated controller logic, revised hardware configuration, and verification of communication with existing devices.</w:t>
      </w:r>
    </w:p>
    <w:p>
      <w:r>
        <w:t>The critical equipment list should make these risks visible before the obsolete component fails during production.</w:t>
      </w:r>
    </w:p>
    <w:p>
      <w:pPr>
        <w:pStyle w:val="Heading2"/>
      </w:pPr>
      <w:r>
        <w:t>14. Critical Equipment and Backup Management</w:t>
      </w:r>
    </w:p>
    <w:p>
      <w:r>
        <w:t>For PLCs, HMIs, CNC systems, robots, drives, and industrial networks, backup availability can strongly influence recovery time.</w:t>
      </w:r>
    </w:p>
    <w:p>
      <w:r>
        <w:t>Record the applicable backup references, such as:</w:t>
      </w:r>
    </w:p>
    <w:p>
      <w:pPr>
        <w:pStyle w:val="ListBullet"/>
      </w:pPr>
      <w:r>
        <w:t>PLC project and hardware configuration.</w:t>
      </w:r>
    </w:p>
    <w:p>
      <w:pPr>
        <w:pStyle w:val="ListBullet"/>
      </w:pPr>
      <w:r>
        <w:t>HMI project and runtime configuration.</w:t>
      </w:r>
    </w:p>
    <w:p>
      <w:pPr>
        <w:pStyle w:val="ListBullet"/>
      </w:pPr>
      <w:r>
        <w:t>CNC parameters and approved machine data.</w:t>
      </w:r>
    </w:p>
    <w:p>
      <w:pPr>
        <w:pStyle w:val="ListBullet"/>
      </w:pPr>
      <w:r>
        <w:t>Robot programs and controller configuration.</w:t>
      </w:r>
    </w:p>
    <w:p>
      <w:pPr>
        <w:pStyle w:val="ListBullet"/>
      </w:pPr>
      <w:r>
        <w:t>VFD and servo parameter sets.</w:t>
      </w:r>
    </w:p>
    <w:p>
      <w:pPr>
        <w:pStyle w:val="ListBullet"/>
      </w:pPr>
      <w:r>
        <w:t>Network topology and switch configurations.</w:t>
      </w:r>
    </w:p>
    <w:p>
      <w:pPr>
        <w:pStyle w:val="ListBullet"/>
      </w:pPr>
      <w:r>
        <w:t>PC-based machine software and required licenses.</w:t>
      </w:r>
    </w:p>
    <w:p>
      <w:pPr>
        <w:pStyle w:val="ListBullet"/>
      </w:pPr>
      <w:r>
        <w:t>Firmware versions and compatible engineering-tool versions.</w:t>
      </w:r>
    </w:p>
    <w:p>
      <w:r>
        <w:t>A file existing on a computer does not prove that it is usable.</w:t>
      </w:r>
    </w:p>
    <w:p>
      <w:r>
        <w:t>Backup controls should include version identification, access control, integrity verification, appropriate storage protection, and periodic restoration testing.</w:t>
      </w:r>
    </w:p>
    <w:p>
      <w:r>
        <w:t>For safety-related systems, restoration and validation must follow the approved safety lifecycle and machine-specific procedures.</w:t>
      </w:r>
    </w:p>
    <w:p>
      <w:pPr>
        <w:pStyle w:val="Heading2"/>
      </w:pPr>
      <w:r>
        <w:t>15. Critical Equipment Review and Change Management</w:t>
      </w:r>
    </w:p>
    <w:p>
      <w:r>
        <w:t>The register should be reviewed when the equipment or its operating context changes.</w:t>
      </w:r>
    </w:p>
    <w:p>
      <w:r>
        <w:t>Typical review triggers include:</w:t>
      </w:r>
    </w:p>
    <w:p>
      <w:pPr>
        <w:pStyle w:val="ListBullet"/>
      </w:pPr>
      <w:r>
        <w:t>A new production line or machine installation.</w:t>
      </w:r>
    </w:p>
    <w:p>
      <w:pPr>
        <w:pStyle w:val="ListBullet"/>
      </w:pPr>
      <w:r>
        <w:t>Changes in production capacity or cycle time.</w:t>
      </w:r>
    </w:p>
    <w:p>
      <w:pPr>
        <w:pStyle w:val="ListBullet"/>
      </w:pPr>
      <w:r>
        <w:t>A change in product quality requirements.</w:t>
      </w:r>
    </w:p>
    <w:p>
      <w:pPr>
        <w:pStyle w:val="ListBullet"/>
      </w:pPr>
      <w:r>
        <w:t>A change in the equipment's function.</w:t>
      </w:r>
    </w:p>
    <w:p>
      <w:pPr>
        <w:pStyle w:val="ListBullet"/>
      </w:pPr>
      <w:r>
        <w:t>Installation or removal of redundancy.</w:t>
      </w:r>
    </w:p>
    <w:p>
      <w:pPr>
        <w:pStyle w:val="ListBullet"/>
      </w:pPr>
      <w:r>
        <w:t>Repeated breakdowns or a major failure.</w:t>
      </w:r>
    </w:p>
    <w:p>
      <w:pPr>
        <w:pStyle w:val="ListBullet"/>
      </w:pPr>
      <w:r>
        <w:t>A change in safety risk.</w:t>
      </w:r>
    </w:p>
    <w:p>
      <w:pPr>
        <w:pStyle w:val="ListBullet"/>
      </w:pPr>
      <w:r>
        <w:t>An OEM support or obsolescence notification.</w:t>
      </w:r>
    </w:p>
    <w:p>
      <w:pPr>
        <w:pStyle w:val="ListBullet"/>
      </w:pPr>
      <w:r>
        <w:t>Changes in spare-parts lead time.</w:t>
      </w:r>
    </w:p>
    <w:p>
      <w:pPr>
        <w:pStyle w:val="ListBullet"/>
      </w:pPr>
      <w:r>
        <w:t>A major machine retrofit or control-system migration.</w:t>
      </w:r>
    </w:p>
    <w:p>
      <w:pPr>
        <w:pStyle w:val="ListBullet"/>
      </w:pPr>
      <w:r>
        <w:t>Changes in the production bottleneck.</w:t>
      </w:r>
    </w:p>
    <w:p>
      <w:r>
        <w:t>A register that was correct at commissioning may become inaccurate after production requirements, process dependencies, or recovery options change.</w:t>
      </w:r>
    </w:p>
    <w:p>
      <w:pPr>
        <w:pStyle w:val="Heading3"/>
      </w:pPr>
      <w:r>
        <w:t>Recommended review workflow</w:t>
      </w:r>
    </w:p>
    <w:p>
      <w:pPr>
        <w:shd w:val="clear" w:color="auto" w:fill="F4F4F4"/>
        <w:spacing w:before="0" w:after="0" w:line="240" w:lineRule="auto"/>
        <w:ind w:left="216" w:right="216"/>
        <w:jc w:val="left"/>
      </w:pPr>
      <w:r>
        <w:rPr>
          <w:rFonts w:ascii="Consolas" w:hAnsi="Consolas"/>
          <w:color w:val="202020"/>
          <w:sz w:val="18"/>
        </w:rPr>
        <w:t>Identify asset or process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failure consequences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criticality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maintenance strategy and recovery needs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spare-parts and obsolescence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documentation and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Publish controlled revision</w:t>
      </w:r>
    </w:p>
    <w:p/>
    <w:p>
      <w:pPr>
        <w:pStyle w:val="Heading2"/>
      </w:pPr>
      <w:r>
        <w:t>16. Ownership and Approval</w:t>
      </w:r>
    </w:p>
    <w:p>
      <w:r>
        <w:t>The critical equipment list should have clearly assigned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Maintenance engineering</w:t>
            </w:r>
          </w:p>
        </w:tc>
        <w:tc>
          <w:tcPr>
            <w:tcW w:type="dxa" w:w="5400"/>
          </w:tcPr>
          <w:p>
            <w:pPr>
              <w:spacing w:after="0" w:before="0" w:line="240" w:lineRule="auto"/>
              <w:jc w:val="left"/>
            </w:pPr>
            <w:r>
              <w:t>Equipment failure consequences, maintainability, and maintenance strategy</w:t>
            </w:r>
          </w:p>
        </w:tc>
      </w:tr>
      <w:tr>
        <w:tc>
          <w:tcPr>
            <w:tcW w:type="dxa" w:w="5400"/>
          </w:tcPr>
          <w:p>
            <w:pPr>
              <w:spacing w:after="0" w:before="0" w:line="240" w:lineRule="auto"/>
              <w:jc w:val="left"/>
            </w:pPr>
            <w:r>
              <w:t>Production</w:t>
            </w:r>
          </w:p>
        </w:tc>
        <w:tc>
          <w:tcPr>
            <w:tcW w:type="dxa" w:w="5400"/>
          </w:tcPr>
          <w:p>
            <w:pPr>
              <w:spacing w:after="0" w:before="0" w:line="240" w:lineRule="auto"/>
              <w:jc w:val="left"/>
            </w:pPr>
            <w:r>
              <w:t>Operational impact, bottlenecks, and production alternatives</w:t>
            </w:r>
          </w:p>
        </w:tc>
      </w:tr>
      <w:tr>
        <w:tc>
          <w:tcPr>
            <w:tcW w:type="dxa" w:w="5400"/>
          </w:tcPr>
          <w:p>
            <w:pPr>
              <w:spacing w:after="0" w:before="0" w:line="240" w:lineRule="auto"/>
              <w:jc w:val="left"/>
            </w:pPr>
            <w:r>
              <w:t>Electrical and automation engineering</w:t>
            </w:r>
          </w:p>
        </w:tc>
        <w:tc>
          <w:tcPr>
            <w:tcW w:type="dxa" w:w="5400"/>
          </w:tcPr>
          <w:p>
            <w:pPr>
              <w:spacing w:after="0" w:before="0" w:line="240" w:lineRule="auto"/>
              <w:jc w:val="left"/>
            </w:pPr>
            <w:r>
              <w:t>PLC, CNC, robot, drive, network, and control-system dependencies</w:t>
            </w:r>
          </w:p>
        </w:tc>
      </w:tr>
      <w:tr>
        <w:tc>
          <w:tcPr>
            <w:tcW w:type="dxa" w:w="5400"/>
          </w:tcPr>
          <w:p>
            <w:pPr>
              <w:spacing w:after="0" w:before="0" w:line="240" w:lineRule="auto"/>
              <w:jc w:val="left"/>
            </w:pPr>
            <w:r>
              <w:t>Safety or EHS</w:t>
            </w:r>
          </w:p>
        </w:tc>
        <w:tc>
          <w:tcPr>
            <w:tcW w:type="dxa" w:w="5400"/>
          </w:tcPr>
          <w:p>
            <w:pPr>
              <w:spacing w:after="0" w:before="0" w:line="240" w:lineRule="auto"/>
              <w:jc w:val="left"/>
            </w:pPr>
            <w:r>
              <w:t>Safety and environmental consequence assessment</w:t>
            </w:r>
          </w:p>
        </w:tc>
      </w:tr>
      <w:tr>
        <w:tc>
          <w:tcPr>
            <w:tcW w:type="dxa" w:w="5400"/>
          </w:tcPr>
          <w:p>
            <w:pPr>
              <w:spacing w:after="0" w:before="0" w:line="240" w:lineRule="auto"/>
              <w:jc w:val="left"/>
            </w:pPr>
            <w:r>
              <w:t>Quality</w:t>
            </w:r>
          </w:p>
        </w:tc>
        <w:tc>
          <w:tcPr>
            <w:tcW w:type="dxa" w:w="5400"/>
          </w:tcPr>
          <w:p>
            <w:pPr>
              <w:spacing w:after="0" w:before="0" w:line="240" w:lineRule="auto"/>
              <w:jc w:val="left"/>
            </w:pPr>
            <w:r>
              <w:t>Product conformity and test-validity consequences</w:t>
            </w:r>
          </w:p>
        </w:tc>
      </w:tr>
      <w:tr>
        <w:tc>
          <w:tcPr>
            <w:tcW w:type="dxa" w:w="5400"/>
          </w:tcPr>
          <w:p>
            <w:pPr>
              <w:spacing w:after="0" w:before="0" w:line="240" w:lineRule="auto"/>
              <w:jc w:val="left"/>
            </w:pPr>
            <w:r>
              <w:t>Stores or procurement</w:t>
            </w:r>
          </w:p>
        </w:tc>
        <w:tc>
          <w:tcPr>
            <w:tcW w:type="dxa" w:w="5400"/>
          </w:tcPr>
          <w:p>
            <w:pPr>
              <w:spacing w:after="0" w:before="0" w:line="240" w:lineRule="auto"/>
              <w:jc w:val="left"/>
            </w:pPr>
            <w:r>
              <w:t>Spare availability, lead times, and supplier risks</w:t>
            </w:r>
          </w:p>
        </w:tc>
      </w:tr>
      <w:tr>
        <w:tc>
          <w:tcPr>
            <w:tcW w:type="dxa" w:w="5400"/>
          </w:tcPr>
          <w:p>
            <w:pPr>
              <w:spacing w:after="0" w:before="0" w:line="240" w:lineRule="auto"/>
              <w:jc w:val="left"/>
            </w:pPr>
            <w:r>
              <w:t>Reliability engineering</w:t>
            </w:r>
          </w:p>
        </w:tc>
        <w:tc>
          <w:tcPr>
            <w:tcW w:type="dxa" w:w="5400"/>
          </w:tcPr>
          <w:p>
            <w:pPr>
              <w:spacing w:after="0" w:before="0" w:line="240" w:lineRule="auto"/>
              <w:jc w:val="left"/>
            </w:pPr>
            <w:r>
              <w:t>Criticality methodology, failure analysis, and review consistency</w:t>
            </w:r>
          </w:p>
        </w:tc>
      </w:tr>
      <w:tr>
        <w:tc>
          <w:tcPr>
            <w:tcW w:type="dxa" w:w="5400"/>
          </w:tcPr>
          <w:p>
            <w:pPr>
              <w:spacing w:after="0" w:before="0" w:line="240" w:lineRule="auto"/>
              <w:jc w:val="left"/>
            </w:pPr>
            <w:r>
              <w:t>Asset owner or authorized manager</w:t>
            </w:r>
          </w:p>
        </w:tc>
        <w:tc>
          <w:tcPr>
            <w:tcW w:type="dxa" w:w="5400"/>
          </w:tcPr>
          <w:p>
            <w:pPr>
              <w:spacing w:after="0" w:before="0" w:line="240" w:lineRule="auto"/>
              <w:jc w:val="left"/>
            </w:pPr>
            <w:r>
              <w:t>Approval and acceptance of residual operational risk</w:t>
            </w:r>
          </w:p>
        </w:tc>
      </w:tr>
    </w:tbl>
    <w:p/>
    <w:p>
      <w:r>
        <w:t>Responsibilities may differ by organization, but the assessment and approval process must be clear.</w:t>
      </w:r>
    </w:p>
    <w:p>
      <w:pPr>
        <w:pStyle w:val="Heading2"/>
      </w:pPr>
      <w:r>
        <w:t>17. Common Mistakes</w:t>
      </w:r>
    </w:p>
    <w:p>
      <w:pPr>
        <w:pStyle w:val="ListBullet"/>
      </w:pPr>
      <w:r>
        <w:t>Classifying equipment solely by purchase cost.</w:t>
      </w:r>
    </w:p>
    <w:p>
      <w:pPr>
        <w:pStyle w:val="ListBullet"/>
      </w:pPr>
      <w:r>
        <w:t>Treating every asset on a production line as equally critical.</w:t>
      </w:r>
    </w:p>
    <w:p>
      <w:pPr>
        <w:pStyle w:val="ListBullet"/>
      </w:pPr>
      <w:r>
        <w:t>Ignoring common power supplies, network switches, and shared infrastructure.</w:t>
      </w:r>
    </w:p>
    <w:p>
      <w:pPr>
        <w:pStyle w:val="ListBullet"/>
      </w:pPr>
      <w:r>
        <w:t>Assuming a standby machine eliminates risk without verifying changeover and readiness.</w:t>
      </w:r>
    </w:p>
    <w:p>
      <w:pPr>
        <w:pStyle w:val="ListBullet"/>
      </w:pPr>
      <w:r>
        <w:t>Using failure frequency alone to assess criticality.</w:t>
      </w:r>
    </w:p>
    <w:p>
      <w:pPr>
        <w:pStyle w:val="ListBullet"/>
      </w:pPr>
      <w:r>
        <w:t>Ignoring safety consequences because a failure is rare.</w:t>
      </w:r>
    </w:p>
    <w:p>
      <w:pPr>
        <w:pStyle w:val="ListBullet"/>
      </w:pPr>
      <w:r>
        <w:t>Applying arbitrary scoring thresholds without approved definitions.</w:t>
      </w:r>
    </w:p>
    <w:p>
      <w:pPr>
        <w:pStyle w:val="ListBullet"/>
      </w:pPr>
      <w:r>
        <w:t>Assigning criticality without involving production or relevant technical specialists.</w:t>
      </w:r>
    </w:p>
    <w:p>
      <w:pPr>
        <w:pStyle w:val="ListBullet"/>
      </w:pPr>
      <w:r>
        <w:t>Failing to connect critical equipment to maintenance plans and spare-parts records.</w:t>
      </w:r>
    </w:p>
    <w:p>
      <w:pPr>
        <w:pStyle w:val="ListBullet"/>
      </w:pPr>
      <w:r>
        <w:t>Ignoring obsolescence, software dependencies, and recovery time.</w:t>
      </w:r>
    </w:p>
    <w:p>
      <w:pPr>
        <w:pStyle w:val="ListBullet"/>
      </w:pPr>
      <w:r>
        <w:t>Leaving the list unchanged after major equipment or process modifications.</w:t>
      </w:r>
    </w:p>
    <w:p>
      <w:pPr>
        <w:pStyle w:val="ListBullet"/>
      </w:pPr>
      <w:r>
        <w:t>Treating the register as a one-time audit document rather than a maintained engineering record.</w:t>
      </w:r>
    </w:p>
    <w:p>
      <w:pPr>
        <w:pStyle w:val="Heading2"/>
      </w:pPr>
      <w:r>
        <w:t>18. Practical Implementation Checklist</w:t>
      </w:r>
    </w:p>
    <w:p>
      <w:pPr>
        <w:pStyle w:val="ListBullet"/>
      </w:pPr>
      <w:r>
        <w:t>Establish the equipment population and asset hierarchy.</w:t>
      </w:r>
    </w:p>
    <w:p>
      <w:pPr>
        <w:pStyle w:val="ListBullet"/>
      </w:pPr>
      <w:r>
        <w:t>Define the approved criticality assessment methodology.</w:t>
      </w:r>
    </w:p>
    <w:p>
      <w:pPr>
        <w:pStyle w:val="ListBullet"/>
      </w:pPr>
      <w:r>
        <w:t>Include safety, environmental, production, quality, and recovery consequences.</w:t>
      </w:r>
    </w:p>
    <w:p>
      <w:pPr>
        <w:pStyle w:val="ListBullet"/>
      </w:pPr>
      <w:r>
        <w:t>Identify equipment dependencies and common-cause failure points.</w:t>
      </w:r>
    </w:p>
    <w:p>
      <w:pPr>
        <w:pStyle w:val="ListBullet"/>
      </w:pPr>
      <w:r>
        <w:t>Assess redundancy and verify that backups are operational.</w:t>
      </w:r>
    </w:p>
    <w:p>
      <w:pPr>
        <w:pStyle w:val="ListBullet"/>
      </w:pPr>
      <w:r>
        <w:t>Assign and document the criticality classification.</w:t>
      </w:r>
    </w:p>
    <w:p>
      <w:pPr>
        <w:pStyle w:val="ListBullet"/>
      </w:pPr>
      <w:r>
        <w:t>Link critical assets to their maintenance strategies.</w:t>
      </w:r>
    </w:p>
    <w:p>
      <w:pPr>
        <w:pStyle w:val="ListBullet"/>
      </w:pPr>
      <w:r>
        <w:t>Identify critical subcomponents and relevant spare-parts records.</w:t>
      </w:r>
    </w:p>
    <w:p>
      <w:pPr>
        <w:pStyle w:val="ListBullet"/>
      </w:pPr>
      <w:r>
        <w:t>Check obsolescence and OEM support status.</w:t>
      </w:r>
    </w:p>
    <w:p>
      <w:pPr>
        <w:pStyle w:val="ListBullet"/>
      </w:pPr>
      <w:r>
        <w:t>Record configuration-backup and restoration references.</w:t>
      </w:r>
    </w:p>
    <w:p>
      <w:pPr>
        <w:pStyle w:val="ListBullet"/>
      </w:pPr>
      <w:r>
        <w:t>Assign ownership, approval, and review responsibilities.</w:t>
      </w:r>
    </w:p>
    <w:p>
      <w:pPr>
        <w:pStyle w:val="ListBullet"/>
      </w:pPr>
      <w:r>
        <w:t>Control revisions and retain the assessment rationale.</w:t>
      </w:r>
    </w:p>
    <w:p>
      <w:pPr>
        <w:pStyle w:val="ListBullet"/>
      </w:pPr>
      <w:r>
        <w:t>Review the list after major failures or equipment changes.</w:t>
      </w:r>
    </w:p>
    <w:p>
      <w:pPr>
        <w:pStyle w:val="Heading2"/>
      </w:pPr>
      <w:r>
        <w:t>19. Interview Questions and Answers</w:t>
      </w:r>
    </w:p>
    <w:p>
      <w:pPr>
        <w:pStyle w:val="Heading3"/>
      </w:pPr>
      <w:r>
        <w:t>What is a critical equipment list?</w:t>
      </w:r>
    </w:p>
    <w:p>
      <w:r>
        <w:t>It is a controlled register of assets identified as having significant safety, environmental, production, quality, compliance, or business consequences if they fail.</w:t>
      </w:r>
    </w:p>
    <w:p>
      <w:pPr>
        <w:pStyle w:val="Heading3"/>
      </w:pPr>
      <w:r>
        <w:t>Is the most expensive machine always the most critical?</w:t>
      </w:r>
    </w:p>
    <w:p>
      <w:r>
        <w:t>No. Criticality depends on failure consequences, process dependencies, recovery time, redundancy, and risk. An inexpensive common power supply or network switch can be more critical than a costly standalone machine.</w:t>
      </w:r>
    </w:p>
    <w:p>
      <w:pPr>
        <w:pStyle w:val="Heading3"/>
      </w:pPr>
      <w:r>
        <w:t>What is the difference between equipment criticality and equipment reliability?</w:t>
      </w:r>
    </w:p>
    <w:p>
      <w:r>
        <w:t>Criticality describes the consequence and importance of equipment failure. Reliability describes the probability or ability of the equipment to perform its required function over a specified period under stated conditions.</w:t>
      </w:r>
    </w:p>
    <w:p>
      <w:pPr>
        <w:pStyle w:val="Heading3"/>
      </w:pPr>
      <w:r>
        <w:t>Can equipment with low failure frequency be highly critical?</w:t>
      </w:r>
    </w:p>
    <w:p>
      <w:r>
        <w:t>Yes. An asset can fail rarely but cause severe consequences or a long production outage when it does fail.</w:t>
      </w:r>
    </w:p>
    <w:p>
      <w:pPr>
        <w:pStyle w:val="Heading3"/>
      </w:pPr>
      <w:r>
        <w:t>How does criticality influence preventive maintenance?</w:t>
      </w:r>
    </w:p>
    <w:p>
      <w:r>
        <w:t>It helps prioritize maintenance effort and recovery controls. The actual tasks and frequencies must still be based on failure mechanisms, risk, detectability, and applicable requirements.</w:t>
      </w:r>
    </w:p>
    <w:p>
      <w:pPr>
        <w:pStyle w:val="Heading3"/>
      </w:pPr>
      <w:r>
        <w:t>How is critical equipment linked to spare-parts planning?</w:t>
      </w:r>
    </w:p>
    <w:p>
      <w:r>
        <w:t>The equipment list identifies assets whose failure has major consequences. The spare-parts strategy then evaluates which components should be stocked, repaired, substituted, or supported through an approved recovery arrangement.</w:t>
      </w:r>
    </w:p>
    <w:p>
      <w:pPr>
        <w:pStyle w:val="Heading3"/>
      </w:pPr>
      <w:r>
        <w:t>Why should a common network switch or control power supply be assessed?</w:t>
      </w:r>
    </w:p>
    <w:p>
      <w:r>
        <w:t>It may be a single point of failure affecting several machines or control devices. Its consequence can be much greater than that of an individual downstream component.</w:t>
      </w:r>
    </w:p>
    <w:p>
      <w:pPr>
        <w:pStyle w:val="Heading3"/>
      </w:pPr>
      <w:r>
        <w:t>How often should the list be reviewed?</w:t>
      </w:r>
    </w:p>
    <w:p>
      <w:r>
        <w:t>Use the organization's approved review interval and reassess whenever material changes, major failures, risk changes, or obsolescence developments make the existing classification questionable.</w:t>
      </w:r>
    </w:p>
    <w:p>
      <w:pPr>
        <w:pStyle w:val="Heading3"/>
      </w:pPr>
      <w:r>
        <w:t>Is an A/B/C classification a universal standard?</w:t>
      </w:r>
    </w:p>
    <w:p>
      <w:r>
        <w:t>No. It is a common method of grouping criticality, but the definitions, scoring criteria, and thresholds must be established by the organization.</w:t>
      </w:r>
    </w:p>
    <w:p>
      <w:pPr>
        <w:pStyle w:val="Heading2"/>
      </w:pPr>
      <w:r>
        <w:t>20. Expected Output of This Topic</w:t>
      </w:r>
    </w:p>
    <w:p>
      <w:r>
        <w:t>The practical outcome is a controlled critical equipment register that supports maintenance and operational decisions.</w:t>
      </w:r>
    </w:p>
    <w:p>
      <w:r>
        <w:t>It should make the following questions answerable:</w:t>
      </w:r>
    </w:p>
    <w:p>
      <w:pPr>
        <w:pStyle w:val="ListBullet"/>
      </w:pPr>
      <w:r>
        <w:t>Which assets must receive priority attention?</w:t>
      </w:r>
    </w:p>
    <w:p>
      <w:pPr>
        <w:pStyle w:val="ListBullet"/>
      </w:pPr>
      <w:r>
        <w:t>Why is each asset considered critical?</w:t>
      </w:r>
    </w:p>
    <w:p>
      <w:pPr>
        <w:pStyle w:val="ListBullet"/>
      </w:pPr>
      <w:r>
        <w:t>What happens if the asset fails?</w:t>
      </w:r>
    </w:p>
    <w:p>
      <w:pPr>
        <w:pStyle w:val="ListBullet"/>
      </w:pPr>
      <w:r>
        <w:t>Which dependencies could extend the failure impact?</w:t>
      </w:r>
    </w:p>
    <w:p>
      <w:pPr>
        <w:pStyle w:val="ListBullet"/>
      </w:pPr>
      <w:r>
        <w:t>What maintenance strategy addresses its credible failure modes?</w:t>
      </w:r>
    </w:p>
    <w:p>
      <w:pPr>
        <w:pStyle w:val="ListBullet"/>
      </w:pPr>
      <w:r>
        <w:t>Which spares are needed to support recovery?</w:t>
      </w:r>
    </w:p>
    <w:p>
      <w:pPr>
        <w:pStyle w:val="ListBullet"/>
      </w:pPr>
      <w:r>
        <w:t>Are software, configuration, and technical backups available?</w:t>
      </w:r>
    </w:p>
    <w:p>
      <w:pPr>
        <w:pStyle w:val="ListBullet"/>
      </w:pPr>
      <w:r>
        <w:t>What obsolescence or supplier risks exist?</w:t>
      </w:r>
    </w:p>
    <w:p>
      <w:pPr>
        <w:pStyle w:val="ListBullet"/>
      </w:pPr>
      <w:r>
        <w:t>Who owns the asset and approves its classification?</w:t>
      </w:r>
    </w:p>
    <w:p>
      <w:pPr>
        <w:pStyle w:val="ListBullet"/>
      </w:pPr>
      <w:r>
        <w:t>When and why was the assessment last reviewed?</w:t>
      </w:r>
    </w:p>
    <w:p>
      <w:r>
        <w:t>The register is useful only when its findings are connected to actual maintenance plans, spare-parts decisions, risk controls, and recovery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02_PLAN_WISE_2026\02_INDUSTRY3_0\23_Spares\01_Strategy\01_Critical_Spares - Critical spares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Equipment List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