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Obsolescence in Industrial Maintenance</w:t>
      </w:r>
    </w:p>
    <w:p>
      <w:pPr>
        <w:pStyle w:val="Heading2"/>
      </w:pPr>
      <w:r>
        <w:t>1. Definition</w:t>
      </w:r>
    </w:p>
    <w:p>
      <w:r>
        <w:t>Obsolescence is the condition in which a component, product, technology, software version, or support service becomes unavailable, unsupported, unsuitable, or impractical to maintain using the original supply and service arrangements.</w:t>
      </w:r>
    </w:p>
    <w:p>
      <w:r>
        <w:t>In industrial maintenance, obsolescence becomes a major concern when a machine still performs its intended function, but its replacement parts, programming tools, firmware, technical support, or repair services are no longer readily available.</w:t>
      </w:r>
    </w:p>
    <w:p>
      <w:r>
        <w:t>A machine does not need to be old to become obsolete. A manufacturer may discontinue a product, change its product family, withdraw software support, or stop supplying a specific module while the installed equipment remains operational.</w:t>
      </w:r>
    </w:p>
    <w:p>
      <w:r>
        <w:t>Key principle: A functioning machine can still carry significant obsolescence risk.</w:t>
      </w:r>
    </w:p>
    <w:p>
      <w:pPr>
        <w:pStyle w:val="Heading2"/>
      </w:pPr>
      <w:r>
        <w:t>2. Why Obsolescence Management Matters</w:t>
      </w:r>
    </w:p>
    <w:p>
      <w:r>
        <w:t>Obsolescence management aims to prevent a discontinued component or unsupported technology from causing an avoidable production interruption.</w:t>
      </w:r>
    </w:p>
    <w:p>
      <w:r>
        <w:t>Main objectives include:</w:t>
      </w:r>
    </w:p>
    <w:p>
      <w:pPr>
        <w:pStyle w:val="ListBullet"/>
      </w:pPr>
      <w:r>
        <w:t>Identify obsolete and soon-to-be-obsolete components before failure.</w:t>
      </w:r>
    </w:p>
    <w:p>
      <w:pPr>
        <w:pStyle w:val="ListBullet"/>
      </w:pPr>
      <w:r>
        <w:t>Maintain access to suitable replacement parts.</w:t>
      </w:r>
    </w:p>
    <w:p>
      <w:pPr>
        <w:pStyle w:val="ListBullet"/>
      </w:pPr>
      <w:r>
        <w:t>Find and validate compatible successor products.</w:t>
      </w:r>
    </w:p>
    <w:p>
      <w:pPr>
        <w:pStyle w:val="ListBullet"/>
      </w:pPr>
      <w:r>
        <w:t>Protect access to programming software, firmware, licenses, and configuration files.</w:t>
      </w:r>
    </w:p>
    <w:p>
      <w:pPr>
        <w:pStyle w:val="ListBullet"/>
      </w:pPr>
      <w:r>
        <w:t>Reduce dependence on discontinued vendors or proprietary interfaces.</w:t>
      </w:r>
    </w:p>
    <w:p>
      <w:pPr>
        <w:pStyle w:val="ListBullet"/>
      </w:pPr>
      <w:r>
        <w:t>Plan migrations before a breakdown forces an emergency decision.</w:t>
      </w:r>
    </w:p>
    <w:p>
      <w:pPr>
        <w:pStyle w:val="ListBullet"/>
      </w:pPr>
      <w:r>
        <w:t>Maintain machine safety, quality, and performance after upgrades.</w:t>
      </w:r>
    </w:p>
    <w:p>
      <w:pPr>
        <w:pStyle w:val="ListBullet"/>
      </w:pPr>
      <w:r>
        <w:t>Control the lifecycle cost of installed automation systems.</w:t>
      </w:r>
    </w:p>
    <w:p>
      <w:pPr>
        <w:pStyle w:val="ListBullet"/>
      </w:pPr>
      <w:r>
        <w:t>Prevent unsupported components from becoming single points of failure.</w:t>
      </w:r>
    </w:p>
    <w:p>
      <w:r>
        <w:t>For industrial automation, this is particularly important because a PLC, HMI, CNC controller, or network module may be integrated with several other devices. Replacing one obsolete item can require changes across the entire control system.</w:t>
      </w:r>
    </w:p>
    <w:p>
      <w:pPr>
        <w:pStyle w:val="Heading2"/>
      </w:pPr>
      <w:r>
        <w:t>3. Obsolescence Versus Related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A product or technology is discontinued, unsupported, or no longer practical to maintain</w:t>
            </w:r>
          </w:p>
        </w:tc>
        <w:tc>
          <w:tcPr>
            <w:tcW w:type="dxa" w:w="3600"/>
          </w:tcPr>
          <w:p>
            <w:pPr>
              <w:spacing w:after="0" w:before="0" w:line="240" w:lineRule="auto"/>
              <w:jc w:val="left"/>
            </w:pPr>
            <w:r>
              <w:t>PLC family no longer manufactured</w:t>
            </w:r>
          </w:p>
        </w:tc>
      </w:tr>
      <w:tr>
        <w:tc>
          <w:tcPr>
            <w:tcW w:type="dxa" w:w="3600"/>
          </w:tcPr>
          <w:p>
            <w:pPr>
              <w:spacing w:after="0" w:before="0" w:line="240" w:lineRule="auto"/>
              <w:jc w:val="left"/>
            </w:pPr>
            <w:r>
              <w:t>End of production</w:t>
            </w:r>
          </w:p>
        </w:tc>
        <w:tc>
          <w:tcPr>
            <w:tcW w:type="dxa" w:w="3600"/>
          </w:tcPr>
          <w:p>
            <w:pPr>
              <w:spacing w:after="0" w:before="0" w:line="240" w:lineRule="auto"/>
              <w:jc w:val="left"/>
            </w:pPr>
            <w:r>
              <w:t>Manufacturer stops manufacturing a product</w:t>
            </w:r>
          </w:p>
        </w:tc>
        <w:tc>
          <w:tcPr>
            <w:tcW w:type="dxa" w:w="3600"/>
          </w:tcPr>
          <w:p>
            <w:pPr>
              <w:spacing w:after="0" w:before="0" w:line="240" w:lineRule="auto"/>
              <w:jc w:val="left"/>
            </w:pPr>
            <w:r>
              <w:t>Final production date for an HMI</w:t>
            </w:r>
          </w:p>
        </w:tc>
      </w:tr>
      <w:tr>
        <w:tc>
          <w:tcPr>
            <w:tcW w:type="dxa" w:w="3600"/>
          </w:tcPr>
          <w:p>
            <w:pPr>
              <w:spacing w:after="0" w:before="0" w:line="240" w:lineRule="auto"/>
              <w:jc w:val="left"/>
            </w:pPr>
            <w:r>
              <w:t>End of sale</w:t>
            </w:r>
          </w:p>
        </w:tc>
        <w:tc>
          <w:tcPr>
            <w:tcW w:type="dxa" w:w="3600"/>
          </w:tcPr>
          <w:p>
            <w:pPr>
              <w:spacing w:after="0" w:before="0" w:line="240" w:lineRule="auto"/>
              <w:jc w:val="left"/>
            </w:pPr>
            <w:r>
              <w:t>Manufacturer stops accepting new orders for a product</w:t>
            </w:r>
          </w:p>
        </w:tc>
        <w:tc>
          <w:tcPr>
            <w:tcW w:type="dxa" w:w="3600"/>
          </w:tcPr>
          <w:p>
            <w:pPr>
              <w:spacing w:after="0" w:before="0" w:line="240" w:lineRule="auto"/>
              <w:jc w:val="left"/>
            </w:pPr>
            <w:r>
              <w:t>Existing HMI no longer orderable</w:t>
            </w:r>
          </w:p>
        </w:tc>
      </w:tr>
      <w:tr>
        <w:tc>
          <w:tcPr>
            <w:tcW w:type="dxa" w:w="3600"/>
          </w:tcPr>
          <w:p>
            <w:pPr>
              <w:spacing w:after="0" w:before="0" w:line="240" w:lineRule="auto"/>
              <w:jc w:val="left"/>
            </w:pPr>
            <w:r>
              <w:t>End of support</w:t>
            </w:r>
          </w:p>
        </w:tc>
        <w:tc>
          <w:tcPr>
            <w:tcW w:type="dxa" w:w="3600"/>
          </w:tcPr>
          <w:p>
            <w:pPr>
              <w:spacing w:after="0" w:before="0" w:line="240" w:lineRule="auto"/>
              <w:jc w:val="left"/>
            </w:pPr>
            <w:r>
              <w:t>Manufacturer stops providing specified support services</w:t>
            </w:r>
          </w:p>
        </w:tc>
        <w:tc>
          <w:tcPr>
            <w:tcW w:type="dxa" w:w="3600"/>
          </w:tcPr>
          <w:p>
            <w:pPr>
              <w:spacing w:after="0" w:before="0" w:line="240" w:lineRule="auto"/>
              <w:jc w:val="left"/>
            </w:pPr>
            <w:r>
              <w:t>No further technical support for an old controller</w:t>
            </w:r>
          </w:p>
        </w:tc>
      </w:tr>
      <w:tr>
        <w:tc>
          <w:tcPr>
            <w:tcW w:type="dxa" w:w="3600"/>
          </w:tcPr>
          <w:p>
            <w:pPr>
              <w:spacing w:after="0" w:before="0" w:line="240" w:lineRule="auto"/>
              <w:jc w:val="left"/>
            </w:pPr>
            <w:r>
              <w:t>End of life (EOL)</w:t>
            </w:r>
          </w:p>
        </w:tc>
        <w:tc>
          <w:tcPr>
            <w:tcW w:type="dxa" w:w="3600"/>
          </w:tcPr>
          <w:p>
            <w:pPr>
              <w:spacing w:after="0" w:before="0" w:line="240" w:lineRule="auto"/>
              <w:jc w:val="left"/>
            </w:pPr>
            <w:r>
              <w:t>A manufacturer-defined lifecycle milestone, whose exact meaning depends on its policy</w:t>
            </w:r>
          </w:p>
        </w:tc>
        <w:tc>
          <w:tcPr>
            <w:tcW w:type="dxa" w:w="3600"/>
          </w:tcPr>
          <w:p>
            <w:pPr>
              <w:spacing w:after="0" w:before="0" w:line="240" w:lineRule="auto"/>
              <w:jc w:val="left"/>
            </w:pPr>
            <w:r>
              <w:t>Product enters its final lifecycle phase</w:t>
            </w:r>
          </w:p>
        </w:tc>
      </w:tr>
      <w:tr>
        <w:tc>
          <w:tcPr>
            <w:tcW w:type="dxa" w:w="3600"/>
          </w:tcPr>
          <w:p>
            <w:pPr>
              <w:spacing w:after="0" w:before="0" w:line="240" w:lineRule="auto"/>
              <w:jc w:val="left"/>
            </w:pPr>
            <w:r>
              <w:t>End of service life</w:t>
            </w:r>
          </w:p>
        </w:tc>
        <w:tc>
          <w:tcPr>
            <w:tcW w:type="dxa" w:w="3600"/>
          </w:tcPr>
          <w:p>
            <w:pPr>
              <w:spacing w:after="0" w:before="0" w:line="240" w:lineRule="auto"/>
              <w:jc w:val="left"/>
            </w:pPr>
            <w:r>
              <w:t>Repair or maintenance services are discontinued or become unavailable</w:t>
            </w:r>
          </w:p>
        </w:tc>
        <w:tc>
          <w:tcPr>
            <w:tcW w:type="dxa" w:w="3600"/>
          </w:tcPr>
          <w:p>
            <w:pPr>
              <w:spacing w:after="0" w:before="0" w:line="240" w:lineRule="auto"/>
              <w:jc w:val="left"/>
            </w:pPr>
            <w:r>
              <w:t>No authorized repair service for a CNC board</w:t>
            </w:r>
          </w:p>
        </w:tc>
      </w:tr>
      <w:tr>
        <w:tc>
          <w:tcPr>
            <w:tcW w:type="dxa" w:w="3600"/>
          </w:tcPr>
          <w:p>
            <w:pPr>
              <w:spacing w:after="0" w:before="0" w:line="240" w:lineRule="auto"/>
              <w:jc w:val="left"/>
            </w:pPr>
            <w:r>
              <w:t>End of software support</w:t>
            </w:r>
          </w:p>
        </w:tc>
        <w:tc>
          <w:tcPr>
            <w:tcW w:type="dxa" w:w="3600"/>
          </w:tcPr>
          <w:p>
            <w:pPr>
              <w:spacing w:after="0" w:before="0" w:line="240" w:lineRule="auto"/>
              <w:jc w:val="left"/>
            </w:pPr>
            <w:r>
              <w:t>Updates or technical support for a software version end</w:t>
            </w:r>
          </w:p>
        </w:tc>
        <w:tc>
          <w:tcPr>
            <w:tcW w:type="dxa" w:w="3600"/>
          </w:tcPr>
          <w:p>
            <w:pPr>
              <w:spacing w:after="0" w:before="0" w:line="240" w:lineRule="auto"/>
              <w:jc w:val="left"/>
            </w:pPr>
            <w:r>
              <w:t>Programming environment no longer supported</w:t>
            </w:r>
          </w:p>
        </w:tc>
      </w:tr>
      <w:tr>
        <w:tc>
          <w:tcPr>
            <w:tcW w:type="dxa" w:w="3600"/>
          </w:tcPr>
          <w:p>
            <w:pPr>
              <w:spacing w:after="0" w:before="0" w:line="240" w:lineRule="auto"/>
              <w:jc w:val="left"/>
            </w:pPr>
            <w:r>
              <w:t>Scarcity</w:t>
            </w:r>
          </w:p>
        </w:tc>
        <w:tc>
          <w:tcPr>
            <w:tcW w:type="dxa" w:w="3600"/>
          </w:tcPr>
          <w:p>
            <w:pPr>
              <w:spacing w:after="0" w:before="0" w:line="240" w:lineRule="auto"/>
              <w:jc w:val="left"/>
            </w:pPr>
            <w:r>
              <w:t>A product is difficult to obtain, even if it is not formally discontinued</w:t>
            </w:r>
          </w:p>
        </w:tc>
        <w:tc>
          <w:tcPr>
            <w:tcW w:type="dxa" w:w="3600"/>
          </w:tcPr>
          <w:p>
            <w:pPr>
              <w:spacing w:after="0" w:before="0" w:line="240" w:lineRule="auto"/>
              <w:jc w:val="left"/>
            </w:pPr>
            <w:r>
              <w:t>Long delivery times for a particular module</w:t>
            </w:r>
          </w:p>
        </w:tc>
      </w:tr>
      <w:tr>
        <w:tc>
          <w:tcPr>
            <w:tcW w:type="dxa" w:w="3600"/>
          </w:tcPr>
          <w:p>
            <w:pPr>
              <w:spacing w:after="0" w:before="0" w:line="240" w:lineRule="auto"/>
              <w:jc w:val="left"/>
            </w:pPr>
            <w:r>
              <w:t>Failure</w:t>
            </w:r>
          </w:p>
        </w:tc>
        <w:tc>
          <w:tcPr>
            <w:tcW w:type="dxa" w:w="3600"/>
          </w:tcPr>
          <w:p>
            <w:pPr>
              <w:spacing w:after="0" w:before="0" w:line="240" w:lineRule="auto"/>
              <w:jc w:val="left"/>
            </w:pPr>
            <w:r>
              <w:t>An item no longer performs its required function</w:t>
            </w:r>
          </w:p>
        </w:tc>
        <w:tc>
          <w:tcPr>
            <w:tcW w:type="dxa" w:w="3600"/>
          </w:tcPr>
          <w:p>
            <w:pPr>
              <w:spacing w:after="0" w:before="0" w:line="240" w:lineRule="auto"/>
              <w:jc w:val="left"/>
            </w:pPr>
            <w:r>
              <w:t>PLC power supply fails</w:t>
            </w:r>
          </w:p>
        </w:tc>
      </w:tr>
      <w:tr>
        <w:tc>
          <w:tcPr>
            <w:tcW w:type="dxa" w:w="3600"/>
          </w:tcPr>
          <w:p>
            <w:pPr>
              <w:spacing w:after="0" w:before="0" w:line="240" w:lineRule="auto"/>
              <w:jc w:val="left"/>
            </w:pPr>
            <w:r>
              <w:t>Replacement</w:t>
            </w:r>
          </w:p>
        </w:tc>
        <w:tc>
          <w:tcPr>
            <w:tcW w:type="dxa" w:w="3600"/>
          </w:tcPr>
          <w:p>
            <w:pPr>
              <w:spacing w:after="0" w:before="0" w:line="240" w:lineRule="auto"/>
              <w:jc w:val="left"/>
            </w:pPr>
            <w:r>
              <w:t>An action taken to substitute an item</w:t>
            </w:r>
          </w:p>
        </w:tc>
        <w:tc>
          <w:tcPr>
            <w:tcW w:type="dxa" w:w="3600"/>
          </w:tcPr>
          <w:p>
            <w:pPr>
              <w:spacing w:after="0" w:before="0" w:line="240" w:lineRule="auto"/>
              <w:jc w:val="left"/>
            </w:pPr>
            <w:r>
              <w:t>Installing a validated successor module</w:t>
            </w:r>
          </w:p>
        </w:tc>
      </w:tr>
    </w:tbl>
    <w:p/>
    <w:p>
      <w:r>
        <w:t>These terms are related but not interchangeable. A component can still be manufactured while its software is unsupported, or it can be discontinued while authorized repair services remain available.</w:t>
      </w:r>
    </w:p>
    <w:p>
      <w:r>
        <w:t>Always verify what a manufacturer means by each lifecycle status.</w:t>
      </w:r>
    </w:p>
    <w:p>
      <w:pPr>
        <w:pStyle w:val="Heading2"/>
      </w:pPr>
      <w:r>
        <w:t>4. Types of Obsolescence</w:t>
      </w:r>
    </w:p>
    <w:p>
      <w:pPr>
        <w:pStyle w:val="Heading3"/>
      </w:pPr>
      <w:r>
        <w:t>4.1 Component obsolescence</w:t>
      </w:r>
    </w:p>
    <w:p>
      <w:r>
        <w:t>A physical component is discontinued or becomes difficult to source.</w:t>
      </w:r>
    </w:p>
    <w:p>
      <w:r>
        <w:t>Examples:</w:t>
      </w:r>
    </w:p>
    <w:p>
      <w:pPr>
        <w:pStyle w:val="ListBullet"/>
      </w:pPr>
      <w:r>
        <w:t>PLC CPU.</w:t>
      </w:r>
    </w:p>
    <w:p>
      <w:pPr>
        <w:pStyle w:val="ListBullet"/>
      </w:pPr>
      <w:r>
        <w:t>Remote I/O module.</w:t>
      </w:r>
    </w:p>
    <w:p>
      <w:pPr>
        <w:pStyle w:val="ListBullet"/>
      </w:pPr>
      <w:r>
        <w:t>Industrial Ethernet switch.</w:t>
      </w:r>
    </w:p>
    <w:p>
      <w:pPr>
        <w:pStyle w:val="ListBullet"/>
      </w:pPr>
      <w:r>
        <w:t>CNC control board.</w:t>
      </w:r>
    </w:p>
    <w:p>
      <w:pPr>
        <w:pStyle w:val="ListBullet"/>
      </w:pPr>
      <w:r>
        <w:t>HMI panel.</w:t>
      </w:r>
    </w:p>
    <w:p>
      <w:pPr>
        <w:pStyle w:val="ListBullet"/>
      </w:pPr>
      <w:r>
        <w:t>Servo drive.</w:t>
      </w:r>
    </w:p>
    <w:p>
      <w:pPr>
        <w:pStyle w:val="ListBullet"/>
      </w:pPr>
      <w:r>
        <w:t>Encoder.</w:t>
      </w:r>
    </w:p>
    <w:p>
      <w:pPr>
        <w:pStyle w:val="ListBullet"/>
      </w:pPr>
      <w:r>
        <w:t>Specialized sensor.</w:t>
      </w:r>
    </w:p>
    <w:p>
      <w:pPr>
        <w:pStyle w:val="Heading3"/>
      </w:pPr>
      <w:r>
        <w:t>4.2 Technology obsolescence</w:t>
      </w:r>
    </w:p>
    <w:p>
      <w:r>
        <w:t>A technology is replaced by a newer design or standard.</w:t>
      </w:r>
    </w:p>
    <w:p>
      <w:r>
        <w:t>Examples:</w:t>
      </w:r>
    </w:p>
    <w:p>
      <w:pPr>
        <w:pStyle w:val="ListBullet"/>
      </w:pPr>
      <w:r>
        <w:t>An older industrial communication interface replaced by a newer network architecture.</w:t>
      </w:r>
    </w:p>
    <w:p>
      <w:pPr>
        <w:pStyle w:val="ListBullet"/>
      </w:pPr>
      <w:r>
        <w:t>A legacy computer interface replaced by a newer interface.</w:t>
      </w:r>
    </w:p>
    <w:p>
      <w:pPr>
        <w:pStyle w:val="ListBullet"/>
      </w:pPr>
      <w:r>
        <w:t>An outdated storage medium used for machine backups.</w:t>
      </w:r>
    </w:p>
    <w:p>
      <w:r>
        <w:t>The newer technology is not automatically a drop-in replacement. Electrical, protocol, mechanical, timing, and application compatibility must be evaluated.</w:t>
      </w:r>
    </w:p>
    <w:p>
      <w:pPr>
        <w:pStyle w:val="Heading3"/>
      </w:pPr>
      <w:r>
        <w:t>4.3 Software obsolescence</w:t>
      </w:r>
    </w:p>
    <w:p>
      <w:r>
        <w:t>Programming or operating software becomes unsupported, difficult to obtain, or incompatible with current computing environments.</w:t>
      </w:r>
    </w:p>
    <w:p>
      <w:r>
        <w:t>Examples:</w:t>
      </w:r>
    </w:p>
    <w:p>
      <w:pPr>
        <w:pStyle w:val="ListBullet"/>
      </w:pPr>
      <w:r>
        <w:t>An old PLC programming package requiring a legacy operating system.</w:t>
      </w:r>
    </w:p>
    <w:p>
      <w:pPr>
        <w:pStyle w:val="ListBullet"/>
      </w:pPr>
      <w:r>
        <w:t>HMI development software that cannot be installed on current engineering computers.</w:t>
      </w:r>
    </w:p>
    <w:p>
      <w:pPr>
        <w:pStyle w:val="ListBullet"/>
      </w:pPr>
      <w:r>
        <w:t>A CNC programming tool that requires an unavailable license server.</w:t>
      </w:r>
    </w:p>
    <w:p>
      <w:r>
        <w:t>Software obsolescence can prevent a functioning controller from being modified, restored, or diagnosed.</w:t>
      </w:r>
    </w:p>
    <w:p>
      <w:pPr>
        <w:pStyle w:val="Heading3"/>
      </w:pPr>
      <w:r>
        <w:t>4.4 Firmware obsolescence</w:t>
      </w:r>
    </w:p>
    <w:p>
      <w:r>
        <w:t>Firmware support ends or the required firmware version becomes unavailable.</w:t>
      </w:r>
    </w:p>
    <w:p>
      <w:r>
        <w:t>Potential consequences include difficulty replacing a device, incompatibility with current software, and limitations in security updates or functionality.</w:t>
      </w:r>
    </w:p>
    <w:p>
      <w:r>
        <w:t>Firmware upgrades must be planned carefully. Installing a newer version without checking compatibility can disrupt communication or machine operation.</w:t>
      </w:r>
    </w:p>
    <w:p>
      <w:pPr>
        <w:pStyle w:val="Heading3"/>
      </w:pPr>
      <w:r>
        <w:t>4.5 Vendor or service obsolescence</w:t>
      </w:r>
    </w:p>
    <w:p>
      <w:r>
        <w:t>The original supplier, repair organization, or specialist service provider stops supporting the equipment.</w:t>
      </w:r>
    </w:p>
    <w:p>
      <w:r>
        <w:t>The physical component may still exist, but repair expertise, test equipment, documentation, or calibration facilities may no longer be accessible.</w:t>
      </w:r>
    </w:p>
    <w:p>
      <w:pPr>
        <w:pStyle w:val="Heading3"/>
      </w:pPr>
      <w:r>
        <w:t>4.6 Cybersecurity obsolescence</w:t>
      </w:r>
    </w:p>
    <w:p>
      <w:r>
        <w:t>A device or software platform can no longer receive appropriate security updates or cannot meet current security requirements.</w:t>
      </w:r>
    </w:p>
    <w:p>
      <w:r>
        <w:t>Examples include unsupported industrial computers, outdated operating systems, and network devices with unpatched vulnerabilities.</w:t>
      </w:r>
    </w:p>
    <w:p>
      <w:r>
        <w:t>In operational technology, replacement decisions must account for availability, safety, compatibility, and cybersecurity rather than treating security upgrades as ordinary office-computer updates.</w:t>
      </w:r>
    </w:p>
    <w:p>
      <w:pPr>
        <w:pStyle w:val="Heading3"/>
      </w:pPr>
      <w:r>
        <w:t>4.7 Material or manufacturing obsolescence</w:t>
      </w:r>
    </w:p>
    <w:p>
      <w:r>
        <w:t>A material, production process, or manufacturing capability becomes unavailable.</w:t>
      </w:r>
    </w:p>
    <w:p>
      <w:r>
        <w:t>This may affect custom seals, legacy connectors, specialized boards, or mechanical parts made using discontinued tooling.</w:t>
      </w:r>
    </w:p>
    <w:p>
      <w:pPr>
        <w:pStyle w:val="Heading3"/>
      </w:pPr>
      <w:r>
        <w:t>4.8 Documentation obsolescence</w:t>
      </w:r>
    </w:p>
    <w:p>
      <w:r>
        <w:t>The documentation no longer reflects the installed system, or essential files are missing or unreadable.</w:t>
      </w:r>
    </w:p>
    <w:p>
      <w:r>
        <w:t>Examples include:</w:t>
      </w:r>
    </w:p>
    <w:p>
      <w:pPr>
        <w:pStyle w:val="ListBullet"/>
      </w:pPr>
      <w:r>
        <w:t>PLC source code that does not match the installed program.</w:t>
      </w:r>
    </w:p>
    <w:p>
      <w:pPr>
        <w:pStyle w:val="ListBullet"/>
      </w:pPr>
      <w:r>
        <w:t>Outdated electrical drawings.</w:t>
      </w:r>
    </w:p>
    <w:p>
      <w:pPr>
        <w:pStyle w:val="ListBullet"/>
      </w:pPr>
      <w:r>
        <w:t>Missing HMI project files.</w:t>
      </w:r>
    </w:p>
    <w:p>
      <w:pPr>
        <w:pStyle w:val="ListBullet"/>
      </w:pPr>
      <w:r>
        <w:t>Unavailable CNC parameters or machine-builder backups.</w:t>
      </w:r>
    </w:p>
    <w:p>
      <w:pPr>
        <w:pStyle w:val="ListBullet"/>
      </w:pPr>
      <w:r>
        <w:t>Incorrect network topology records.</w:t>
      </w:r>
    </w:p>
    <w:p>
      <w:r>
        <w:t>Documentation can become operationally obsolete even when the equipment itself is still supported.</w:t>
      </w:r>
    </w:p>
    <w:p>
      <w:pPr>
        <w:pStyle w:val="Heading2"/>
      </w:pPr>
      <w:r>
        <w:t>5. Common Obsolescence Risks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Obsolescence risk</w:t>
            </w:r>
          </w:p>
        </w:tc>
        <w:tc>
          <w:tcPr>
            <w:tcW w:type="dxa" w:w="3600"/>
            <w:shd w:val="clear" w:color="auto" w:fill="EEF2F7"/>
          </w:tcPr>
          <w:p>
            <w:pPr>
              <w:spacing w:after="0" w:before="0" w:line="240" w:lineRule="auto"/>
              <w:jc w:val="left"/>
            </w:pPr>
            <w:r>
              <w:rPr>
                <w:b/>
                <w:color w:val="1A2E4A"/>
              </w:rPr>
              <w:t>Potential consequence</w:t>
            </w:r>
          </w:p>
        </w:tc>
      </w:tr>
      <w:tr>
        <w:tc>
          <w:tcPr>
            <w:tcW w:type="dxa" w:w="3600"/>
          </w:tcPr>
          <w:p>
            <w:pPr>
              <w:spacing w:after="0" w:before="0" w:line="240" w:lineRule="auto"/>
              <w:jc w:val="left"/>
            </w:pPr>
            <w:r>
              <w:t>PLC</w:t>
            </w:r>
          </w:p>
        </w:tc>
        <w:tc>
          <w:tcPr>
            <w:tcW w:type="dxa" w:w="3600"/>
          </w:tcPr>
          <w:p>
            <w:pPr>
              <w:spacing w:after="0" w:before="0" w:line="240" w:lineRule="auto"/>
              <w:jc w:val="left"/>
            </w:pPr>
            <w:r>
              <w:t>Discontinued CPU or I/O family</w:t>
            </w:r>
          </w:p>
        </w:tc>
        <w:tc>
          <w:tcPr>
            <w:tcW w:type="dxa" w:w="3600"/>
          </w:tcPr>
          <w:p>
            <w:pPr>
              <w:spacing w:after="0" w:before="0" w:line="240" w:lineRule="auto"/>
              <w:jc w:val="left"/>
            </w:pPr>
            <w:r>
              <w:t>Controller replacement or system migration</w:t>
            </w:r>
          </w:p>
        </w:tc>
      </w:tr>
      <w:tr>
        <w:tc>
          <w:tcPr>
            <w:tcW w:type="dxa" w:w="3600"/>
          </w:tcPr>
          <w:p>
            <w:pPr>
              <w:spacing w:after="0" w:before="0" w:line="240" w:lineRule="auto"/>
              <w:jc w:val="left"/>
            </w:pPr>
            <w:r>
              <w:t>HMI</w:t>
            </w:r>
          </w:p>
        </w:tc>
        <w:tc>
          <w:tcPr>
            <w:tcW w:type="dxa" w:w="3600"/>
          </w:tcPr>
          <w:p>
            <w:pPr>
              <w:spacing w:after="0" w:before="0" w:line="240" w:lineRule="auto"/>
              <w:jc w:val="left"/>
            </w:pPr>
            <w:r>
              <w:t>Discontinued panel or development software</w:t>
            </w:r>
          </w:p>
        </w:tc>
        <w:tc>
          <w:tcPr>
            <w:tcW w:type="dxa" w:w="3600"/>
          </w:tcPr>
          <w:p>
            <w:pPr>
              <w:spacing w:after="0" w:before="0" w:line="240" w:lineRule="auto"/>
              <w:jc w:val="left"/>
            </w:pPr>
            <w:r>
              <w:t>Screen replacement and project conversion</w:t>
            </w:r>
          </w:p>
        </w:tc>
      </w:tr>
      <w:tr>
        <w:tc>
          <w:tcPr>
            <w:tcW w:type="dxa" w:w="3600"/>
          </w:tcPr>
          <w:p>
            <w:pPr>
              <w:spacing w:after="0" w:before="0" w:line="240" w:lineRule="auto"/>
              <w:jc w:val="left"/>
            </w:pPr>
            <w:r>
              <w:t>CNC</w:t>
            </w:r>
          </w:p>
        </w:tc>
        <w:tc>
          <w:tcPr>
            <w:tcW w:type="dxa" w:w="3600"/>
          </w:tcPr>
          <w:p>
            <w:pPr>
              <w:spacing w:after="0" w:before="0" w:line="240" w:lineRule="auto"/>
              <w:jc w:val="left"/>
            </w:pPr>
            <w:r>
              <w:t>Unsupported controller or programming environment</w:t>
            </w:r>
          </w:p>
        </w:tc>
        <w:tc>
          <w:tcPr>
            <w:tcW w:type="dxa" w:w="3600"/>
          </w:tcPr>
          <w:p>
            <w:pPr>
              <w:spacing w:after="0" w:before="0" w:line="240" w:lineRule="auto"/>
              <w:jc w:val="left"/>
            </w:pPr>
            <w:r>
              <w:t>Machine-builder intervention or control retrofit</w:t>
            </w:r>
          </w:p>
        </w:tc>
      </w:tr>
      <w:tr>
        <w:tc>
          <w:tcPr>
            <w:tcW w:type="dxa" w:w="3600"/>
          </w:tcPr>
          <w:p>
            <w:pPr>
              <w:spacing w:after="0" w:before="0" w:line="240" w:lineRule="auto"/>
              <w:jc w:val="left"/>
            </w:pPr>
            <w:r>
              <w:t>Servo drive</w:t>
            </w:r>
          </w:p>
        </w:tc>
        <w:tc>
          <w:tcPr>
            <w:tcW w:type="dxa" w:w="3600"/>
          </w:tcPr>
          <w:p>
            <w:pPr>
              <w:spacing w:after="0" w:before="0" w:line="240" w:lineRule="auto"/>
              <w:jc w:val="left"/>
            </w:pPr>
            <w:r>
              <w:t>Discontinued drive or motor combination</w:t>
            </w:r>
          </w:p>
        </w:tc>
        <w:tc>
          <w:tcPr>
            <w:tcW w:type="dxa" w:w="3600"/>
          </w:tcPr>
          <w:p>
            <w:pPr>
              <w:spacing w:after="0" w:before="0" w:line="240" w:lineRule="auto"/>
              <w:jc w:val="left"/>
            </w:pPr>
            <w:r>
              <w:t>Axis compatibility and tuning work</w:t>
            </w:r>
          </w:p>
        </w:tc>
      </w:tr>
      <w:tr>
        <w:tc>
          <w:tcPr>
            <w:tcW w:type="dxa" w:w="3600"/>
          </w:tcPr>
          <w:p>
            <w:pPr>
              <w:spacing w:after="0" w:before="0" w:line="240" w:lineRule="auto"/>
              <w:jc w:val="left"/>
            </w:pPr>
            <w:r>
              <w:t>Remote I/O</w:t>
            </w:r>
          </w:p>
        </w:tc>
        <w:tc>
          <w:tcPr>
            <w:tcW w:type="dxa" w:w="3600"/>
          </w:tcPr>
          <w:p>
            <w:pPr>
              <w:spacing w:after="0" w:before="0" w:line="240" w:lineRule="auto"/>
              <w:jc w:val="left"/>
            </w:pPr>
            <w:r>
              <w:t>Legacy communication adapter</w:t>
            </w:r>
          </w:p>
        </w:tc>
        <w:tc>
          <w:tcPr>
            <w:tcW w:type="dxa" w:w="3600"/>
          </w:tcPr>
          <w:p>
            <w:pPr>
              <w:spacing w:after="0" w:before="0" w:line="240" w:lineRule="auto"/>
              <w:jc w:val="left"/>
            </w:pPr>
            <w:r>
              <w:t>Network redesign or I/O replacement</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Unsupported hardware or operating system</w:t>
            </w:r>
          </w:p>
        </w:tc>
        <w:tc>
          <w:tcPr>
            <w:tcW w:type="dxa" w:w="3600"/>
          </w:tcPr>
          <w:p>
            <w:pPr>
              <w:spacing w:after="0" w:before="0" w:line="240" w:lineRule="auto"/>
              <w:jc w:val="left"/>
            </w:pPr>
            <w:r>
              <w:t>Software compatibility and cybersecurity issues</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t>Discontinued model or unsupported firmware</w:t>
            </w:r>
          </w:p>
        </w:tc>
        <w:tc>
          <w:tcPr>
            <w:tcW w:type="dxa" w:w="3600"/>
          </w:tcPr>
          <w:p>
            <w:pPr>
              <w:spacing w:after="0" w:before="0" w:line="240" w:lineRule="auto"/>
              <w:jc w:val="left"/>
            </w:pPr>
            <w:r>
              <w:t>Network replacement and configuration migration</w:t>
            </w:r>
          </w:p>
        </w:tc>
      </w:tr>
      <w:tr>
        <w:tc>
          <w:tcPr>
            <w:tcW w:type="dxa" w:w="3600"/>
          </w:tcPr>
          <w:p>
            <w:pPr>
              <w:spacing w:after="0" w:before="0" w:line="240" w:lineRule="auto"/>
              <w:jc w:val="left"/>
            </w:pPr>
            <w:r>
              <w:t>Sensor</w:t>
            </w:r>
          </w:p>
        </w:tc>
        <w:tc>
          <w:tcPr>
            <w:tcW w:type="dxa" w:w="3600"/>
          </w:tcPr>
          <w:p>
            <w:pPr>
              <w:spacing w:after="0" w:before="0" w:line="240" w:lineRule="auto"/>
              <w:jc w:val="left"/>
            </w:pPr>
            <w:r>
              <w:t>Discontinued output type or connector</w:t>
            </w:r>
          </w:p>
        </w:tc>
        <w:tc>
          <w:tcPr>
            <w:tcW w:type="dxa" w:w="3600"/>
          </w:tcPr>
          <w:p>
            <w:pPr>
              <w:spacing w:after="0" w:before="0" w:line="240" w:lineRule="auto"/>
              <w:jc w:val="left"/>
            </w:pPr>
            <w:r>
              <w:t>Electrical or mechanical redesign</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Unsupported controller generation</w:t>
            </w:r>
          </w:p>
        </w:tc>
        <w:tc>
          <w:tcPr>
            <w:tcW w:type="dxa" w:w="3600"/>
          </w:tcPr>
          <w:p>
            <w:pPr>
              <w:spacing w:after="0" w:before="0" w:line="240" w:lineRule="auto"/>
              <w:jc w:val="left"/>
            </w:pPr>
            <w:r>
              <w:t>Program, mastering, interface, and safety validation</w:t>
            </w:r>
          </w:p>
        </w:tc>
      </w:tr>
      <w:tr>
        <w:tc>
          <w:tcPr>
            <w:tcW w:type="dxa" w:w="3600"/>
          </w:tcPr>
          <w:p>
            <w:pPr>
              <w:spacing w:after="0" w:before="0" w:line="240" w:lineRule="auto"/>
              <w:jc w:val="left"/>
            </w:pPr>
            <w:r>
              <w:t>Test-bench electronics</w:t>
            </w:r>
          </w:p>
        </w:tc>
        <w:tc>
          <w:tcPr>
            <w:tcW w:type="dxa" w:w="3600"/>
          </w:tcPr>
          <w:p>
            <w:pPr>
              <w:spacing w:after="0" w:before="0" w:line="240" w:lineRule="auto"/>
              <w:jc w:val="left"/>
            </w:pPr>
            <w:r>
              <w:t>Proprietary measurement or interface board unavailable</w:t>
            </w:r>
          </w:p>
        </w:tc>
        <w:tc>
          <w:tcPr>
            <w:tcW w:type="dxa" w:w="3600"/>
          </w:tcPr>
          <w:p>
            <w:pPr>
              <w:spacing w:after="0" w:before="0" w:line="240" w:lineRule="auto"/>
              <w:jc w:val="left"/>
            </w:pPr>
            <w:r>
              <w:t>Loss of test capability or test-system redesign</w:t>
            </w:r>
          </w:p>
        </w:tc>
      </w:tr>
    </w:tbl>
    <w:p/>
    <w:p>
      <w:r>
        <w:t>The risk depends on the installed configuration, not just the product's age.</w:t>
      </w:r>
    </w:p>
    <w:p>
      <w:pPr>
        <w:pStyle w:val="Heading2"/>
      </w:pPr>
      <w:r>
        <w:t>6. Product Lifecycle Management</w:t>
      </w:r>
    </w:p>
    <w:p>
      <w:r>
        <w:t>A typical product lifecycle can be represented as:</w:t>
      </w:r>
    </w:p>
    <w:p>
      <w:pPr>
        <w:shd w:val="clear" w:color="auto" w:fill="F4F4F4"/>
        <w:spacing w:before="0" w:after="0" w:line="240" w:lineRule="auto"/>
        <w:ind w:left="216" w:right="216"/>
        <w:jc w:val="left"/>
      </w:pPr>
      <w:r>
        <w:rPr>
          <w:rFonts w:ascii="Consolas" w:hAnsi="Consolas"/>
          <w:color w:val="202020"/>
          <w:sz w:val="18"/>
        </w:rPr>
        <w:t>Product Introduction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Active Production and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Lifecycle Transition Announcement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Last-Time-Buy Period, If Offered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Discontinuation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Reduced or Limited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of Support or Service</w:t>
      </w:r>
    </w:p>
    <w:p/>
    <w:p>
      <w:r>
        <w:t>This is a general pattern, not a universal sequence. Manufacturers may use different terminology, overlap stages, or discontinue a product without offering a last-time-buy period.</w:t>
      </w:r>
    </w:p>
    <w:p>
      <w:r>
        <w:t>For each critical item, record the actual lifecycle status and dates published by the manufacturer.</w:t>
      </w:r>
    </w:p>
    <w:p>
      <w:pPr>
        <w:pStyle w:val="Heading2"/>
      </w:pPr>
      <w:r>
        <w:t>7. Obsolescence Identification</w:t>
      </w:r>
    </w:p>
    <w:p>
      <w:r>
        <w:t>Obsolescence management begins with a reliable installed-equipment inventory.</w:t>
      </w:r>
    </w:p>
    <w:p>
      <w:pPr>
        <w:pStyle w:val="Heading3"/>
      </w:pPr>
      <w:r>
        <w:t>7.1 Collect equipment and component information</w:t>
      </w:r>
    </w:p>
    <w:p>
      <w:r>
        <w:t>Record:</w:t>
      </w:r>
    </w:p>
    <w:p>
      <w:pPr>
        <w:pStyle w:val="ListBullet"/>
      </w:pPr>
      <w:r>
        <w:t>Equipment tag and machine location.</w:t>
      </w:r>
    </w:p>
    <w:p>
      <w:pPr>
        <w:pStyle w:val="ListBullet"/>
      </w:pPr>
      <w:r>
        <w:t>Equipment manufacturer and model.</w:t>
      </w:r>
    </w:p>
    <w:p>
      <w:pPr>
        <w:pStyle w:val="ListBullet"/>
      </w:pPr>
      <w:r>
        <w:t>Installed component manufacturer.</w:t>
      </w:r>
    </w:p>
    <w:p>
      <w:pPr>
        <w:pStyle w:val="ListBullet"/>
      </w:pPr>
      <w:r>
        <w:t>Exact part number and order code.</w:t>
      </w:r>
    </w:p>
    <w:p>
      <w:pPr>
        <w:pStyle w:val="ListBullet"/>
      </w:pPr>
      <w:r>
        <w:t>Hardware revision.</w:t>
      </w:r>
    </w:p>
    <w:p>
      <w:pPr>
        <w:pStyle w:val="ListBullet"/>
      </w:pPr>
      <w:r>
        <w:t>Firmware version.</w:t>
      </w:r>
    </w:p>
    <w:p>
      <w:pPr>
        <w:pStyle w:val="ListBullet"/>
      </w:pPr>
      <w:r>
        <w:t>Software and programming-tool version.</w:t>
      </w:r>
    </w:p>
    <w:p>
      <w:pPr>
        <w:pStyle w:val="ListBullet"/>
      </w:pPr>
      <w:r>
        <w:t>Communication interface.</w:t>
      </w:r>
    </w:p>
    <w:p>
      <w:pPr>
        <w:pStyle w:val="ListBullet"/>
      </w:pPr>
      <w:r>
        <w:t>Current supplier.</w:t>
      </w:r>
    </w:p>
    <w:p>
      <w:pPr>
        <w:pStyle w:val="ListBullet"/>
      </w:pPr>
      <w:r>
        <w:t>Installed quantity.</w:t>
      </w:r>
    </w:p>
    <w:p>
      <w:pPr>
        <w:pStyle w:val="ListBullet"/>
      </w:pPr>
      <w:r>
        <w:t>Spare quantity.</w:t>
      </w:r>
    </w:p>
    <w:p>
      <w:pPr>
        <w:pStyle w:val="ListBullet"/>
      </w:pPr>
      <w:r>
        <w:t>Repairability.</w:t>
      </w:r>
    </w:p>
    <w:p>
      <w:pPr>
        <w:pStyle w:val="ListBullet"/>
      </w:pPr>
      <w:r>
        <w:t>Criticality.</w:t>
      </w:r>
    </w:p>
    <w:p>
      <w:pPr>
        <w:pStyle w:val="ListBullet"/>
      </w:pPr>
      <w:r>
        <w:t>Estimated procurement lead time.</w:t>
      </w:r>
    </w:p>
    <w:p>
      <w:pPr>
        <w:pStyle w:val="ListBullet"/>
      </w:pPr>
      <w:r>
        <w:t>Lifecycle status and evidence date.</w:t>
      </w:r>
    </w:p>
    <w:p>
      <w:r>
        <w:t>For PLCs and CNCs, capture the exact model and revision from the installed device and engineering records. Similar-looking models may have different compatibility requirements.</w:t>
      </w:r>
    </w:p>
    <w:p>
      <w:pPr>
        <w:pStyle w:val="Heading3"/>
      </w:pPr>
      <w:r>
        <w:t>7.2 Verify the lifecycle status</w:t>
      </w:r>
    </w:p>
    <w:p>
      <w:r>
        <w:t>Use appropriate evidence, such as:</w:t>
      </w:r>
    </w:p>
    <w:p>
      <w:pPr>
        <w:pStyle w:val="ListBullet"/>
      </w:pPr>
      <w:r>
        <w:t>Official manufacturer lifecycle notices.</w:t>
      </w:r>
    </w:p>
    <w:p>
      <w:pPr>
        <w:pStyle w:val="ListBullet"/>
      </w:pPr>
      <w:r>
        <w:t>Product catalog status.</w:t>
      </w:r>
    </w:p>
    <w:p>
      <w:pPr>
        <w:pStyle w:val="ListBullet"/>
      </w:pPr>
      <w:r>
        <w:t>Product discontinuation announcements.</w:t>
      </w:r>
    </w:p>
    <w:p>
      <w:pPr>
        <w:pStyle w:val="ListBullet"/>
      </w:pPr>
      <w:r>
        <w:t>Authorized distributor confirmation.</w:t>
      </w:r>
    </w:p>
    <w:p>
      <w:pPr>
        <w:pStyle w:val="ListBullet"/>
      </w:pPr>
      <w:r>
        <w:t>Manufacturer support documentation.</w:t>
      </w:r>
    </w:p>
    <w:p>
      <w:pPr>
        <w:pStyle w:val="ListBullet"/>
      </w:pPr>
      <w:r>
        <w:t>Authorized repair-provider confirmation.</w:t>
      </w:r>
    </w:p>
    <w:p>
      <w:r>
        <w:t>A product being absent from a website is not sufficient proof that it is obsolete. It may have moved to a different catalog, region, or successor product family.</w:t>
      </w:r>
    </w:p>
    <w:p>
      <w:r>
        <w:t>Record the evidence source and the date it was checked.</w:t>
      </w:r>
    </w:p>
    <w:p>
      <w:pPr>
        <w:pStyle w:val="Heading3"/>
      </w:pPr>
      <w:r>
        <w:t>7.3 Identify dependencies</w:t>
      </w:r>
    </w:p>
    <w:p>
      <w:r>
        <w:t>For each obsolete component, identify everything that depends on it.</w:t>
      </w:r>
    </w:p>
    <w:p>
      <w:r>
        <w:t>For example, replacing a PLC CPU may affect:</w:t>
      </w:r>
    </w:p>
    <w:p>
      <w:pPr>
        <w:pStyle w:val="ListBullet"/>
      </w:pPr>
      <w:r>
        <w:t>Digital and analog I/O.</w:t>
      </w:r>
    </w:p>
    <w:p>
      <w:pPr>
        <w:pStyle w:val="ListBullet"/>
      </w:pPr>
      <w:r>
        <w:t>Remote I/O communication.</w:t>
      </w:r>
    </w:p>
    <w:p>
      <w:pPr>
        <w:pStyle w:val="ListBullet"/>
      </w:pPr>
      <w:r>
        <w:t>Programming software.</w:t>
      </w:r>
    </w:p>
    <w:p>
      <w:pPr>
        <w:pStyle w:val="ListBullet"/>
      </w:pPr>
      <w:r>
        <w:t>Firmware compatibility.</w:t>
      </w:r>
    </w:p>
    <w:p>
      <w:pPr>
        <w:pStyle w:val="ListBullet"/>
      </w:pPr>
      <w:r>
        <w:t>Network addressing and protocols.</w:t>
      </w:r>
    </w:p>
    <w:p>
      <w:pPr>
        <w:pStyle w:val="ListBullet"/>
      </w:pPr>
      <w:r>
        <w:t>HMI communication.</w:t>
      </w:r>
    </w:p>
    <w:p>
      <w:pPr>
        <w:pStyle w:val="ListBullet"/>
      </w:pPr>
      <w:r>
        <w:t>SCADA tag configuration.</w:t>
      </w:r>
    </w:p>
    <w:p>
      <w:pPr>
        <w:pStyle w:val="ListBullet"/>
      </w:pPr>
      <w:r>
        <w:t>Safety-related interfaces.</w:t>
      </w:r>
    </w:p>
    <w:p>
      <w:pPr>
        <w:pStyle w:val="ListBullet"/>
      </w:pPr>
      <w:r>
        <w:t>Data collection and reporting.</w:t>
      </w:r>
    </w:p>
    <w:p>
      <w:pPr>
        <w:pStyle w:val="ListBullet"/>
      </w:pPr>
      <w:r>
        <w:t>Backup and restore procedures.</w:t>
      </w:r>
    </w:p>
    <w:p>
      <w:pPr>
        <w:pStyle w:val="ListBullet"/>
      </w:pPr>
      <w:r>
        <w:t>Production validation.</w:t>
      </w:r>
    </w:p>
    <w:p>
      <w:r>
        <w:t>The component's purchase price may be small compared with the total engineering and commissioning cost of replacing it.</w:t>
      </w:r>
    </w:p>
    <w:p>
      <w:pPr>
        <w:pStyle w:val="Heading2"/>
      </w:pPr>
      <w:r>
        <w:t>8. Obsolescence Risk Assessment</w:t>
      </w:r>
    </w:p>
    <w:p>
      <w:r>
        <w:t>Obsolescence risk should consider both the probability of a supply or support problem and the consequence if the component becomes unavailable.</w:t>
      </w:r>
    </w:p>
    <w:p>
      <w:r>
        <w:t>Useful factors include:</w:t>
      </w:r>
    </w:p>
    <w:p>
      <w:pPr>
        <w:pStyle w:val="ListBullet"/>
      </w:pPr>
      <w:r>
        <w:t>Formal discontinuation status.</w:t>
      </w:r>
    </w:p>
    <w:p>
      <w:pPr>
        <w:pStyle w:val="ListBullet"/>
      </w:pPr>
      <w:r>
        <w:t>Manufacturer support status.</w:t>
      </w:r>
    </w:p>
    <w:p>
      <w:pPr>
        <w:pStyle w:val="ListBullet"/>
      </w:pPr>
      <w:r>
        <w:t>Supplier availability.</w:t>
      </w:r>
    </w:p>
    <w:p>
      <w:pPr>
        <w:pStyle w:val="ListBullet"/>
      </w:pPr>
      <w:r>
        <w:t>Number of independent supply sources.</w:t>
      </w:r>
    </w:p>
    <w:p>
      <w:pPr>
        <w:pStyle w:val="ListBullet"/>
      </w:pPr>
      <w:r>
        <w:t>Installed quantity.</w:t>
      </w:r>
    </w:p>
    <w:p>
      <w:pPr>
        <w:pStyle w:val="ListBullet"/>
      </w:pPr>
      <w:r>
        <w:t>Existing spare stock.</w:t>
      </w:r>
    </w:p>
    <w:p>
      <w:pPr>
        <w:pStyle w:val="ListBullet"/>
      </w:pPr>
      <w:r>
        <w:t>Failure frequency.</w:t>
      </w:r>
    </w:p>
    <w:p>
      <w:pPr>
        <w:pStyle w:val="ListBullet"/>
      </w:pPr>
      <w:r>
        <w:t>Equipment criticality.</w:t>
      </w:r>
    </w:p>
    <w:p>
      <w:pPr>
        <w:pStyle w:val="ListBullet"/>
      </w:pPr>
      <w:r>
        <w:t>Replacement lead time.</w:t>
      </w:r>
    </w:p>
    <w:p>
      <w:pPr>
        <w:pStyle w:val="ListBullet"/>
      </w:pPr>
      <w:r>
        <w:t>Repair availability.</w:t>
      </w:r>
    </w:p>
    <w:p>
      <w:pPr>
        <w:pStyle w:val="ListBullet"/>
      </w:pPr>
      <w:r>
        <w:t>Technical complexity of migration.</w:t>
      </w:r>
    </w:p>
    <w:p>
      <w:pPr>
        <w:pStyle w:val="ListBullet"/>
      </w:pPr>
      <w:r>
        <w:t>Cybersecurity exposure.</w:t>
      </w:r>
    </w:p>
    <w:p>
      <w:pPr>
        <w:pStyle w:val="ListBullet"/>
      </w:pPr>
      <w:r>
        <w:t>Required safety and quality validation.</w:t>
      </w:r>
    </w:p>
    <w:p>
      <w:r>
        <w:t>A simple internal scoring method can help prioritize review.</w:t>
      </w:r>
    </w:p>
    <w:p>
      <w:r>
        <w:t>For example:</w:t>
      </w:r>
    </w:p>
    <w:p>
      <w:pPr>
        <w:pStyle w:val="ListBullet"/>
      </w:pPr>
      <w:r>
        <w:t>Probability score: 1 to 5.</w:t>
      </w:r>
    </w:p>
    <w:p>
      <w:pPr>
        <w:pStyle w:val="ListBullet"/>
      </w:pPr>
      <w:r>
        <w:t>Consequence score: 1 to 5.</w:t>
      </w:r>
    </w:p>
    <w:p>
      <w:pPr>
        <w:pStyle w:val="ListBullet"/>
      </w:pPr>
      <w:r>
        <w:t>Risk score: probability multiplied by consequence.</w:t>
      </w:r>
    </w:p>
    <w:p>
      <w:pPr>
        <w:spacing w:before="120" w:after="160"/>
        <w:jc w:val="center"/>
      </w:pPr>
      <m:oMathPara>
        <m:oMath>
          <m:r>
            <m:t>R=P×C</m:t>
          </m:r>
        </m:oMath>
      </m:oMathPara>
    </w:p>
    <w:p>
      <w:r>
        <w:t>Where:</w:t>
      </w:r>
    </w:p>
    <w:p>
      <w:pPr>
        <w:pStyle w:val="ListBullet"/>
      </w:pPr>
      <m:oMath>
        <m:r>
          <m:t>R</m:t>
        </m:r>
      </m:oMath>
      <w:r>
        <w:t xml:space="preserve"> = indicative risk score.</w:t>
      </w:r>
    </w:p>
    <w:p>
      <w:pPr>
        <w:pStyle w:val="ListBullet"/>
      </w:pPr>
      <m:oMath>
        <m:r>
          <m:t>P</m:t>
        </m:r>
      </m:oMath>
      <w:r>
        <w:t xml:space="preserve"> = probability score.</w:t>
      </w:r>
    </w:p>
    <w:p>
      <w:pPr>
        <w:pStyle w:val="ListBullet"/>
      </w:pPr>
      <m:oMath>
        <m:r>
          <m:t>C</m:t>
        </m:r>
      </m:oMath>
      <w:r>
        <w:t xml:space="preserve"> = consequence score.</w:t>
      </w:r>
    </w:p>
    <w:p>
      <w:r>
        <w:t>Suppose a discontinued PLC module has a probability score of 4 and a consequence score of 5.</w:t>
      </w:r>
    </w:p>
    <w:p>
      <w:pPr>
        <w:spacing w:before="120" w:after="160"/>
        <w:jc w:val="center"/>
      </w:pPr>
      <m:oMathPara>
        <m:oMath>
          <m:r>
            <m:t>R=4×5=20</m:t>
          </m:r>
        </m:oMath>
      </m:oMathPara>
    </w:p>
    <w:p>
      <w:r>
        <w:t>The score is 20 out of a maximum of 25 under this scoring scheme.</w:t>
      </w:r>
    </w:p>
    <w:p>
      <w:r>
        <w:t>This is a prioritization tool, not a statistically validated failure probability. Establish site-defined thresholds for low, medium, high, and critical risk, and use a separate safety risk assessment wherever required.</w:t>
      </w:r>
    </w:p>
    <w:p>
      <w:pPr>
        <w:pStyle w:val="Heading2"/>
      </w:pPr>
      <w:r>
        <w:t>9. Obsolescence Risk Register</w:t>
      </w:r>
    </w:p>
    <w:p>
      <w:r>
        <w:t>A practical register can use the following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affected machine</w:t>
            </w:r>
          </w:p>
        </w:tc>
      </w:tr>
      <w:tr>
        <w:tc>
          <w:tcPr>
            <w:tcW w:type="dxa" w:w="5400"/>
          </w:tcPr>
          <w:p>
            <w:pPr>
              <w:spacing w:after="0" w:before="0" w:line="240" w:lineRule="auto"/>
              <w:jc w:val="left"/>
            </w:pPr>
            <w:r>
              <w:t>Component ID</w:t>
            </w:r>
          </w:p>
        </w:tc>
        <w:tc>
          <w:tcPr>
            <w:tcW w:type="dxa" w:w="5400"/>
          </w:tcPr>
          <w:p>
            <w:pPr>
              <w:spacing w:after="0" w:before="0" w:line="240" w:lineRule="auto"/>
              <w:jc w:val="left"/>
            </w:pPr>
            <w:r>
              <w:t>Identifies the installed item</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original supplier</w:t>
            </w:r>
          </w:p>
        </w:tc>
      </w:tr>
      <w:tr>
        <w:tc>
          <w:tcPr>
            <w:tcW w:type="dxa" w:w="5400"/>
          </w:tcPr>
          <w:p>
            <w:pPr>
              <w:spacing w:after="0" w:before="0" w:line="240" w:lineRule="auto"/>
              <w:jc w:val="left"/>
            </w:pPr>
            <w:r>
              <w:t>Part number</w:t>
            </w:r>
          </w:p>
        </w:tc>
        <w:tc>
          <w:tcPr>
            <w:tcW w:type="dxa" w:w="5400"/>
          </w:tcPr>
          <w:p>
            <w:pPr>
              <w:spacing w:after="0" w:before="0" w:line="240" w:lineRule="auto"/>
              <w:jc w:val="left"/>
            </w:pPr>
            <w:r>
              <w:t>Ensures exact identification</w:t>
            </w:r>
          </w:p>
        </w:tc>
      </w:tr>
      <w:tr>
        <w:tc>
          <w:tcPr>
            <w:tcW w:type="dxa" w:w="5400"/>
          </w:tcPr>
          <w:p>
            <w:pPr>
              <w:spacing w:after="0" w:before="0" w:line="240" w:lineRule="auto"/>
              <w:jc w:val="left"/>
            </w:pPr>
            <w:r>
              <w:t>Revision</w:t>
            </w:r>
          </w:p>
        </w:tc>
        <w:tc>
          <w:tcPr>
            <w:tcW w:type="dxa" w:w="5400"/>
          </w:tcPr>
          <w:p>
            <w:pPr>
              <w:spacing w:after="0" w:before="0" w:line="240" w:lineRule="auto"/>
              <w:jc w:val="left"/>
            </w:pPr>
            <w:r>
              <w:t>Distinguishes hardware or product variants</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Records active, discontinued, unsupported, or unknown status</w:t>
            </w:r>
          </w:p>
        </w:tc>
      </w:tr>
      <w:tr>
        <w:tc>
          <w:tcPr>
            <w:tcW w:type="dxa" w:w="5400"/>
          </w:tcPr>
          <w:p>
            <w:pPr>
              <w:spacing w:after="0" w:before="0" w:line="240" w:lineRule="auto"/>
              <w:jc w:val="left"/>
            </w:pPr>
            <w:r>
              <w:t>Status evidence</w:t>
            </w:r>
          </w:p>
        </w:tc>
        <w:tc>
          <w:tcPr>
            <w:tcW w:type="dxa" w:w="5400"/>
          </w:tcPr>
          <w:p>
            <w:pPr>
              <w:spacing w:after="0" w:before="0" w:line="240" w:lineRule="auto"/>
              <w:jc w:val="left"/>
            </w:pPr>
            <w:r>
              <w:t>Records the source of the lifecycle information</w:t>
            </w:r>
          </w:p>
        </w:tc>
      </w:tr>
      <w:tr>
        <w:tc>
          <w:tcPr>
            <w:tcW w:type="dxa" w:w="5400"/>
          </w:tcPr>
          <w:p>
            <w:pPr>
              <w:spacing w:after="0" w:before="0" w:line="240" w:lineRule="auto"/>
              <w:jc w:val="left"/>
            </w:pPr>
            <w:r>
              <w:t>Evidence date</w:t>
            </w:r>
          </w:p>
        </w:tc>
        <w:tc>
          <w:tcPr>
            <w:tcW w:type="dxa" w:w="5400"/>
          </w:tcPr>
          <w:p>
            <w:pPr>
              <w:spacing w:after="0" w:before="0" w:line="240" w:lineRule="auto"/>
              <w:jc w:val="left"/>
            </w:pPr>
            <w:r>
              <w:t>Shows when the status was verified</w:t>
            </w:r>
          </w:p>
        </w:tc>
      </w:tr>
      <w:tr>
        <w:tc>
          <w:tcPr>
            <w:tcW w:type="dxa" w:w="5400"/>
          </w:tcPr>
          <w:p>
            <w:pPr>
              <w:spacing w:after="0" w:before="0" w:line="240" w:lineRule="auto"/>
              <w:jc w:val="left"/>
            </w:pPr>
            <w:r>
              <w:t>Criticality</w:t>
            </w:r>
          </w:p>
        </w:tc>
        <w:tc>
          <w:tcPr>
            <w:tcW w:type="dxa" w:w="5400"/>
          </w:tcPr>
          <w:p>
            <w:pPr>
              <w:spacing w:after="0" w:before="0" w:line="240" w:lineRule="auto"/>
              <w:jc w:val="left"/>
            </w:pPr>
            <w:r>
              <w:t>Records operational importance</w:t>
            </w:r>
          </w:p>
        </w:tc>
      </w:tr>
      <w:tr>
        <w:tc>
          <w:tcPr>
            <w:tcW w:type="dxa" w:w="5400"/>
          </w:tcPr>
          <w:p>
            <w:pPr>
              <w:spacing w:after="0" w:before="0" w:line="240" w:lineRule="auto"/>
              <w:jc w:val="left"/>
            </w:pPr>
            <w:r>
              <w:t>Spare quantity</w:t>
            </w:r>
          </w:p>
        </w:tc>
        <w:tc>
          <w:tcPr>
            <w:tcW w:type="dxa" w:w="5400"/>
          </w:tcPr>
          <w:p>
            <w:pPr>
              <w:spacing w:after="0" w:before="0" w:line="240" w:lineRule="auto"/>
              <w:jc w:val="left"/>
            </w:pPr>
            <w:r>
              <w:t>Shows available inventory</w:t>
            </w:r>
          </w:p>
        </w:tc>
      </w:tr>
      <w:tr>
        <w:tc>
          <w:tcPr>
            <w:tcW w:type="dxa" w:w="5400"/>
          </w:tcPr>
          <w:p>
            <w:pPr>
              <w:spacing w:after="0" w:before="0" w:line="240" w:lineRule="auto"/>
              <w:jc w:val="left"/>
            </w:pPr>
            <w:r>
              <w:t>Supplier availability</w:t>
            </w:r>
          </w:p>
        </w:tc>
        <w:tc>
          <w:tcPr>
            <w:tcW w:type="dxa" w:w="5400"/>
          </w:tcPr>
          <w:p>
            <w:pPr>
              <w:spacing w:after="0" w:before="0" w:line="240" w:lineRule="auto"/>
              <w:jc w:val="left"/>
            </w:pPr>
            <w:r>
              <w:t>Records current sourcing options</w:t>
            </w:r>
          </w:p>
        </w:tc>
      </w:tr>
      <w:tr>
        <w:tc>
          <w:tcPr>
            <w:tcW w:type="dxa" w:w="5400"/>
          </w:tcPr>
          <w:p>
            <w:pPr>
              <w:spacing w:after="0" w:before="0" w:line="240" w:lineRule="auto"/>
              <w:jc w:val="left"/>
            </w:pPr>
            <w:r>
              <w:t>Repair availability</w:t>
            </w:r>
          </w:p>
        </w:tc>
        <w:tc>
          <w:tcPr>
            <w:tcW w:type="dxa" w:w="5400"/>
          </w:tcPr>
          <w:p>
            <w:pPr>
              <w:spacing w:after="0" w:before="0" w:line="240" w:lineRule="auto"/>
              <w:jc w:val="left"/>
            </w:pPr>
            <w:r>
              <w:t>Records whether repair is feasible</w:t>
            </w:r>
          </w:p>
        </w:tc>
      </w:tr>
      <w:tr>
        <w:tc>
          <w:tcPr>
            <w:tcW w:type="dxa" w:w="5400"/>
          </w:tcPr>
          <w:p>
            <w:pPr>
              <w:spacing w:after="0" w:before="0" w:line="240" w:lineRule="auto"/>
              <w:jc w:val="left"/>
            </w:pPr>
            <w:r>
              <w:t>Successor part</w:t>
            </w:r>
          </w:p>
        </w:tc>
        <w:tc>
          <w:tcPr>
            <w:tcW w:type="dxa" w:w="5400"/>
          </w:tcPr>
          <w:p>
            <w:pPr>
              <w:spacing w:after="0" w:before="0" w:line="240" w:lineRule="auto"/>
              <w:jc w:val="left"/>
            </w:pPr>
            <w:r>
              <w:t>Records a potential replacement</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Records validation progress</w:t>
            </w:r>
          </w:p>
        </w:tc>
      </w:tr>
      <w:tr>
        <w:tc>
          <w:tcPr>
            <w:tcW w:type="dxa" w:w="5400"/>
          </w:tcPr>
          <w:p>
            <w:pPr>
              <w:spacing w:after="0" w:before="0" w:line="240" w:lineRule="auto"/>
              <w:jc w:val="left"/>
            </w:pPr>
            <w:r>
              <w:t>Risk score</w:t>
            </w:r>
          </w:p>
        </w:tc>
        <w:tc>
          <w:tcPr>
            <w:tcW w:type="dxa" w:w="5400"/>
          </w:tcPr>
          <w:p>
            <w:pPr>
              <w:spacing w:after="0" w:before="0" w:line="240" w:lineRule="auto"/>
              <w:jc w:val="left"/>
            </w:pPr>
            <w:r>
              <w:t>Supports prioritization</w:t>
            </w:r>
          </w:p>
        </w:tc>
      </w:tr>
      <w:tr>
        <w:tc>
          <w:tcPr>
            <w:tcW w:type="dxa" w:w="5400"/>
          </w:tcPr>
          <w:p>
            <w:pPr>
              <w:spacing w:after="0" w:before="0" w:line="240" w:lineRule="auto"/>
              <w:jc w:val="left"/>
            </w:pPr>
            <w:r>
              <w:t>Mitigation plan</w:t>
            </w:r>
          </w:p>
        </w:tc>
        <w:tc>
          <w:tcPr>
            <w:tcW w:type="dxa" w:w="5400"/>
          </w:tcPr>
          <w:p>
            <w:pPr>
              <w:spacing w:after="0" w:before="0" w:line="240" w:lineRule="auto"/>
              <w:jc w:val="left"/>
            </w:pPr>
            <w:r>
              <w:t>Defines the selected response</w:t>
            </w:r>
          </w:p>
        </w:tc>
      </w:tr>
      <w:tr>
        <w:tc>
          <w:tcPr>
            <w:tcW w:type="dxa" w:w="5400"/>
          </w:tcPr>
          <w:p>
            <w:pPr>
              <w:spacing w:after="0" w:before="0" w:line="240" w:lineRule="auto"/>
              <w:jc w:val="left"/>
            </w:pPr>
            <w:r>
              <w:t>Owner</w:t>
            </w:r>
          </w:p>
        </w:tc>
        <w:tc>
          <w:tcPr>
            <w:tcW w:type="dxa" w:w="5400"/>
          </w:tcPr>
          <w:p>
            <w:pPr>
              <w:spacing w:after="0" w:before="0" w:line="240" w:lineRule="auto"/>
              <w:jc w:val="left"/>
            </w:pPr>
            <w:r>
              <w:t>Assigns responsibility</w:t>
            </w:r>
          </w:p>
        </w:tc>
      </w:tr>
      <w:tr>
        <w:tc>
          <w:tcPr>
            <w:tcW w:type="dxa" w:w="5400"/>
          </w:tcPr>
          <w:p>
            <w:pPr>
              <w:spacing w:after="0" w:before="0" w:line="240" w:lineRule="auto"/>
              <w:jc w:val="left"/>
            </w:pPr>
            <w:r>
              <w:t>Target date</w:t>
            </w:r>
          </w:p>
        </w:tc>
        <w:tc>
          <w:tcPr>
            <w:tcW w:type="dxa" w:w="5400"/>
          </w:tcPr>
          <w:p>
            <w:pPr>
              <w:spacing w:after="0" w:before="0" w:line="240" w:lineRule="auto"/>
              <w:jc w:val="left"/>
            </w:pPr>
            <w:r>
              <w:t>Sets the planned completion date</w:t>
            </w:r>
          </w:p>
        </w:tc>
      </w:tr>
      <w:tr>
        <w:tc>
          <w:tcPr>
            <w:tcW w:type="dxa" w:w="5400"/>
          </w:tcPr>
          <w:p>
            <w:pPr>
              <w:spacing w:after="0" w:before="0" w:line="240" w:lineRule="auto"/>
              <w:jc w:val="left"/>
            </w:pPr>
            <w:r>
              <w:t>Current status</w:t>
            </w:r>
          </w:p>
        </w:tc>
        <w:tc>
          <w:tcPr>
            <w:tcW w:type="dxa" w:w="5400"/>
          </w:tcPr>
          <w:p>
            <w:pPr>
              <w:spacing w:after="0" w:before="0" w:line="240" w:lineRule="auto"/>
              <w:jc w:val="left"/>
            </w:pPr>
            <w:r>
              <w:t>Tracks action progress</w:t>
            </w:r>
          </w:p>
        </w:tc>
      </w:tr>
    </w:tbl>
    <w:p/>
    <w:p>
      <w:r>
        <w:t>Avoid entering "compatible" merely because a supplier recommends a replacement. Compatibility should be supported by engineering review and the required validation.</w:t>
      </w:r>
    </w:p>
    <w:p>
      <w:pPr>
        <w:pStyle w:val="Heading2"/>
      </w:pPr>
      <w:r>
        <w:t>10. Strategies for Managing Obsolescence</w:t>
      </w:r>
    </w:p>
    <w:p>
      <w:pPr>
        <w:pStyle w:val="Heading3"/>
      </w:pPr>
      <w:r>
        <w:t>10.1 Last-time buy</w:t>
      </w:r>
    </w:p>
    <w:p>
      <w:r>
        <w:t>Purchase additional quantities before the manufacturer's final order deadline, if such an opportunity exists.</w:t>
      </w:r>
    </w:p>
    <w:p>
      <w:r>
        <w:t>Advantages:</w:t>
      </w:r>
    </w:p>
    <w:p>
      <w:pPr>
        <w:pStyle w:val="ListBullet"/>
      </w:pPr>
      <w:r>
        <w:t>May preserve compatibility with the installed system.</w:t>
      </w:r>
    </w:p>
    <w:p>
      <w:pPr>
        <w:pStyle w:val="ListBullet"/>
      </w:pPr>
      <w:r>
        <w:t>Can avoid an immediate migration.</w:t>
      </w:r>
    </w:p>
    <w:p>
      <w:pPr>
        <w:pStyle w:val="ListBullet"/>
      </w:pPr>
      <w:r>
        <w:t>Provides replacement stock for future failures.</w:t>
      </w:r>
    </w:p>
    <w:p>
      <w:r>
        <w:t>Limitations:</w:t>
      </w:r>
    </w:p>
    <w:p>
      <w:pPr>
        <w:pStyle w:val="ListBullet"/>
      </w:pPr>
      <w:r>
        <w:t>Ties up capital.</w:t>
      </w:r>
    </w:p>
    <w:p>
      <w:pPr>
        <w:pStyle w:val="ListBullet"/>
      </w:pPr>
      <w:r>
        <w:t>Creates storage and preservation requirements.</w:t>
      </w:r>
    </w:p>
    <w:p>
      <w:pPr>
        <w:pStyle w:val="ListBullet"/>
      </w:pPr>
      <w:r>
        <w:t>Does not solve software or cybersecurity obsolescence.</w:t>
      </w:r>
    </w:p>
    <w:p>
      <w:pPr>
        <w:pStyle w:val="ListBullet"/>
      </w:pPr>
      <w:r>
        <w:t>May leave the plant with stock that eventually becomes unusable.</w:t>
      </w:r>
    </w:p>
    <w:p>
      <w:pPr>
        <w:pStyle w:val="ListBullet"/>
      </w:pPr>
      <w:r>
        <w:t>Does not guarantee future repairability.</w:t>
      </w:r>
    </w:p>
    <w:p>
      <w:r>
        <w:t>Last-time buying should be based on demand, expected remaining equipment life, storage conditions, failure history, and migration plans.</w:t>
      </w:r>
    </w:p>
    <w:p>
      <w:pPr>
        <w:pStyle w:val="Heading3"/>
      </w:pPr>
      <w:r>
        <w:t>10.2 Repair and refurbishment</w:t>
      </w:r>
    </w:p>
    <w:p>
      <w:r>
        <w:t>Maintain existing equipment through an authorized or technically qualified repair service.</w:t>
      </w:r>
    </w:p>
    <w:p>
      <w:r>
        <w:t>This can be effective when:</w:t>
      </w:r>
    </w:p>
    <w:p>
      <w:pPr>
        <w:pStyle w:val="ListBullet"/>
      </w:pPr>
      <w:r>
        <w:t>Repair capability remains available.</w:t>
      </w:r>
    </w:p>
    <w:p>
      <w:pPr>
        <w:pStyle w:val="ListBullet"/>
      </w:pPr>
      <w:r>
        <w:t>Component condition can be evaluated.</w:t>
      </w:r>
    </w:p>
    <w:p>
      <w:pPr>
        <w:pStyle w:val="ListBullet"/>
      </w:pPr>
      <w:r>
        <w:t>Repair quality can be verified.</w:t>
      </w:r>
    </w:p>
    <w:p>
      <w:pPr>
        <w:pStyle w:val="ListBullet"/>
      </w:pPr>
      <w:r>
        <w:t>The repaired item can be safely reintegrated.</w:t>
      </w:r>
    </w:p>
    <w:p>
      <w:pPr>
        <w:pStyle w:val="ListBullet"/>
      </w:pPr>
      <w:r>
        <w:t>Required firmware, parameters, and configuration can be preserved.</w:t>
      </w:r>
    </w:p>
    <w:p>
      <w:r>
        <w:t>Repair does not automatically remove obsolescence risk. A repair provider can also discontinue support or lose access to necessary parts.</w:t>
      </w:r>
    </w:p>
    <w:p>
      <w:pPr>
        <w:pStyle w:val="Heading3"/>
      </w:pPr>
      <w:r>
        <w:t>10.3 Approved successor product</w:t>
      </w:r>
    </w:p>
    <w:p>
      <w:r>
        <w:t>Replace the obsolete item with a manufacturer-designated successor where the application supports it.</w:t>
      </w:r>
    </w:p>
    <w:p>
      <w:r>
        <w:t>Confirm:</w:t>
      </w:r>
    </w:p>
    <w:p>
      <w:pPr>
        <w:pStyle w:val="ListBullet"/>
      </w:pPr>
      <w:r>
        <w:t>Electrical compatibility.</w:t>
      </w:r>
    </w:p>
    <w:p>
      <w:pPr>
        <w:pStyle w:val="ListBullet"/>
      </w:pPr>
      <w:r>
        <w:t>Mechanical fit.</w:t>
      </w:r>
    </w:p>
    <w:p>
      <w:pPr>
        <w:pStyle w:val="ListBullet"/>
      </w:pPr>
      <w:r>
        <w:t>I/O characteristics.</w:t>
      </w:r>
    </w:p>
    <w:p>
      <w:pPr>
        <w:pStyle w:val="ListBullet"/>
      </w:pPr>
      <w:r>
        <w:t>Communication protocols.</w:t>
      </w:r>
    </w:p>
    <w:p>
      <w:pPr>
        <w:pStyle w:val="ListBullet"/>
      </w:pPr>
      <w:r>
        <w:t>Firmware compatibility.</w:t>
      </w:r>
    </w:p>
    <w:p>
      <w:pPr>
        <w:pStyle w:val="ListBullet"/>
      </w:pPr>
      <w:r>
        <w:t>Software support.</w:t>
      </w:r>
    </w:p>
    <w:p>
      <w:pPr>
        <w:pStyle w:val="ListBullet"/>
      </w:pPr>
      <w:r>
        <w:t>Performance and timing.</w:t>
      </w:r>
    </w:p>
    <w:p>
      <w:pPr>
        <w:pStyle w:val="ListBullet"/>
      </w:pPr>
      <w:r>
        <w:t>Environmental ratings.</w:t>
      </w:r>
    </w:p>
    <w:p>
      <w:pPr>
        <w:pStyle w:val="ListBullet"/>
      </w:pPr>
      <w:r>
        <w:t>Safety requirements.</w:t>
      </w:r>
    </w:p>
    <w:p>
      <w:pPr>
        <w:pStyle w:val="ListBullet"/>
      </w:pPr>
      <w:r>
        <w:t>Required configuration changes.</w:t>
      </w:r>
    </w:p>
    <w:p>
      <w:r>
        <w:t>A successor product may require engineering modifications even when the manufacturer identifies it as the recommended replacement.</w:t>
      </w:r>
    </w:p>
    <w:p>
      <w:pPr>
        <w:pStyle w:val="Heading3"/>
      </w:pPr>
      <w:r>
        <w:t>10.4 Migration to a new platform</w:t>
      </w:r>
    </w:p>
    <w:p>
      <w:r>
        <w:t>Migrate the system to a current product family or technology.</w:t>
      </w:r>
    </w:p>
    <w:p>
      <w:r>
        <w:t>This may involve replacing controllers, I/O, networks, software, operator interfaces, and engineering workstations.</w:t>
      </w:r>
    </w:p>
    <w:p>
      <w:r>
        <w:t>A migration requires a defined scope, design review, backup strategy, testing, commissioning plan, and rollback approach where practical.</w:t>
      </w:r>
    </w:p>
    <w:p>
      <w:pPr>
        <w:pStyle w:val="Heading3"/>
      </w:pPr>
      <w:r>
        <w:t>10.5 Redesign or retrofit</w:t>
      </w:r>
    </w:p>
    <w:p>
      <w:r>
        <w:t>Replace an obsolete subsystem with a redesigned solution that meets current operational requirements.</w:t>
      </w:r>
    </w:p>
    <w:p>
      <w:r>
        <w:t>Examples include replacing a legacy data-acquisition board with a supported industrial interface, or redesigning an old machine interface to use an available controller platform.</w:t>
      </w:r>
    </w:p>
    <w:p>
      <w:r>
        <w:t>Retrofits should preserve or improve required functionality, safety, quality, maintainability, and cybersecurity.</w:t>
      </w:r>
    </w:p>
    <w:p>
      <w:pPr>
        <w:pStyle w:val="Heading3"/>
      </w:pPr>
      <w:r>
        <w:t>10.6 Alternative sourcing</w:t>
      </w:r>
    </w:p>
    <w:p>
      <w:r>
        <w:t>Source the original item or an approved equivalent from a qualified supplier.</w:t>
      </w:r>
    </w:p>
    <w:p>
      <w:r>
        <w:t>Consider authenticity, traceability, condition, storage history, warranty, and return policy.</w:t>
      </w:r>
    </w:p>
    <w:p>
      <w:r>
        <w:t>A used or refurbished component may be useful, but its remaining life and configuration must not be assumed to match a new item.</w:t>
      </w:r>
    </w:p>
    <w:p>
      <w:pPr>
        <w:pStyle w:val="Heading2"/>
      </w:pPr>
      <w:r>
        <w:t>11. PLC Obsolescence Example</w:t>
      </w:r>
    </w:p>
    <w:p>
      <w:r>
        <w:t>Consider a production machine using a discontinued PLC CPU and an older remote I/O network.</w:t>
      </w:r>
    </w:p>
    <w:p>
      <w:r>
        <w:t>Potential failure scenario:</w:t>
      </w:r>
    </w:p>
    <w:p>
      <w:pPr>
        <w:pStyle w:val="ListBullet"/>
      </w:pPr>
      <w:r>
        <w:t>The CPU fails.</w:t>
      </w:r>
    </w:p>
    <w:p>
      <w:pPr>
        <w:pStyle w:val="ListBullet"/>
      </w:pPr>
      <w:r>
        <w:t>No new units are available through normal procurement.</w:t>
      </w:r>
    </w:p>
    <w:p>
      <w:pPr>
        <w:pStyle w:val="ListBullet"/>
      </w:pPr>
      <w:r>
        <w:t>A used unit is available but its condition is uncertain.</w:t>
      </w:r>
    </w:p>
    <w:p>
      <w:pPr>
        <w:pStyle w:val="ListBullet"/>
      </w:pPr>
      <w:r>
        <w:t>The programming software requires a legacy engineering computer.</w:t>
      </w:r>
    </w:p>
    <w:p>
      <w:pPr>
        <w:pStyle w:val="ListBullet"/>
      </w:pPr>
      <w:r>
        <w:t>The current PLC backup is incomplete.</w:t>
      </w:r>
    </w:p>
    <w:p>
      <w:r>
        <w:t>The problem is not just a missing CPU. It is a combination of hardware, software, configuration, and recovery risks.</w:t>
      </w:r>
    </w:p>
    <w:p>
      <w:r>
        <w:t>A structured mitigation plan should include:</w:t>
      </w:r>
    </w:p>
    <w:p>
      <w:pPr>
        <w:tabs>
          <w:tab w:pos="403" w:val="left"/>
        </w:tabs>
        <w:spacing w:after="40" w:line="276" w:lineRule="auto"/>
        <w:ind w:left="403" w:hanging="403"/>
        <w:jc w:val="left"/>
      </w:pPr>
      <w:r>
        <w:rPr>
          <w:color w:val="1A2E4A"/>
        </w:rPr>
        <w:t>1.</w:t>
        <w:tab/>
      </w:r>
      <w:r>
        <w:t>Verify the installed CPU, I/O, communication modules, firmware, and software versions.</w:t>
      </w:r>
    </w:p>
    <w:p>
      <w:pPr>
        <w:tabs>
          <w:tab w:pos="403" w:val="left"/>
        </w:tabs>
        <w:spacing w:after="40" w:line="276" w:lineRule="auto"/>
        <w:ind w:left="403" w:hanging="403"/>
        <w:jc w:val="left"/>
      </w:pPr>
      <w:r>
        <w:rPr>
          <w:color w:val="1A2E4A"/>
        </w:rPr>
        <w:t>2.</w:t>
        <w:tab/>
      </w:r>
      <w:r>
        <w:t>Confirm the official lifecycle status.</w:t>
      </w:r>
    </w:p>
    <w:p>
      <w:pPr>
        <w:tabs>
          <w:tab w:pos="403" w:val="left"/>
        </w:tabs>
        <w:spacing w:after="40" w:line="276" w:lineRule="auto"/>
        <w:ind w:left="403" w:hanging="403"/>
        <w:jc w:val="left"/>
      </w:pPr>
      <w:r>
        <w:rPr>
          <w:color w:val="1A2E4A"/>
        </w:rPr>
        <w:t>3.</w:t>
        <w:tab/>
      </w:r>
      <w:r>
        <w:t>Check the availability of new, refurbished, and repairable units.</w:t>
      </w:r>
    </w:p>
    <w:p>
      <w:pPr>
        <w:tabs>
          <w:tab w:pos="403" w:val="left"/>
        </w:tabs>
        <w:spacing w:after="40" w:line="276" w:lineRule="auto"/>
        <w:ind w:left="403" w:hanging="403"/>
        <w:jc w:val="left"/>
      </w:pPr>
      <w:r>
        <w:rPr>
          <w:color w:val="1A2E4A"/>
        </w:rPr>
        <w:t>4.</w:t>
        <w:tab/>
      </w:r>
      <w:r>
        <w:t>Verify the integrity of the PLC program and hardware configuration backups.</w:t>
      </w:r>
    </w:p>
    <w:p>
      <w:pPr>
        <w:tabs>
          <w:tab w:pos="403" w:val="left"/>
        </w:tabs>
        <w:spacing w:after="40" w:line="276" w:lineRule="auto"/>
        <w:ind w:left="403" w:hanging="403"/>
        <w:jc w:val="left"/>
      </w:pPr>
      <w:r>
        <w:rPr>
          <w:color w:val="1A2E4A"/>
        </w:rPr>
        <w:t>5.</w:t>
        <w:tab/>
      </w:r>
      <w:r>
        <w:t>Preserve required programming software, installation media, licenses, and compatible engineering environments in accordance with company policy.</w:t>
      </w:r>
    </w:p>
    <w:p>
      <w:pPr>
        <w:tabs>
          <w:tab w:pos="403" w:val="left"/>
        </w:tabs>
        <w:spacing w:after="40" w:line="276" w:lineRule="auto"/>
        <w:ind w:left="403" w:hanging="403"/>
        <w:jc w:val="left"/>
      </w:pPr>
      <w:r>
        <w:rPr>
          <w:color w:val="1A2E4A"/>
        </w:rPr>
        <w:t>6.</w:t>
        <w:tab/>
      </w:r>
      <w:r>
        <w:t>Identify an approved successor or migration platform.</w:t>
      </w:r>
    </w:p>
    <w:p>
      <w:pPr>
        <w:tabs>
          <w:tab w:pos="403" w:val="left"/>
        </w:tabs>
        <w:spacing w:after="40" w:line="276" w:lineRule="auto"/>
        <w:ind w:left="403" w:hanging="403"/>
        <w:jc w:val="left"/>
      </w:pPr>
      <w:r>
        <w:rPr>
          <w:color w:val="1A2E4A"/>
        </w:rPr>
        <w:t>7.</w:t>
        <w:tab/>
      </w:r>
      <w:r>
        <w:t>Assess I/O compatibility, network interfaces, HMI communication, and safety dependencies.</w:t>
      </w:r>
    </w:p>
    <w:p>
      <w:pPr>
        <w:tabs>
          <w:tab w:pos="403" w:val="left"/>
        </w:tabs>
        <w:spacing w:after="40" w:line="276" w:lineRule="auto"/>
        <w:ind w:left="403" w:hanging="403"/>
        <w:jc w:val="left"/>
      </w:pPr>
      <w:r>
        <w:rPr>
          <w:color w:val="1A2E4A"/>
        </w:rPr>
        <w:t>8.</w:t>
        <w:tab/>
      </w:r>
      <w:r>
        <w:t>Estimate engineering, material, downtime, and commissioning costs.</w:t>
      </w:r>
    </w:p>
    <w:p>
      <w:pPr>
        <w:tabs>
          <w:tab w:pos="403" w:val="left"/>
        </w:tabs>
        <w:spacing w:after="40" w:line="276" w:lineRule="auto"/>
        <w:ind w:left="403" w:hanging="403"/>
        <w:jc w:val="left"/>
      </w:pPr>
      <w:r>
        <w:rPr>
          <w:color w:val="1A2E4A"/>
        </w:rPr>
        <w:t>9.</w:t>
        <w:tab/>
      </w:r>
      <w:r>
        <w:t>Develop and test a migration plan before the failure occurs.</w:t>
      </w:r>
    </w:p>
    <w:p>
      <w:pPr>
        <w:tabs>
          <w:tab w:pos="403" w:val="left"/>
        </w:tabs>
        <w:spacing w:after="40" w:line="276" w:lineRule="auto"/>
        <w:ind w:left="403" w:hanging="403"/>
        <w:jc w:val="left"/>
      </w:pPr>
      <w:r>
        <w:rPr>
          <w:color w:val="1A2E4A"/>
        </w:rPr>
        <w:t>10.</w:t>
        <w:tab/>
      </w:r>
      <w:r>
        <w:t>Update drawings, software backups, spare-part records, and maintenance procedures.</w:t>
      </w:r>
    </w:p>
    <w:p>
      <w:r>
        <w:t>The aim is to turn an emergency replacement into a planned engineering activity.</w:t>
      </w:r>
    </w:p>
    <w:p>
      <w:pPr>
        <w:pStyle w:val="Heading2"/>
      </w:pPr>
      <w:r>
        <w:t>12. CNC and Robot Obsolescence</w:t>
      </w:r>
    </w:p>
    <w:p>
      <w:pPr>
        <w:pStyle w:val="Heading3"/>
      </w:pPr>
      <w:r>
        <w:t>12.1 CNC systems</w:t>
      </w:r>
    </w:p>
    <w:p>
      <w:r>
        <w:t>CNC obsolescence may affect:</w:t>
      </w:r>
    </w:p>
    <w:p>
      <w:pPr>
        <w:pStyle w:val="ListBullet"/>
      </w:pPr>
      <w:r>
        <w:t>CNC controller hardware.</w:t>
      </w:r>
    </w:p>
    <w:p>
      <w:pPr>
        <w:pStyle w:val="ListBullet"/>
      </w:pPr>
      <w:r>
        <w:t>Servo drives and motors.</w:t>
      </w:r>
    </w:p>
    <w:p>
      <w:pPr>
        <w:pStyle w:val="ListBullet"/>
      </w:pPr>
      <w:r>
        <w:t>Feedback devices.</w:t>
      </w:r>
    </w:p>
    <w:p>
      <w:pPr>
        <w:pStyle w:val="ListBullet"/>
      </w:pPr>
      <w:r>
        <w:t>Machine-builder interface boards.</w:t>
      </w:r>
    </w:p>
    <w:p>
      <w:pPr>
        <w:pStyle w:val="ListBullet"/>
      </w:pPr>
      <w:r>
        <w:t>Operator panels.</w:t>
      </w:r>
    </w:p>
    <w:p>
      <w:pPr>
        <w:pStyle w:val="ListBullet"/>
      </w:pPr>
      <w:r>
        <w:t>Programming software.</w:t>
      </w:r>
    </w:p>
    <w:p>
      <w:pPr>
        <w:pStyle w:val="ListBullet"/>
      </w:pPr>
      <w:r>
        <w:t>Parameter backup and restoration tools.</w:t>
      </w:r>
    </w:p>
    <w:p>
      <w:pPr>
        <w:pStyle w:val="ListBullet"/>
      </w:pPr>
      <w:r>
        <w:t>Communication interfaces.</w:t>
      </w:r>
    </w:p>
    <w:p>
      <w:pPr>
        <w:pStyle w:val="ListBullet"/>
      </w:pPr>
      <w:r>
        <w:t>Replacement parts for machine-specific electronics.</w:t>
      </w:r>
    </w:p>
    <w:p>
      <w:r>
        <w:t>Before replacing a CNC controller, determine whether the machine builder uses proprietary interfaces, customized PLC logic, specialized cycles, or machine-specific parameter sets.</w:t>
      </w:r>
    </w:p>
    <w:p>
      <w:r>
        <w:t>Controller migration can affect machine behavior, accuracy, tool changing, spindle operation, axis control, safety functions, and production programs.</w:t>
      </w:r>
    </w:p>
    <w:p>
      <w:r>
        <w:t>Preserve the original parameters, machine-builder documentation, approved software backups, and recovery procedures.</w:t>
      </w:r>
    </w:p>
    <w:p>
      <w:pPr>
        <w:pStyle w:val="Heading3"/>
      </w:pPr>
      <w:r>
        <w:t>12.2 Industrial robots</w:t>
      </w:r>
    </w:p>
    <w:p>
      <w:r>
        <w:t>Robot obsolescence can affect:</w:t>
      </w:r>
    </w:p>
    <w:p>
      <w:pPr>
        <w:pStyle w:val="ListBullet"/>
      </w:pPr>
      <w:r>
        <w:t>Controller cabinets.</w:t>
      </w:r>
    </w:p>
    <w:p>
      <w:pPr>
        <w:pStyle w:val="ListBullet"/>
      </w:pPr>
      <w:r>
        <w:t>Servo drives.</w:t>
      </w:r>
    </w:p>
    <w:p>
      <w:pPr>
        <w:pStyle w:val="ListBullet"/>
      </w:pPr>
      <w:r>
        <w:t>Motors and feedback devices.</w:t>
      </w:r>
    </w:p>
    <w:p>
      <w:pPr>
        <w:pStyle w:val="ListBullet"/>
      </w:pPr>
      <w:r>
        <w:t>Teach pendants.</w:t>
      </w:r>
    </w:p>
    <w:p>
      <w:pPr>
        <w:pStyle w:val="ListBullet"/>
      </w:pPr>
      <w:r>
        <w:t>Safety boards.</w:t>
      </w:r>
    </w:p>
    <w:p>
      <w:pPr>
        <w:pStyle w:val="ListBullet"/>
      </w:pPr>
      <w:r>
        <w:t>Communication options.</w:t>
      </w:r>
    </w:p>
    <w:p>
      <w:pPr>
        <w:pStyle w:val="ListBullet"/>
      </w:pPr>
      <w:r>
        <w:t>Programming software.</w:t>
      </w:r>
    </w:p>
    <w:p>
      <w:pPr>
        <w:pStyle w:val="ListBullet"/>
      </w:pPr>
      <w:r>
        <w:t>Robot-specific fieldbus interfaces.</w:t>
      </w:r>
    </w:p>
    <w:p>
      <w:r>
        <w:t>Migration planning must account for robot programs, mastering data, tool and work frames, safety configuration, external-axis integration, and communication with PLCs and other equipment.</w:t>
      </w:r>
    </w:p>
    <w:p>
      <w:r>
        <w:t>Program compatibility does not prove that the migrated robot system is safe or production-ready. Required mastering checks, safeguarding validation, and application testing must be completed.</w:t>
      </w:r>
    </w:p>
    <w:p>
      <w:pPr>
        <w:pStyle w:val="Heading2"/>
      </w:pPr>
      <w:r>
        <w:t>13. Software and Configuration Preservation</w:t>
      </w:r>
    </w:p>
    <w:p>
      <w:r>
        <w:t>Hardware stock is only one part of obsolescence management. A replacement controller can be useless if the required program, parameters, licenses, or compatible software are unavailable.</w:t>
      </w:r>
    </w:p>
    <w:p>
      <w:r>
        <w:t>For each important automation asset, preserve approved copies of:</w:t>
      </w:r>
    </w:p>
    <w:p>
      <w:pPr>
        <w:pStyle w:val="ListBullet"/>
      </w:pPr>
      <w:r>
        <w:t>PLC source programs and hardware configurations.</w:t>
      </w:r>
    </w:p>
    <w:p>
      <w:pPr>
        <w:pStyle w:val="ListBullet"/>
      </w:pPr>
      <w:r>
        <w:t>HMI project files.</w:t>
      </w:r>
    </w:p>
    <w:p>
      <w:pPr>
        <w:pStyle w:val="ListBullet"/>
      </w:pPr>
      <w:r>
        <w:t>CNC parameters and machine-builder backups.</w:t>
      </w:r>
    </w:p>
    <w:p>
      <w:pPr>
        <w:pStyle w:val="ListBullet"/>
      </w:pPr>
      <w:r>
        <w:t>Robot programs and configuration data.</w:t>
      </w:r>
    </w:p>
    <w:p>
      <w:pPr>
        <w:pStyle w:val="ListBullet"/>
      </w:pPr>
      <w:r>
        <w:t>Drive parameters.</w:t>
      </w:r>
    </w:p>
    <w:p>
      <w:pPr>
        <w:pStyle w:val="ListBullet"/>
      </w:pPr>
      <w:r>
        <w:t>Network configurations.</w:t>
      </w:r>
    </w:p>
    <w:p>
      <w:pPr>
        <w:pStyle w:val="ListBullet"/>
      </w:pPr>
      <w:r>
        <w:t>Firmware packages where permitted.</w:t>
      </w:r>
    </w:p>
    <w:p>
      <w:pPr>
        <w:pStyle w:val="ListBullet"/>
      </w:pPr>
      <w:r>
        <w:t>Required software installers and license information.</w:t>
      </w:r>
    </w:p>
    <w:p>
      <w:pPr>
        <w:pStyle w:val="ListBullet"/>
      </w:pPr>
      <w:r>
        <w:t>Electrical drawings and I/O lists.</w:t>
      </w:r>
    </w:p>
    <w:p>
      <w:pPr>
        <w:pStyle w:val="ListBullet"/>
      </w:pPr>
      <w:r>
        <w:t>Communication settings.</w:t>
      </w:r>
    </w:p>
    <w:p>
      <w:pPr>
        <w:pStyle w:val="ListBullet"/>
      </w:pPr>
      <w:r>
        <w:t>Recovery and restoration procedures.</w:t>
      </w:r>
    </w:p>
    <w:p>
      <w:r>
        <w:t>Maintain version control, access control, backup verification, and change history.</w:t>
      </w:r>
    </w:p>
    <w:p>
      <w:r>
        <w:t>Backups should be tested periodically. A file that exists but cannot be restored is not a dependable recovery resource.</w:t>
      </w:r>
    </w:p>
    <w:p>
      <w:pPr>
        <w:pStyle w:val="Heading2"/>
      </w:pPr>
      <w:r>
        <w:t>14. Obsolescence and Cybersecurity</w:t>
      </w:r>
    </w:p>
    <w:p>
      <w:r>
        <w:t>An obsolete device may introduce cybersecurity exposure when it no longer receives security fixes or cannot support current protection mechanisms.</w:t>
      </w:r>
    </w:p>
    <w:p>
      <w:r>
        <w:t>Possible controls include:</w:t>
      </w:r>
    </w:p>
    <w:p>
      <w:pPr>
        <w:pStyle w:val="ListBullet"/>
      </w:pPr>
      <w:r>
        <w:t>Restricting network access.</w:t>
      </w:r>
    </w:p>
    <w:p>
      <w:pPr>
        <w:pStyle w:val="ListBullet"/>
      </w:pPr>
      <w:r>
        <w:t>Separating industrial networks from business networks.</w:t>
      </w:r>
    </w:p>
    <w:p>
      <w:pPr>
        <w:pStyle w:val="ListBullet"/>
      </w:pPr>
      <w:r>
        <w:t>Allowlisting approved communications where feasible.</w:t>
      </w:r>
    </w:p>
    <w:p>
      <w:pPr>
        <w:pStyle w:val="ListBullet"/>
      </w:pPr>
      <w:r>
        <w:t>Limiting engineering access.</w:t>
      </w:r>
    </w:p>
    <w:p>
      <w:pPr>
        <w:pStyle w:val="ListBullet"/>
      </w:pPr>
      <w:r>
        <w:t>Maintaining controlled offline backups.</w:t>
      </w:r>
    </w:p>
    <w:p>
      <w:pPr>
        <w:pStyle w:val="ListBullet"/>
      </w:pPr>
      <w:r>
        <w:t>Monitoring network activity.</w:t>
      </w:r>
    </w:p>
    <w:p>
      <w:pPr>
        <w:pStyle w:val="ListBullet"/>
      </w:pPr>
      <w:r>
        <w:t>Documenting known vulnerabilities and compensating controls.</w:t>
      </w:r>
    </w:p>
    <w:p>
      <w:pPr>
        <w:pStyle w:val="ListBullet"/>
      </w:pPr>
      <w:r>
        <w:t>Planning migration to supported technology.</w:t>
      </w:r>
    </w:p>
    <w:p>
      <w:r>
        <w:t>These controls reduce risk but do not make every unsupported device safe. The appropriate approach depends on the equipment, exposure, operational constraints, and organizational cybersecurity requirements.</w:t>
      </w:r>
    </w:p>
    <w:p>
      <w:r>
        <w:t>Avoid connecting legacy controllers directly to external networks merely to make monitoring more convenient.</w:t>
      </w:r>
    </w:p>
    <w:p>
      <w:pPr>
        <w:pStyle w:val="Heading2"/>
      </w:pPr>
      <w:r>
        <w:t>15. Cost Evaluation: Stocking Versus Migration</w:t>
      </w:r>
    </w:p>
    <w:p>
      <w:r>
        <w:t>A sound obsolescence decision compares the cost and risk of maintaining the existing platform with the cost and risk of replacing it.</w:t>
      </w:r>
    </w:p>
    <w:p>
      <w:pPr>
        <w:pStyle w:val="Heading3"/>
      </w:pPr>
      <w:r>
        <w:t>Cost of retaining the existing platform</w:t>
      </w:r>
    </w:p>
    <w:p>
      <w:pPr>
        <w:pStyle w:val="ListBullet"/>
      </w:pPr>
      <w:r>
        <w:t>Last-time-buy purchases.</w:t>
      </w:r>
    </w:p>
    <w:p>
      <w:pPr>
        <w:pStyle w:val="ListBullet"/>
      </w:pPr>
      <w:r>
        <w:t>Storage and preservation.</w:t>
      </w:r>
    </w:p>
    <w:p>
      <w:pPr>
        <w:pStyle w:val="ListBullet"/>
      </w:pPr>
      <w:r>
        <w:t>Repair and refurbishment.</w:t>
      </w:r>
    </w:p>
    <w:p>
      <w:pPr>
        <w:pStyle w:val="ListBullet"/>
      </w:pPr>
      <w:r>
        <w:t>Emergency sourcing.</w:t>
      </w:r>
    </w:p>
    <w:p>
      <w:pPr>
        <w:pStyle w:val="ListBullet"/>
      </w:pPr>
      <w:r>
        <w:t>Downtime exposure.</w:t>
      </w:r>
    </w:p>
    <w:p>
      <w:pPr>
        <w:pStyle w:val="ListBullet"/>
      </w:pPr>
      <w:r>
        <w:t>Legacy software maintenance.</w:t>
      </w:r>
    </w:p>
    <w:p>
      <w:pPr>
        <w:pStyle w:val="ListBullet"/>
      </w:pPr>
      <w:r>
        <w:t>Additional cybersecurity controls.</w:t>
      </w:r>
    </w:p>
    <w:p>
      <w:pPr>
        <w:pStyle w:val="ListBullet"/>
      </w:pPr>
      <w:r>
        <w:t>Specialist support.</w:t>
      </w:r>
    </w:p>
    <w:p>
      <w:pPr>
        <w:pStyle w:val="ListBullet"/>
      </w:pPr>
      <w:r>
        <w:t>Risk of future unavailability.</w:t>
      </w:r>
    </w:p>
    <w:p>
      <w:pPr>
        <w:pStyle w:val="Heading3"/>
      </w:pPr>
      <w:r>
        <w:t>Cost of migration</w:t>
      </w:r>
    </w:p>
    <w:p>
      <w:pPr>
        <w:pStyle w:val="ListBullet"/>
      </w:pPr>
      <w:r>
        <w:t>Replacement hardware.</w:t>
      </w:r>
    </w:p>
    <w:p>
      <w:pPr>
        <w:pStyle w:val="ListBullet"/>
      </w:pPr>
      <w:r>
        <w:t>Engineering and programming.</w:t>
      </w:r>
    </w:p>
    <w:p>
      <w:pPr>
        <w:pStyle w:val="ListBullet"/>
      </w:pPr>
      <w:r>
        <w:t>Electrical and mechanical modifications.</w:t>
      </w:r>
    </w:p>
    <w:p>
      <w:pPr>
        <w:pStyle w:val="ListBullet"/>
      </w:pPr>
      <w:r>
        <w:t>Software and licensing.</w:t>
      </w:r>
    </w:p>
    <w:p>
      <w:pPr>
        <w:pStyle w:val="ListBullet"/>
      </w:pPr>
      <w:r>
        <w:t>Testing and commissioning.</w:t>
      </w:r>
    </w:p>
    <w:p>
      <w:pPr>
        <w:pStyle w:val="ListBullet"/>
      </w:pPr>
      <w:r>
        <w:t>Production downtime.</w:t>
      </w:r>
    </w:p>
    <w:p>
      <w:pPr>
        <w:pStyle w:val="ListBullet"/>
      </w:pPr>
      <w:r>
        <w:t>Training and documentation.</w:t>
      </w:r>
    </w:p>
    <w:p>
      <w:pPr>
        <w:pStyle w:val="ListBullet"/>
      </w:pPr>
      <w:r>
        <w:t>Spare-part inventory transition.</w:t>
      </w:r>
    </w:p>
    <w:p>
      <w:pPr>
        <w:pStyle w:val="ListBullet"/>
      </w:pPr>
      <w:r>
        <w:t>Safety and quality validation.</w:t>
      </w:r>
    </w:p>
    <w:p>
      <w:r>
        <w:t>A simplified lifecycle cost model is:</w:t>
      </w:r>
    </w:p>
    <w:p>
      <w:pPr>
        <w:spacing w:before="120" w:after="160"/>
        <w:jc w:val="center"/>
      </w:pPr>
      <m:oMathPara>
        <m:oMath>
          <m:sSub>
            <m:e>
              <m:r>
                <m:t>C</m:t>
              </m:r>
            </m:e>
            <m:sub>
              <m:r>
                <m:rPr>
                  <m:nor/>
                </m:rPr>
                <m:t>retain</m:t>
              </m:r>
            </m:sub>
          </m:sSub>
          <m:r>
            <m:t>=</m:t>
          </m:r>
          <m:sSub>
            <m:e>
              <m:r>
                <m:t>C</m:t>
              </m:r>
            </m:e>
            <m:sub>
              <m:r>
                <m:rPr>
                  <m:nor/>
                </m:rPr>
                <m:t>spares</m:t>
              </m:r>
            </m:sub>
          </m:sSub>
          <m:r>
            <m:t>+</m:t>
          </m:r>
          <m:sSub>
            <m:e>
              <m:r>
                <m:t>C</m:t>
              </m:r>
            </m:e>
            <m:sub>
              <m:r>
                <m:rPr>
                  <m:nor/>
                </m:rPr>
                <m:t>repair</m:t>
              </m:r>
            </m:sub>
          </m:sSub>
          <m:r>
            <m:t>+</m:t>
          </m:r>
          <m:sSub>
            <m:e>
              <m:r>
                <m:t>C</m:t>
              </m:r>
            </m:e>
            <m:sub>
              <m:r>
                <m:rPr>
                  <m:nor/>
                </m:rPr>
                <m:t>support</m:t>
              </m:r>
            </m:sub>
          </m:sSub>
          <m:r>
            <m:t>+</m:t>
          </m:r>
          <m:sSub>
            <m:e>
              <m:r>
                <m:t>C</m:t>
              </m:r>
            </m:e>
            <m:sub>
              <m:r>
                <m:rPr>
                  <m:nor/>
                </m:rPr>
                <m:t>downtime risk</m:t>
              </m:r>
            </m:sub>
          </m:sSub>
        </m:oMath>
      </m:oMathPara>
    </w:p>
    <w:p>
      <w:pPr>
        <w:spacing w:before="120" w:after="160"/>
        <w:jc w:val="center"/>
      </w:pPr>
      <m:oMathPara>
        <m:oMath>
          <m:sSub>
            <m:e>
              <m:r>
                <m:t>C</m:t>
              </m:r>
            </m:e>
            <m:sub>
              <m:r>
                <m:rPr>
                  <m:nor/>
                </m:rPr>
                <m:t>migrate</m:t>
              </m:r>
            </m:sub>
          </m:sSub>
          <m:r>
            <m:t>=</m:t>
          </m:r>
          <m:sSub>
            <m:e>
              <m:r>
                <m:t>C</m:t>
              </m:r>
            </m:e>
            <m:sub>
              <m:r>
                <m:rPr>
                  <m:nor/>
                </m:rPr>
                <m:t>hardware</m:t>
              </m:r>
            </m:sub>
          </m:sSub>
          <m:r>
            <m:t>+</m:t>
          </m:r>
          <m:sSub>
            <m:e>
              <m:r>
                <m:t>C</m:t>
              </m:r>
            </m:e>
            <m:sub>
              <m:r>
                <m:rPr>
                  <m:nor/>
                </m:rPr>
                <m:t>engineering</m:t>
              </m:r>
            </m:sub>
          </m:sSub>
          <m:r>
            <m:t>+</m:t>
          </m:r>
          <m:sSub>
            <m:e>
              <m:r>
                <m:t>C</m:t>
              </m:r>
            </m:e>
            <m:sub>
              <m:r>
                <m:rPr>
                  <m:nor/>
                </m:rPr>
                <m:t>commissioning</m:t>
              </m:r>
            </m:sub>
          </m:sSub>
          <m:r>
            <m:t>+</m:t>
          </m:r>
          <m:sSub>
            <m:e>
              <m:r>
                <m:t>C</m:t>
              </m:r>
            </m:e>
            <m:sub>
              <m:r>
                <m:rPr>
                  <m:nor/>
                </m:rPr>
                <m:t>training</m:t>
              </m:r>
            </m:sub>
          </m:sSub>
          <m:r>
            <m:t>+</m:t>
          </m:r>
          <m:sSub>
            <m:e>
              <m:r>
                <m:t>C</m:t>
              </m:r>
            </m:e>
            <m:sub>
              <m:r>
                <m:rPr>
                  <m:nor/>
                </m:rPr>
                <m:t>transition</m:t>
              </m:r>
            </m:sub>
          </m:sSub>
        </m:oMath>
      </m:oMathPara>
    </w:p>
    <w:p>
      <w:r>
        <w:t>The comparison should use a consistent evaluation period and account for uncertainty. The lowest purchase price is not necessarily the lowest lifecycle cost.</w:t>
      </w:r>
    </w:p>
    <w:p>
      <w:r>
        <w:t>Downtime risk can dominate the decision when a single unsupported component can stop a high-output production line.</w:t>
      </w:r>
    </w:p>
    <w:p>
      <w:pPr>
        <w:pStyle w:val="Heading2"/>
      </w:pPr>
      <w:r>
        <w:t>16. Obsolescence Mitigation Planning</w:t>
      </w:r>
    </w:p>
    <w:p>
      <w:r>
        <w:t>Each high-risk item should have a documented action plan.</w:t>
      </w:r>
    </w:p>
    <w:p>
      <w:r>
        <w:t>A useful sequence is:</w:t>
      </w:r>
    </w:p>
    <w:p>
      <w:pPr>
        <w:shd w:val="clear" w:color="auto" w:fill="F4F4F4"/>
        <w:spacing w:before="0" w:after="0" w:line="240" w:lineRule="auto"/>
        <w:ind w:left="216" w:right="216"/>
        <w:jc w:val="left"/>
      </w:pPr>
      <w:r>
        <w:rPr>
          <w:rFonts w:ascii="Consolas" w:hAnsi="Consolas"/>
          <w:color w:val="202020"/>
          <w:sz w:val="18"/>
        </w:rPr>
        <w:t>Identify Installed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Lifecycle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Criticality and Exposure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Stock, Supply, and Repair Options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Successor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Mitigation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Owner and Target 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and Validate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Records and Review Risk</w:t>
      </w:r>
    </w:p>
    <w:p/>
    <w:p>
      <w:r>
        <w:t>Possible outcomes include continued use with monitoring, planned last-time buy, qualified repair, approved substitution, retrofit, or full migration.</w:t>
      </w:r>
    </w:p>
    <w:p>
      <w:r>
        <w:t>The strategy should have a named owner, budget or procurement route, target date, and evidence of completion.</w:t>
      </w:r>
    </w:p>
    <w:p>
      <w:pPr>
        <w:pStyle w:val="Heading2"/>
      </w:pPr>
      <w:r>
        <w:t>17. SAP and Inventory Management</w:t>
      </w:r>
    </w:p>
    <w:p>
      <w:r>
        <w:t>In SAP or a comparable ERP system, obsolescence management may use material master data, equipment records, bills of material, purchasing information, maintenance plans, and work orders.</w:t>
      </w:r>
    </w:p>
    <w:p>
      <w:r>
        <w:t>Useful information includes:</w:t>
      </w:r>
    </w:p>
    <w:p>
      <w:pPr>
        <w:pStyle w:val="ListBullet"/>
      </w:pPr>
      <w:r>
        <w:t>Material number and manufacturer part number.</w:t>
      </w:r>
    </w:p>
    <w:p>
      <w:pPr>
        <w:pStyle w:val="ListBullet"/>
      </w:pPr>
      <w:r>
        <w:t>Equipment or functional location.</w:t>
      </w:r>
    </w:p>
    <w:p>
      <w:pPr>
        <w:pStyle w:val="ListBullet"/>
      </w:pPr>
      <w:r>
        <w:t>Approved supplier.</w:t>
      </w:r>
    </w:p>
    <w:p>
      <w:pPr>
        <w:pStyle w:val="ListBullet"/>
      </w:pPr>
      <w:r>
        <w:t>Procurement status.</w:t>
      </w:r>
    </w:p>
    <w:p>
      <w:pPr>
        <w:pStyle w:val="ListBullet"/>
      </w:pPr>
      <w:r>
        <w:t>Stock quantity and storage location.</w:t>
      </w:r>
    </w:p>
    <w:p>
      <w:pPr>
        <w:pStyle w:val="ListBullet"/>
      </w:pPr>
      <w:r>
        <w:t>Historical material consumption.</w:t>
      </w:r>
    </w:p>
    <w:p>
      <w:pPr>
        <w:pStyle w:val="ListBullet"/>
      </w:pPr>
      <w:r>
        <w:t>Open purchase requisitions and orders.</w:t>
      </w:r>
    </w:p>
    <w:p>
      <w:pPr>
        <w:pStyle w:val="ListBullet"/>
      </w:pPr>
      <w:r>
        <w:t>Repairable or refurbished status.</w:t>
      </w:r>
    </w:p>
    <w:p>
      <w:pPr>
        <w:pStyle w:val="ListBullet"/>
      </w:pPr>
      <w:r>
        <w:t>Successor material number.</w:t>
      </w:r>
    </w:p>
    <w:p>
      <w:pPr>
        <w:pStyle w:val="ListBullet"/>
      </w:pPr>
      <w:r>
        <w:t>Alternative-material approval.</w:t>
      </w:r>
    </w:p>
    <w:p>
      <w:pPr>
        <w:pStyle w:val="ListBullet"/>
      </w:pPr>
      <w:r>
        <w:t>Lifecycle status and review date.</w:t>
      </w:r>
    </w:p>
    <w:p>
      <w:pPr>
        <w:pStyle w:val="ListBullet"/>
      </w:pPr>
      <w:r>
        <w:t>Planned migration work order or project.</w:t>
      </w:r>
    </w:p>
    <w:p>
      <w:r>
        <w:t>The exact SAP fields and transactions depend on the organization's configuration.</w:t>
      </w:r>
    </w:p>
    <w:p>
      <w:r>
        <w:t>Do not overwrite the old part number with the successor and thereby erase traceability. Preserve the relationship between the original component and its approved replacement.</w:t>
      </w:r>
    </w:p>
    <w:p>
      <w:pPr>
        <w:pStyle w:val="Heading2"/>
      </w:pPr>
      <w:r>
        <w:t>18. Power BI Reporting</w:t>
      </w:r>
    </w:p>
    <w:p>
      <w:r>
        <w:t>A Power BI dashboard can summarize the current obsolescence position.</w:t>
      </w:r>
    </w:p>
    <w:p>
      <w:r>
        <w:t>Useful measures include:</w:t>
      </w:r>
    </w:p>
    <w:p>
      <w:pPr>
        <w:pStyle w:val="ListBullet"/>
      </w:pPr>
      <w:r>
        <w:t>Total identified obsolete components.</w:t>
      </w:r>
    </w:p>
    <w:p>
      <w:pPr>
        <w:pStyle w:val="ListBullet"/>
      </w:pPr>
      <w:r>
        <w:t>High-risk obsolete components.</w:t>
      </w:r>
    </w:p>
    <w:p>
      <w:pPr>
        <w:pStyle w:val="ListBullet"/>
      </w:pPr>
      <w:r>
        <w:t>Components without an approved mitigation plan.</w:t>
      </w:r>
    </w:p>
    <w:p>
      <w:pPr>
        <w:pStyle w:val="ListBullet"/>
      </w:pPr>
      <w:r>
        <w:t>Components with unverified lifecycle status.</w:t>
      </w:r>
    </w:p>
    <w:p>
      <w:pPr>
        <w:pStyle w:val="ListBullet"/>
      </w:pPr>
      <w:r>
        <w:t>Obsolete components with zero stock.</w:t>
      </w:r>
    </w:p>
    <w:p>
      <w:pPr>
        <w:pStyle w:val="ListBullet"/>
      </w:pPr>
      <w:r>
        <w:t>Items with long replenishment or repair lead times.</w:t>
      </w:r>
    </w:p>
    <w:p>
      <w:pPr>
        <w:pStyle w:val="ListBullet"/>
      </w:pPr>
      <w:r>
        <w:t>Open mitigation actions past their target dates.</w:t>
      </w:r>
    </w:p>
    <w:p>
      <w:pPr>
        <w:pStyle w:val="ListBullet"/>
      </w:pPr>
      <w:r>
        <w:t>Estimated migration cost.</w:t>
      </w:r>
    </w:p>
    <w:p>
      <w:pPr>
        <w:pStyle w:val="ListBullet"/>
      </w:pPr>
      <w:r>
        <w:t>Last-time-buy expenditure.</w:t>
      </w:r>
    </w:p>
    <w:p>
      <w:pPr>
        <w:pStyle w:val="ListBullet"/>
      </w:pPr>
      <w:r>
        <w:t>Percentage of critical items with verified backups.</w:t>
      </w:r>
    </w:p>
    <w:p>
      <w:pPr>
        <w:pStyle w:val="ListBullet"/>
      </w:pPr>
      <w:r>
        <w:t>Percentage of critical components with validated successors.</w:t>
      </w:r>
    </w:p>
    <w:p>
      <w:r>
        <w:t>A simple mitigation completion measure is:</w:t>
      </w:r>
    </w:p>
    <w:p>
      <w:pPr>
        <w:spacing w:before="120" w:after="160"/>
        <w:jc w:val="center"/>
      </w:pPr>
      <m:oMathPara>
        <m:oMath>
          <m:r>
            <m:t>M=</m:t>
          </m:r>
          <m:f>
            <m:fPr>
              <m:type m:val="bar"/>
            </m:fPr>
            <m:num>
              <m:r>
                <m:rPr>
                  <m:nor/>
                </m:rPr>
                <m:t>High-risk items with completed mitigation</m:t>
              </m:r>
            </m:num>
            <m:den>
              <m:r>
                <m:rPr>
                  <m:nor/>
                </m:rPr>
                <m:t>Total high-risk items</m:t>
              </m:r>
            </m:den>
          </m:f>
          <m:r>
            <m:t>×100</m:t>
          </m:r>
        </m:oMath>
      </m:oMathPara>
    </w:p>
    <w:p>
      <w:r>
        <w:t>For example, if 36 of 45 high-risk items have completed mitigation:</w:t>
      </w:r>
    </w:p>
    <w:p>
      <w:pPr>
        <w:spacing w:before="120" w:after="160"/>
        <w:jc w:val="center"/>
      </w:pPr>
      <m:oMathPara>
        <m:oMath>
          <m:r>
            <m:t>M=</m:t>
          </m:r>
          <m:f>
            <m:fPr>
              <m:type m:val="bar"/>
            </m:fPr>
            <m:num>
              <m:r>
                <m:t>36</m:t>
              </m:r>
            </m:num>
            <m:den>
              <m:r>
                <m:t>45</m:t>
              </m:r>
            </m:den>
          </m:f>
          <m:r>
            <m:t>×100</m:t>
          </m:r>
        </m:oMath>
      </m:oMathPara>
    </w:p>
    <w:p>
      <w:r>
        <w:t>Define "completed mitigation" carefully. A planned purchase or an untested successor should not count as completed mitigation if the risk remains unresolved.</w:t>
      </w:r>
    </w:p>
    <w:p>
      <w:pPr>
        <w:pStyle w:val="Heading2"/>
      </w:pPr>
      <w:r>
        <w:t>19. Common Obsolescence Management Mistakes</w:t>
      </w:r>
    </w:p>
    <w:p>
      <w:pPr>
        <w:pStyle w:val="ListBullet"/>
      </w:pPr>
      <w:r>
        <w:t>Discovering discontinuation only after equipment failure.</w:t>
      </w:r>
    </w:p>
    <w:p>
      <w:pPr>
        <w:pStyle w:val="ListBullet"/>
      </w:pPr>
      <w:r>
        <w:t>Assuming an old component is obsolete without checking manufacturer information.</w:t>
      </w:r>
    </w:p>
    <w:p>
      <w:pPr>
        <w:pStyle w:val="ListBullet"/>
      </w:pPr>
      <w:r>
        <w:t>Treating a successor product as automatically interchangeable.</w:t>
      </w:r>
    </w:p>
    <w:p>
      <w:pPr>
        <w:pStyle w:val="ListBullet"/>
      </w:pPr>
      <w:r>
        <w:t>Stocking discontinued hardware without preserving software and configuration backups.</w:t>
      </w:r>
    </w:p>
    <w:p>
      <w:pPr>
        <w:pStyle w:val="ListBullet"/>
      </w:pPr>
      <w:r>
        <w:t>Buying excessive quantities without considering storage and remaining equipment life.</w:t>
      </w:r>
    </w:p>
    <w:p>
      <w:pPr>
        <w:pStyle w:val="ListBullet"/>
      </w:pPr>
      <w:r>
        <w:t>Relying on unverified used components.</w:t>
      </w:r>
    </w:p>
    <w:p>
      <w:pPr>
        <w:pStyle w:val="ListBullet"/>
      </w:pPr>
      <w:r>
        <w:t>Ignoring licenses, engineering tools, and proprietary interfaces.</w:t>
      </w:r>
    </w:p>
    <w:p>
      <w:pPr>
        <w:pStyle w:val="ListBullet"/>
      </w:pPr>
      <w:r>
        <w:t>Failing to check the installed hardware revision and firmware.</w:t>
      </w:r>
    </w:p>
    <w:p>
      <w:pPr>
        <w:pStyle w:val="ListBullet"/>
      </w:pPr>
      <w:r>
        <w:t>Replacing a PLC without assessing its HMI, network, I/O, and safety dependencies.</w:t>
      </w:r>
    </w:p>
    <w:p>
      <w:pPr>
        <w:pStyle w:val="ListBullet"/>
      </w:pPr>
      <w:r>
        <w:t>Failing to validate a retrofit under actual operating conditions.</w:t>
      </w:r>
    </w:p>
    <w:p>
      <w:pPr>
        <w:pStyle w:val="ListBullet"/>
      </w:pPr>
      <w:r>
        <w:t>Leaving mitigation actions without owners or deadlines.</w:t>
      </w:r>
    </w:p>
    <w:p>
      <w:pPr>
        <w:pStyle w:val="ListBullet"/>
      </w:pPr>
      <w:r>
        <w:t>Failing to update drawings, spare-part records, and recovery instructions after migration.</w:t>
      </w:r>
    </w:p>
    <w:p>
      <w:pPr>
        <w:pStyle w:val="Heading2"/>
      </w:pPr>
      <w:r>
        <w:t>20. Practical Implementation Checklist</w:t>
      </w:r>
    </w:p>
    <w:p>
      <w:pPr>
        <w:pStyle w:val="ListBullet"/>
      </w:pPr>
      <w:r>
        <w:t>Create an installed-component inventory for critical equipment.</w:t>
      </w:r>
    </w:p>
    <w:p>
      <w:pPr>
        <w:pStyle w:val="ListBullet"/>
      </w:pPr>
      <w:r>
        <w:t>Record exact part numbers, revisions, firmware, and software versions.</w:t>
      </w:r>
    </w:p>
    <w:p>
      <w:pPr>
        <w:pStyle w:val="ListBullet"/>
      </w:pPr>
      <w:r>
        <w:t>Verify lifecycle status using manufacturer or qualified supplier evidence.</w:t>
      </w:r>
    </w:p>
    <w:p>
      <w:pPr>
        <w:pStyle w:val="ListBullet"/>
      </w:pPr>
      <w:r>
        <w:t>Record lifecycle evidence dates and schedule periodic reviews.</w:t>
      </w:r>
    </w:p>
    <w:p>
      <w:pPr>
        <w:pStyle w:val="ListBullet"/>
      </w:pPr>
      <w:r>
        <w:t>Identify single-source and long-lead-time components.</w:t>
      </w:r>
    </w:p>
    <w:p>
      <w:pPr>
        <w:pStyle w:val="ListBullet"/>
      </w:pPr>
      <w:r>
        <w:t>Assess production, safety, quality, and cybersecurity consequences.</w:t>
      </w:r>
    </w:p>
    <w:p>
      <w:pPr>
        <w:pStyle w:val="ListBullet"/>
      </w:pPr>
      <w:r>
        <w:t>Verify physical spare stock and repair availability.</w:t>
      </w:r>
    </w:p>
    <w:p>
      <w:pPr>
        <w:pStyle w:val="ListBullet"/>
      </w:pPr>
      <w:r>
        <w:t>Identify and technically evaluate successor products.</w:t>
      </w:r>
    </w:p>
    <w:p>
      <w:pPr>
        <w:pStyle w:val="ListBullet"/>
      </w:pPr>
      <w:r>
        <w:t>Preserve and test software, configuration, and parameter backups.</w:t>
      </w:r>
    </w:p>
    <w:p>
      <w:pPr>
        <w:pStyle w:val="ListBullet"/>
      </w:pPr>
      <w:r>
        <w:t>Estimate retention and migration lifecycle costs.</w:t>
      </w:r>
    </w:p>
    <w:p>
      <w:pPr>
        <w:pStyle w:val="ListBullet"/>
      </w:pPr>
      <w:r>
        <w:t>Assign mitigation owners and target dates.</w:t>
      </w:r>
    </w:p>
    <w:p>
      <w:pPr>
        <w:pStyle w:val="ListBullet"/>
      </w:pPr>
      <w:r>
        <w:t>Validate completed replacements or migrations.</w:t>
      </w:r>
    </w:p>
    <w:p>
      <w:pPr>
        <w:pStyle w:val="ListBullet"/>
      </w:pPr>
      <w:r>
        <w:t>Update SAP records, drawings, backups, and maintenance instructions.</w:t>
      </w:r>
    </w:p>
    <w:p>
      <w:pPr>
        <w:pStyle w:val="ListBullet"/>
      </w:pPr>
      <w:r>
        <w:t>Review high-risk items periodically and after major equipment changes.</w:t>
      </w:r>
    </w:p>
    <w:p>
      <w:pPr>
        <w:pStyle w:val="Heading2"/>
      </w:pPr>
      <w:r>
        <w:t>21. Interview Questions and Answers</w:t>
      </w:r>
    </w:p>
    <w:p>
      <w:r>
        <w:t>Q1. What is obsolescence in industrial maintenance?</w:t>
      </w:r>
    </w:p>
    <w:p>
      <w:r>
        <w:t>Obsolescence occurs when equipment, components, software, or support services become discontinued, unsupported, unavailable, or impractical to maintain. It can create maintenance and production risks even while the machine remains operational.</w:t>
      </w:r>
    </w:p>
    <w:p>
      <w:r>
        <w:t>Q2. What is the difference between obsolescence and failure?</w:t>
      </w:r>
    </w:p>
    <w:p>
      <w:r>
        <w:t>Failure means an item cannot perform its required function. Obsolescence concerns lifecycle status and supportability. An obsolete component may still operate normally, and a fully supported component can fail unexpectedly.</w:t>
      </w:r>
    </w:p>
    <w:p>
      <w:r>
        <w:t>Q3. What is a last-time buy?</w:t>
      </w:r>
    </w:p>
    <w:p>
      <w:r>
        <w:t>A last-time buy is a purchase opportunity offered before a product is discontinued or becomes unavailable through normal ordering channels. The quantity should be justified by expected demand, risk, storage requirements, and migration plans.</w:t>
      </w:r>
    </w:p>
    <w:p>
      <w:r>
        <w:t>Q4. Why is PLC obsolescence more complex than replacing a PLC CPU?</w:t>
      </w:r>
    </w:p>
    <w:p>
      <w:r>
        <w:t>The CPU may depend on specific I/O modules, networks, firmware, software, HMI communications, safety interfaces, and program structures. A replacement may require system-wide engineering and validation.</w:t>
      </w:r>
    </w:p>
    <w:p>
      <w:r>
        <w:t>Q5. How do you reduce obsolescence risk?</w:t>
      </w:r>
    </w:p>
    <w:p>
      <w:r>
        <w:t>Maintain an installed-component inventory, monitor manufacturer lifecycle notices, preserve backups, evaluate approved successors, maintain appropriate spare stock, and plan migrations for high-risk assets.</w:t>
      </w:r>
    </w:p>
    <w:p>
      <w:r>
        <w:t>Q6. How do you confirm whether a replacement is compatible?</w:t>
      </w:r>
    </w:p>
    <w:p>
      <w:r>
        <w:t>Check manufacturer documentation and engineering requirements for electrical, mechanical, communication, firmware, software, performance, environmental, safety, and application compatibility. Validate the proposed replacement before operational release.</w:t>
      </w:r>
    </w:p>
    <w:p>
      <w:r>
        <w:t>Q7. When should a plant migrate instead of stocking obsolete spares?</w:t>
      </w:r>
    </w:p>
    <w:p>
      <w:r>
        <w:t>Migration becomes more attractive when spare availability is poor, repair support is ending, cybersecurity or safety risks are significant, lifecycle retention costs are high, or the consequences of an unexpected failure are unacceptable.</w:t>
      </w:r>
    </w:p>
    <w:p>
      <w:r>
        <w:t>Q8. How can obsolescence be managed proactively?</w:t>
      </w:r>
    </w:p>
    <w:p>
      <w:r>
        <w:t>Use lifecycle monitoring, risk registers, stock and repair assessments, successor validation, software preservation, mitigation deadlines, and periodic reviews. The goal is to complete the necessary engineering work before an obsolete component fails.</w:t>
      </w:r>
    </w:p>
    <w:p>
      <w:pPr>
        <w:pStyle w:val="Heading2"/>
      </w:pPr>
      <w:r>
        <w:t>22. Expected Outcome</w:t>
      </w:r>
    </w:p>
    <w:p>
      <w:r>
        <w:t>A mature obsolescence management process identifies vulnerable equipment early, maintains reliable recovery options, and gives engineering and maintenance teams time to make controlled decisions.</w:t>
      </w:r>
    </w:p>
    <w:p>
      <w:r>
        <w:t>For industrial automation, this means managing hardware, software, firmware, licenses, documentation, supplier support, cybersecurity, and system dependencies together.</w:t>
      </w:r>
    </w:p>
    <w:p>
      <w:r>
        <w:t>The central objective is to prevent an unavailable legacy component from becoming an unexpected production stoppage.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02_PLAN_WISE_2026\02_INDUSTRY3_0\23_Spares\01_Strategy\06_Lead_Time - Lead time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Obsolescence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