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Vendor Availability in Industrial Maintenance</w:t>
      </w:r>
    </w:p>
    <w:p>
      <w:pPr>
        <w:pStyle w:val="Heading2"/>
      </w:pPr>
      <w:r>
        <w:t>1. Definition</w:t>
      </w:r>
    </w:p>
    <w:p>
      <w:r>
        <w:t>Vendor availability is the ability of an approved supplier or manufacturer to provide the required material, spare part, consumable, repair service, or technical support within the time and conditions required by the plant.</w:t>
      </w:r>
    </w:p>
    <w:p>
      <w:r>
        <w:t>In industrial maintenance, vendor availability determines whether a breakdown can be resolved using an immediately available spare, a locally sourced component, a manufacturer-supplied replacement, or a repair service.</w:t>
      </w:r>
    </w:p>
    <w:p>
      <w:r>
        <w:t>Vendor availability is not the same as stock availability. A supplier may list a part in its catalogue but have no physical stock, may have stock at another location, or may require several weeks to deliver it.</w:t>
      </w:r>
    </w:p>
    <w:p>
      <w:r>
        <w:t>The objective is to understand whether the required item can actually be obtained, in what quantity, at what time, with what technical assurance, and under what commercial conditions.</w:t>
      </w:r>
    </w:p>
    <w:p>
      <w:pPr>
        <w:pStyle w:val="Heading2"/>
      </w:pPr>
      <w:r>
        <w:t>2. Why Vendor Availability Matters</w:t>
      </w:r>
    </w:p>
    <w:p>
      <w:r>
        <w:t>Vendor availability directly influences maintenance planning, spare-parts inventory, equipment recovery, production continuity, and lifecycle management.</w:t>
      </w:r>
    </w:p>
    <w:p>
      <w:r>
        <w:t>Important objectives include:</w:t>
      </w:r>
    </w:p>
    <w:p>
      <w:pPr>
        <w:pStyle w:val="ListBullet"/>
      </w:pPr>
      <w:r>
        <w:t>Reducing breakdown waiting time caused by unavailable spares.</w:t>
      </w:r>
    </w:p>
    <w:p>
      <w:pPr>
        <w:pStyle w:val="ListBullet"/>
      </w:pPr>
      <w:r>
        <w:t>Identifying dependable suppliers for critical automation components.</w:t>
      </w:r>
    </w:p>
    <w:p>
      <w:pPr>
        <w:pStyle w:val="ListBullet"/>
      </w:pPr>
      <w:r>
        <w:t>Preventing emergency procurement and expensive expedited shipping.</w:t>
      </w:r>
    </w:p>
    <w:p>
      <w:pPr>
        <w:pStyle w:val="ListBullet"/>
      </w:pPr>
      <w:r>
        <w:t>Planning inventory for long-lead-time items.</w:t>
      </w:r>
    </w:p>
    <w:p>
      <w:pPr>
        <w:pStyle w:val="ListBullet"/>
      </w:pPr>
      <w:r>
        <w:t>Identifying sole-source and manufacturer-dependent components.</w:t>
      </w:r>
    </w:p>
    <w:p>
      <w:pPr>
        <w:pStyle w:val="ListBullet"/>
      </w:pPr>
      <w:r>
        <w:t>Maintaining supply continuity for obsolete or discontinued equipment.</w:t>
      </w:r>
    </w:p>
    <w:p>
      <w:pPr>
        <w:pStyle w:val="ListBullet"/>
      </w:pPr>
      <w:r>
        <w:t>Ensuring that purchased parts meet technical and safety requirements.</w:t>
      </w:r>
    </w:p>
    <w:p>
      <w:pPr>
        <w:pStyle w:val="ListBullet"/>
      </w:pPr>
      <w:r>
        <w:t>Supporting repair, refurbishment, exchange, and replacement decisions.</w:t>
      </w:r>
    </w:p>
    <w:p>
      <w:r>
        <w:t>For example, a failed PLC communication adapter may be relatively inexpensive, but if its manufacturer has a 10-week lead time and the plant has no compatible spare, the production impact can be substantial.</w:t>
      </w:r>
    </w:p>
    <w:p>
      <w:pPr>
        <w:pStyle w:val="Heading2"/>
      </w:pPr>
      <w:r>
        <w:t>3. Important Vendor Availability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Physical availability</w:t>
            </w:r>
          </w:p>
        </w:tc>
        <w:tc>
          <w:tcPr>
            <w:tcW w:type="dxa" w:w="5400"/>
          </w:tcPr>
          <w:p>
            <w:pPr>
              <w:spacing w:after="0" w:before="0" w:line="240" w:lineRule="auto"/>
              <w:jc w:val="left"/>
            </w:pPr>
            <w:r>
              <w:t>Quantity physically present at the supplier's location</w:t>
            </w:r>
          </w:p>
        </w:tc>
      </w:tr>
      <w:tr>
        <w:tc>
          <w:tcPr>
            <w:tcW w:type="dxa" w:w="5400"/>
          </w:tcPr>
          <w:p>
            <w:pPr>
              <w:spacing w:after="0" w:before="0" w:line="240" w:lineRule="auto"/>
              <w:jc w:val="left"/>
            </w:pPr>
            <w:r>
              <w:t>Available-to-promise (ATP)</w:t>
            </w:r>
          </w:p>
        </w:tc>
        <w:tc>
          <w:tcPr>
            <w:tcW w:type="dxa" w:w="5400"/>
          </w:tcPr>
          <w:p>
            <w:pPr>
              <w:spacing w:after="0" w:before="0" w:line="240" w:lineRule="auto"/>
              <w:jc w:val="left"/>
            </w:pPr>
            <w:r>
              <w:t>Quantity the supplier can commit to supplying under its defined allocation rules</w:t>
            </w:r>
          </w:p>
        </w:tc>
      </w:tr>
      <w:tr>
        <w:tc>
          <w:tcPr>
            <w:tcW w:type="dxa" w:w="5400"/>
          </w:tcPr>
          <w:p>
            <w:pPr>
              <w:spacing w:after="0" w:before="0" w:line="240" w:lineRule="auto"/>
              <w:jc w:val="left"/>
            </w:pPr>
            <w:r>
              <w:t>Stock availability</w:t>
            </w:r>
          </w:p>
        </w:tc>
        <w:tc>
          <w:tcPr>
            <w:tcW w:type="dxa" w:w="5400"/>
          </w:tcPr>
          <w:p>
            <w:pPr>
              <w:spacing w:after="0" w:before="0" w:line="240" w:lineRule="auto"/>
              <w:jc w:val="left"/>
            </w:pPr>
            <w:r>
              <w:t>Quantity reported as available in the supplier's inventory system</w:t>
            </w:r>
          </w:p>
        </w:tc>
      </w:tr>
      <w:tr>
        <w:tc>
          <w:tcPr>
            <w:tcW w:type="dxa" w:w="5400"/>
          </w:tcPr>
          <w:p>
            <w:pPr>
              <w:spacing w:after="0" w:before="0" w:line="240" w:lineRule="auto"/>
              <w:jc w:val="left"/>
            </w:pPr>
            <w:r>
              <w:t>Lead time</w:t>
            </w:r>
          </w:p>
        </w:tc>
        <w:tc>
          <w:tcPr>
            <w:tcW w:type="dxa" w:w="5400"/>
          </w:tcPr>
          <w:p>
            <w:pPr>
              <w:spacing w:after="0" w:before="0" w:line="240" w:lineRule="auto"/>
              <w:jc w:val="left"/>
            </w:pPr>
            <w:r>
              <w:t>Time required to deliver the item under a defined start and end point</w:t>
            </w:r>
          </w:p>
        </w:tc>
      </w:tr>
      <w:tr>
        <w:tc>
          <w:tcPr>
            <w:tcW w:type="dxa" w:w="5400"/>
          </w:tcPr>
          <w:p>
            <w:pPr>
              <w:spacing w:after="0" w:before="0" w:line="240" w:lineRule="auto"/>
              <w:jc w:val="left"/>
            </w:pPr>
            <w:r>
              <w:t>Quoted lead time</w:t>
            </w:r>
          </w:p>
        </w:tc>
        <w:tc>
          <w:tcPr>
            <w:tcW w:type="dxa" w:w="5400"/>
          </w:tcPr>
          <w:p>
            <w:pPr>
              <w:spacing w:after="0" w:before="0" w:line="240" w:lineRule="auto"/>
              <w:jc w:val="left"/>
            </w:pPr>
            <w:r>
              <w:t>Delivery duration stated in a supplier quotation</w:t>
            </w:r>
          </w:p>
        </w:tc>
      </w:tr>
      <w:tr>
        <w:tc>
          <w:tcPr>
            <w:tcW w:type="dxa" w:w="5400"/>
          </w:tcPr>
          <w:p>
            <w:pPr>
              <w:spacing w:after="0" w:before="0" w:line="240" w:lineRule="auto"/>
              <w:jc w:val="left"/>
            </w:pPr>
            <w:r>
              <w:t>Actual lead time</w:t>
            </w:r>
          </w:p>
        </w:tc>
        <w:tc>
          <w:tcPr>
            <w:tcW w:type="dxa" w:w="5400"/>
          </w:tcPr>
          <w:p>
            <w:pPr>
              <w:spacing w:after="0" w:before="0" w:line="240" w:lineRule="auto"/>
              <w:jc w:val="left"/>
            </w:pPr>
            <w:r>
              <w:t>Observed elapsed time for completed replenishment transactions</w:t>
            </w:r>
          </w:p>
        </w:tc>
      </w:tr>
      <w:tr>
        <w:tc>
          <w:tcPr>
            <w:tcW w:type="dxa" w:w="5400"/>
          </w:tcPr>
          <w:p>
            <w:pPr>
              <w:spacing w:after="0" w:before="0" w:line="240" w:lineRule="auto"/>
              <w:jc w:val="left"/>
            </w:pPr>
            <w:r>
              <w:t>Delivery commitment</w:t>
            </w:r>
          </w:p>
        </w:tc>
        <w:tc>
          <w:tcPr>
            <w:tcW w:type="dxa" w:w="5400"/>
          </w:tcPr>
          <w:p>
            <w:pPr>
              <w:spacing w:after="0" w:before="0" w:line="240" w:lineRule="auto"/>
              <w:jc w:val="left"/>
            </w:pPr>
            <w:r>
              <w:t>Supplier's agreed delivery quantity and date</w:t>
            </w:r>
          </w:p>
        </w:tc>
      </w:tr>
      <w:tr>
        <w:tc>
          <w:tcPr>
            <w:tcW w:type="dxa" w:w="5400"/>
          </w:tcPr>
          <w:p>
            <w:pPr>
              <w:spacing w:after="0" w:before="0" w:line="240" w:lineRule="auto"/>
              <w:jc w:val="left"/>
            </w:pPr>
            <w:r>
              <w:t>Backorder</w:t>
            </w:r>
          </w:p>
        </w:tc>
        <w:tc>
          <w:tcPr>
            <w:tcW w:type="dxa" w:w="5400"/>
          </w:tcPr>
          <w:p>
            <w:pPr>
              <w:spacing w:after="0" w:before="0" w:line="240" w:lineRule="auto"/>
              <w:jc w:val="left"/>
            </w:pPr>
            <w:r>
              <w:t>Demand that cannot be fulfilled immediately and is awaiting supply</w:t>
            </w:r>
          </w:p>
        </w:tc>
      </w:tr>
      <w:tr>
        <w:tc>
          <w:tcPr>
            <w:tcW w:type="dxa" w:w="5400"/>
          </w:tcPr>
          <w:p>
            <w:pPr>
              <w:spacing w:after="0" w:before="0" w:line="240" w:lineRule="auto"/>
              <w:jc w:val="left"/>
            </w:pPr>
            <w:r>
              <w:t>Allocation</w:t>
            </w:r>
          </w:p>
        </w:tc>
        <w:tc>
          <w:tcPr>
            <w:tcW w:type="dxa" w:w="5400"/>
          </w:tcPr>
          <w:p>
            <w:pPr>
              <w:spacing w:after="0" w:before="0" w:line="240" w:lineRule="auto"/>
              <w:jc w:val="left"/>
            </w:pPr>
            <w:r>
              <w:t>Quantity reserved for a particular customer or order</w:t>
            </w:r>
          </w:p>
        </w:tc>
      </w:tr>
      <w:tr>
        <w:tc>
          <w:tcPr>
            <w:tcW w:type="dxa" w:w="5400"/>
          </w:tcPr>
          <w:p>
            <w:pPr>
              <w:spacing w:after="0" w:before="0" w:line="240" w:lineRule="auto"/>
              <w:jc w:val="left"/>
            </w:pPr>
            <w:r>
              <w:t>MOQ</w:t>
            </w:r>
          </w:p>
        </w:tc>
        <w:tc>
          <w:tcPr>
            <w:tcW w:type="dxa" w:w="5400"/>
          </w:tcPr>
          <w:p>
            <w:pPr>
              <w:spacing w:after="0" w:before="0" w:line="240" w:lineRule="auto"/>
              <w:jc w:val="left"/>
            </w:pPr>
            <w:r>
              <w:t>Minimum order quantity accepted by the supplier</w:t>
            </w:r>
          </w:p>
        </w:tc>
      </w:tr>
      <w:tr>
        <w:tc>
          <w:tcPr>
            <w:tcW w:type="dxa" w:w="5400"/>
          </w:tcPr>
          <w:p>
            <w:pPr>
              <w:spacing w:after="0" w:before="0" w:line="240" w:lineRule="auto"/>
              <w:jc w:val="left"/>
            </w:pPr>
            <w:r>
              <w:t>Supplier capacity</w:t>
            </w:r>
          </w:p>
        </w:tc>
        <w:tc>
          <w:tcPr>
            <w:tcW w:type="dxa" w:w="5400"/>
          </w:tcPr>
          <w:p>
            <w:pPr>
              <w:spacing w:after="0" w:before="0" w:line="240" w:lineRule="auto"/>
              <w:jc w:val="left"/>
            </w:pPr>
            <w:r>
              <w:t>Ability to manufacture, process, repair, or supply the required quantity</w:t>
            </w:r>
          </w:p>
        </w:tc>
      </w:tr>
      <w:tr>
        <w:tc>
          <w:tcPr>
            <w:tcW w:type="dxa" w:w="5400"/>
          </w:tcPr>
          <w:p>
            <w:pPr>
              <w:spacing w:after="0" w:before="0" w:line="240" w:lineRule="auto"/>
              <w:jc w:val="left"/>
            </w:pPr>
            <w:r>
              <w:t>Sole-source supply</w:t>
            </w:r>
          </w:p>
        </w:tc>
        <w:tc>
          <w:tcPr>
            <w:tcW w:type="dxa" w:w="5400"/>
          </w:tcPr>
          <w:p>
            <w:pPr>
              <w:spacing w:after="0" w:before="0" w:line="240" w:lineRule="auto"/>
              <w:jc w:val="left"/>
            </w:pPr>
            <w:r>
              <w:t>Situation where only one qualified source is available for the required item</w:t>
            </w:r>
          </w:p>
        </w:tc>
      </w:tr>
      <w:tr>
        <w:tc>
          <w:tcPr>
            <w:tcW w:type="dxa" w:w="5400"/>
          </w:tcPr>
          <w:p>
            <w:pPr>
              <w:spacing w:after="0" w:before="0" w:line="240" w:lineRule="auto"/>
              <w:jc w:val="left"/>
            </w:pPr>
            <w:r>
              <w:t>End-of-life (EOL)</w:t>
            </w:r>
          </w:p>
        </w:tc>
        <w:tc>
          <w:tcPr>
            <w:tcW w:type="dxa" w:w="5400"/>
          </w:tcPr>
          <w:p>
            <w:pPr>
              <w:spacing w:after="0" w:before="0" w:line="240" w:lineRule="auto"/>
              <w:jc w:val="left"/>
            </w:pPr>
            <w:r>
              <w:t>Product lifecycle stage in which a product is discontinued or no longer actively sold</w:t>
            </w:r>
          </w:p>
        </w:tc>
      </w:tr>
      <w:tr>
        <w:tc>
          <w:tcPr>
            <w:tcW w:type="dxa" w:w="5400"/>
          </w:tcPr>
          <w:p>
            <w:pPr>
              <w:spacing w:after="0" w:before="0" w:line="240" w:lineRule="auto"/>
              <w:jc w:val="left"/>
            </w:pPr>
            <w:r>
              <w:t>Last-time buy</w:t>
            </w:r>
          </w:p>
        </w:tc>
        <w:tc>
          <w:tcPr>
            <w:tcW w:type="dxa" w:w="5400"/>
          </w:tcPr>
          <w:p>
            <w:pPr>
              <w:spacing w:after="0" w:before="0" w:line="240" w:lineRule="auto"/>
              <w:jc w:val="left"/>
            </w:pPr>
            <w:r>
              <w:t>Final purchasing opportunity announced before discontinuation, subject to supplier terms</w:t>
            </w:r>
          </w:p>
        </w:tc>
      </w:tr>
      <w:tr>
        <w:tc>
          <w:tcPr>
            <w:tcW w:type="dxa" w:w="5400"/>
          </w:tcPr>
          <w:p>
            <w:pPr>
              <w:spacing w:after="0" w:before="0" w:line="240" w:lineRule="auto"/>
              <w:jc w:val="left"/>
            </w:pPr>
            <w:r>
              <w:t>Repair turnaround time</w:t>
            </w:r>
          </w:p>
        </w:tc>
        <w:tc>
          <w:tcPr>
            <w:tcW w:type="dxa" w:w="5400"/>
          </w:tcPr>
          <w:p>
            <w:pPr>
              <w:spacing w:after="0" w:before="0" w:line="240" w:lineRule="auto"/>
              <w:jc w:val="left"/>
            </w:pPr>
            <w:r>
              <w:t>Time required to diagnose, repair, test, and return an item</w:t>
            </w:r>
          </w:p>
        </w:tc>
      </w:tr>
    </w:tbl>
    <w:p/>
    <w:p>
      <w:r>
        <w:t>The precise meaning of availability and delivery commitment should be confirmed with the supplier. A catalogue entry saying "available" is not proof that the item can reach the plant when needed.</w:t>
      </w:r>
    </w:p>
    <w:p>
      <w:pPr>
        <w:pStyle w:val="Heading2"/>
      </w:pPr>
      <w:r>
        <w:t>4. Types of Vendor Availability</w:t>
      </w:r>
    </w:p>
    <w:p>
      <w:pPr>
        <w:pStyle w:val="Heading3"/>
      </w:pPr>
      <w:r>
        <w:t>4.1 Immediate availability</w:t>
      </w:r>
    </w:p>
    <w:p>
      <w:r>
        <w:t>The supplier has verified stock ready for dispatch or collection.</w:t>
      </w:r>
    </w:p>
    <w:p>
      <w:r>
        <w:t>Confirm:</w:t>
      </w:r>
    </w:p>
    <w:p>
      <w:pPr>
        <w:pStyle w:val="ListBullet"/>
      </w:pPr>
      <w:r>
        <w:t>Exact part number and revision.</w:t>
      </w:r>
    </w:p>
    <w:p>
      <w:pPr>
        <w:pStyle w:val="ListBullet"/>
      </w:pPr>
      <w:r>
        <w:t>Available quantity.</w:t>
      </w:r>
    </w:p>
    <w:p>
      <w:pPr>
        <w:pStyle w:val="ListBullet"/>
      </w:pPr>
      <w:r>
        <w:t>Stock location.</w:t>
      </w:r>
    </w:p>
    <w:p>
      <w:pPr>
        <w:pStyle w:val="ListBullet"/>
      </w:pPr>
      <w:r>
        <w:t>Whether the stock is reserved for another customer.</w:t>
      </w:r>
    </w:p>
    <w:p>
      <w:pPr>
        <w:pStyle w:val="ListBullet"/>
      </w:pPr>
      <w:r>
        <w:t>Dispatch cutoff time.</w:t>
      </w:r>
    </w:p>
    <w:p>
      <w:pPr>
        <w:pStyle w:val="ListBullet"/>
      </w:pPr>
      <w:r>
        <w:t>Delivery or collection arrangements.</w:t>
      </w:r>
    </w:p>
    <w:p>
      <w:pPr>
        <w:pStyle w:val="Heading3"/>
      </w:pPr>
      <w:r>
        <w:t>4.2 Short-lead-time availability</w:t>
      </w:r>
    </w:p>
    <w:p>
      <w:r>
        <w:t>The part is not immediately available locally but can be supplied within a short, confirmed period.</w:t>
      </w:r>
    </w:p>
    <w:p>
      <w:r>
        <w:t>This may involve another warehouse, a regional distributor, or stock transfer from another branch.</w:t>
      </w:r>
    </w:p>
    <w:p>
      <w:pPr>
        <w:pStyle w:val="Heading3"/>
      </w:pPr>
      <w:r>
        <w:t>4.3 Manufacturer-dependent availability</w:t>
      </w:r>
    </w:p>
    <w:p>
      <w:r>
        <w:t>The distributor must obtain the part from the original equipment manufacturer (OEM).</w:t>
      </w:r>
    </w:p>
    <w:p>
      <w:r>
        <w:t>The delivery time may depend on manufacturing schedules, global inventory, import clearance, or component allocation.</w:t>
      </w:r>
    </w:p>
    <w:p>
      <w:pPr>
        <w:pStyle w:val="Heading3"/>
      </w:pPr>
      <w:r>
        <w:t>4.4 Make-to-order availability</w:t>
      </w:r>
    </w:p>
    <w:p>
      <w:r>
        <w:t>The item is manufactured after an order is accepted. Availability depends on production capacity, raw materials, engineering requirements, and the manufacturer's confirmed schedule.</w:t>
      </w:r>
    </w:p>
    <w:p>
      <w:pPr>
        <w:pStyle w:val="Heading3"/>
      </w:pPr>
      <w:r>
        <w:t>4.5 Repair or refurbishment availability</w:t>
      </w:r>
    </w:p>
    <w:p>
      <w:r>
        <w:t>The required part may be obtained through repair, refurbishment, or an exchange programme rather than purchasing a new item.</w:t>
      </w:r>
    </w:p>
    <w:p>
      <w:r>
        <w:t>The maintenance team must verify technical condition, testing, warranty, configuration, and expected turnaround time.</w:t>
      </w:r>
    </w:p>
    <w:p>
      <w:pPr>
        <w:pStyle w:val="Heading3"/>
      </w:pPr>
      <w:r>
        <w:t>4.6 Discontinued or obsolete availability</w:t>
      </w:r>
    </w:p>
    <w:p>
      <w:r>
        <w:t>The original manufacturer may no longer supply the part through normal channels.</w:t>
      </w:r>
    </w:p>
    <w:p>
      <w:r>
        <w:t>Potential sources include remaining authorized stock, approved surplus inventory, refurbished units, or a technically validated replacement. Counterfeit and untraceable material risks increase when normal supply channels disappear.</w:t>
      </w:r>
    </w:p>
    <w:p>
      <w:pPr>
        <w:pStyle w:val="Heading2"/>
      </w:pPr>
      <w:r>
        <w:t>5. Vendor Availability Verification Process</w:t>
      </w:r>
    </w:p>
    <w:p>
      <w:pPr>
        <w:shd w:val="clear" w:color="auto" w:fill="F4F4F4"/>
        <w:spacing w:before="0" w:after="0" w:line="240" w:lineRule="auto"/>
        <w:ind w:left="216" w:right="216"/>
        <w:jc w:val="left"/>
      </w:pPr>
      <w:r>
        <w:rPr>
          <w:rFonts w:ascii="Consolas" w:hAnsi="Consolas"/>
          <w:color w:val="202020"/>
          <w:sz w:val="18"/>
        </w:rPr>
        <w:t>Identify Required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Exact Part Number and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Internal Plant and Warehouse Stock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 Approved Supplier or OEM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Quantity, Location, Revision, and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Price, Lead Time, and Delivery Commitment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Supplier and Technical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Approved Procurement or Recovery Route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Track Order and Escalate Delays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Inspect, and Release Material</w:t>
      </w:r>
    </w:p>
    <w:p/>
    <w:p>
      <w:r>
        <w:t>The sequence should begin with internal stock checks because the fastest external supplier is still slower than a compatible, available spare already in the plant.</w:t>
      </w:r>
    </w:p>
    <w:p>
      <w:pPr>
        <w:pStyle w:val="Heading2"/>
      </w:pPr>
      <w:r>
        <w:t>6. Information Required When Checking Availability</w:t>
      </w:r>
    </w:p>
    <w:p>
      <w:r>
        <w:t>A vendor enquiry should contain sufficient information to prevent the supplier from quoting a superficially similar but technically incompatible part.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Information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Links the enquiry to the plant's inventory record</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original manufacturer</w:t>
            </w:r>
          </w:p>
        </w:tc>
      </w:tr>
      <w:tr>
        <w:tc>
          <w:tcPr>
            <w:tcW w:type="dxa" w:w="5400"/>
          </w:tcPr>
          <w:p>
            <w:pPr>
              <w:spacing w:after="0" w:before="0" w:line="240" w:lineRule="auto"/>
              <w:jc w:val="left"/>
            </w:pPr>
            <w:r>
              <w:t>Exact part number</w:t>
            </w:r>
          </w:p>
        </w:tc>
        <w:tc>
          <w:tcPr>
            <w:tcW w:type="dxa" w:w="5400"/>
          </w:tcPr>
          <w:p>
            <w:pPr>
              <w:spacing w:after="0" w:before="0" w:line="240" w:lineRule="auto"/>
              <w:jc w:val="left"/>
            </w:pPr>
            <w:r>
              <w:t>Prevents confusion between product variants</w:t>
            </w:r>
          </w:p>
        </w:tc>
      </w:tr>
      <w:tr>
        <w:tc>
          <w:tcPr>
            <w:tcW w:type="dxa" w:w="5400"/>
          </w:tcPr>
          <w:p>
            <w:pPr>
              <w:spacing w:after="0" w:before="0" w:line="240" w:lineRule="auto"/>
              <w:jc w:val="left"/>
            </w:pPr>
            <w:r>
              <w:t>Description</w:t>
            </w:r>
          </w:p>
        </w:tc>
        <w:tc>
          <w:tcPr>
            <w:tcW w:type="dxa" w:w="5400"/>
          </w:tcPr>
          <w:p>
            <w:pPr>
              <w:spacing w:after="0" w:before="0" w:line="240" w:lineRule="auto"/>
              <w:jc w:val="left"/>
            </w:pPr>
            <w:r>
              <w:t>Provides a readable material identity</w:t>
            </w:r>
          </w:p>
        </w:tc>
      </w:tr>
      <w:tr>
        <w:tc>
          <w:tcPr>
            <w:tcW w:type="dxa" w:w="5400"/>
          </w:tcPr>
          <w:p>
            <w:pPr>
              <w:spacing w:after="0" w:before="0" w:line="240" w:lineRule="auto"/>
              <w:jc w:val="left"/>
            </w:pPr>
            <w:r>
              <w:t>Required quantity</w:t>
            </w:r>
          </w:p>
        </w:tc>
        <w:tc>
          <w:tcPr>
            <w:tcW w:type="dxa" w:w="5400"/>
          </w:tcPr>
          <w:p>
            <w:pPr>
              <w:spacing w:after="0" w:before="0" w:line="240" w:lineRule="auto"/>
              <w:jc w:val="left"/>
            </w:pPr>
            <w:r>
              <w:t>Establishes the supply requirement</w:t>
            </w:r>
          </w:p>
        </w:tc>
      </w:tr>
      <w:tr>
        <w:tc>
          <w:tcPr>
            <w:tcW w:type="dxa" w:w="5400"/>
          </w:tcPr>
          <w:p>
            <w:pPr>
              <w:spacing w:after="0" w:before="0" w:line="240" w:lineRule="auto"/>
              <w:jc w:val="left"/>
            </w:pPr>
            <w:r>
              <w:t>Hardware or revision level</w:t>
            </w:r>
          </w:p>
        </w:tc>
        <w:tc>
          <w:tcPr>
            <w:tcW w:type="dxa" w:w="5400"/>
          </w:tcPr>
          <w:p>
            <w:pPr>
              <w:spacing w:after="0" w:before="0" w:line="240" w:lineRule="auto"/>
              <w:jc w:val="left"/>
            </w:pPr>
            <w:r>
              <w:t>Identifies compatibility constraints</w:t>
            </w:r>
          </w:p>
        </w:tc>
      </w:tr>
      <w:tr>
        <w:tc>
          <w:tcPr>
            <w:tcW w:type="dxa" w:w="5400"/>
          </w:tcPr>
          <w:p>
            <w:pPr>
              <w:spacing w:after="0" w:before="0" w:line="240" w:lineRule="auto"/>
              <w:jc w:val="left"/>
            </w:pPr>
            <w:r>
              <w:t>Equipment application</w:t>
            </w:r>
          </w:p>
        </w:tc>
        <w:tc>
          <w:tcPr>
            <w:tcW w:type="dxa" w:w="5400"/>
          </w:tcPr>
          <w:p>
            <w:pPr>
              <w:spacing w:after="0" w:before="0" w:line="240" w:lineRule="auto"/>
              <w:jc w:val="left"/>
            </w:pPr>
            <w:r>
              <w:t>Explains where the component is installed</w:t>
            </w:r>
          </w:p>
        </w:tc>
      </w:tr>
      <w:tr>
        <w:tc>
          <w:tcPr>
            <w:tcW w:type="dxa" w:w="5400"/>
          </w:tcPr>
          <w:p>
            <w:pPr>
              <w:spacing w:after="0" w:before="0" w:line="240" w:lineRule="auto"/>
              <w:jc w:val="left"/>
            </w:pPr>
            <w:r>
              <w:t>Required delivery date</w:t>
            </w:r>
          </w:p>
        </w:tc>
        <w:tc>
          <w:tcPr>
            <w:tcW w:type="dxa" w:w="5400"/>
          </w:tcPr>
          <w:p>
            <w:pPr>
              <w:spacing w:after="0" w:before="0" w:line="240" w:lineRule="auto"/>
              <w:jc w:val="left"/>
            </w:pPr>
            <w:r>
              <w:t>Defines the operational deadline</w:t>
            </w:r>
          </w:p>
        </w:tc>
      </w:tr>
      <w:tr>
        <w:tc>
          <w:tcPr>
            <w:tcW w:type="dxa" w:w="5400"/>
          </w:tcPr>
          <w:p>
            <w:pPr>
              <w:spacing w:after="0" w:before="0" w:line="240" w:lineRule="auto"/>
              <w:jc w:val="left"/>
            </w:pPr>
            <w:r>
              <w:t>Delivery location</w:t>
            </w:r>
          </w:p>
        </w:tc>
        <w:tc>
          <w:tcPr>
            <w:tcW w:type="dxa" w:w="5400"/>
          </w:tcPr>
          <w:p>
            <w:pPr>
              <w:spacing w:after="0" w:before="0" w:line="240" w:lineRule="auto"/>
              <w:jc w:val="left"/>
            </w:pPr>
            <w:r>
              <w:t>Determines logistics and delivery arrangements</w:t>
            </w:r>
          </w:p>
        </w:tc>
      </w:tr>
      <w:tr>
        <w:tc>
          <w:tcPr>
            <w:tcW w:type="dxa" w:w="5400"/>
          </w:tcPr>
          <w:p>
            <w:pPr>
              <w:spacing w:after="0" w:before="0" w:line="240" w:lineRule="auto"/>
              <w:jc w:val="left"/>
            </w:pPr>
            <w:r>
              <w:t>Certificate or traceability requirements</w:t>
            </w:r>
          </w:p>
        </w:tc>
        <w:tc>
          <w:tcPr>
            <w:tcW w:type="dxa" w:w="5400"/>
          </w:tcPr>
          <w:p>
            <w:pPr>
              <w:spacing w:after="0" w:before="0" w:line="240" w:lineRule="auto"/>
              <w:jc w:val="left"/>
            </w:pPr>
            <w:r>
              <w:t>Establishes quality and authenticity requirements</w:t>
            </w:r>
          </w:p>
        </w:tc>
      </w:tr>
      <w:tr>
        <w:tc>
          <w:tcPr>
            <w:tcW w:type="dxa" w:w="5400"/>
          </w:tcPr>
          <w:p>
            <w:pPr>
              <w:spacing w:after="0" w:before="0" w:line="240" w:lineRule="auto"/>
              <w:jc w:val="left"/>
            </w:pPr>
            <w:r>
              <w:t>Alternative approval status</w:t>
            </w:r>
          </w:p>
        </w:tc>
        <w:tc>
          <w:tcPr>
            <w:tcW w:type="dxa" w:w="5400"/>
          </w:tcPr>
          <w:p>
            <w:pPr>
              <w:spacing w:after="0" w:before="0" w:line="240" w:lineRule="auto"/>
              <w:jc w:val="left"/>
            </w:pPr>
            <w:r>
              <w:t>Determines whether a substitute can be considered</w:t>
            </w:r>
          </w:p>
        </w:tc>
      </w:tr>
      <w:tr>
        <w:tc>
          <w:tcPr>
            <w:tcW w:type="dxa" w:w="5400"/>
          </w:tcPr>
          <w:p>
            <w:pPr>
              <w:spacing w:after="0" w:before="0" w:line="240" w:lineRule="auto"/>
              <w:jc w:val="left"/>
            </w:pPr>
            <w:r>
              <w:t>Commercial terms</w:t>
            </w:r>
          </w:p>
        </w:tc>
        <w:tc>
          <w:tcPr>
            <w:tcW w:type="dxa" w:w="5400"/>
          </w:tcPr>
          <w:p>
            <w:pPr>
              <w:spacing w:after="0" w:before="0" w:line="240" w:lineRule="auto"/>
              <w:jc w:val="left"/>
            </w:pPr>
            <w:r>
              <w:t>Clarifies price, freight, taxes, and payment conditions</w:t>
            </w:r>
          </w:p>
        </w:tc>
      </w:tr>
    </w:tbl>
    <w:p/>
    <w:p>
      <w:r>
        <w:t>For PLC, CNC, robot, servo, and safety-system components, the exact part number and technical compatibility requirements are especially important.</w:t>
      </w:r>
    </w:p>
    <w:p>
      <w:pPr>
        <w:pStyle w:val="Heading2"/>
      </w:pPr>
      <w:r>
        <w:t>7. Vendor Availability Versus Lead Time</w:t>
      </w:r>
    </w:p>
    <w:p>
      <w:r>
        <w:t>These concepts are related but different.</w:t>
      </w:r>
    </w:p>
    <w:p>
      <w:r>
        <w:t>Availability answers whether a supplier can commit the required quantity.</w:t>
      </w:r>
    </w:p>
    <w:p>
      <w:r>
        <w:t>Lead time answers how long it will take to receive the material under a defined delivery process.</w:t>
      </w:r>
    </w:p>
    <w:p>
      <w:r>
        <w:t>Examples:</w:t>
      </w:r>
    </w:p>
    <w:p>
      <w:pPr>
        <w:pStyle w:val="ListBullet"/>
      </w:pPr>
      <w:r>
        <w:t>Supplier A has 5 units physically available and can dispatch them today.</w:t>
      </w:r>
    </w:p>
    <w:p>
      <w:pPr>
        <w:pStyle w:val="ListBullet"/>
      </w:pPr>
      <w:r>
        <w:t>Supplier B can supply 20 units but requires 6 weeks to manufacture them.</w:t>
      </w:r>
    </w:p>
    <w:p>
      <w:pPr>
        <w:pStyle w:val="ListBullet"/>
      </w:pPr>
      <w:r>
        <w:t>Supplier C lists the part online but cannot confirm stock or a delivery date.</w:t>
      </w:r>
    </w:p>
    <w:p>
      <w:r>
        <w:t>Supplier A has immediate availability for up to 5 units. Supplier B offers a longer-term supply route. Supplier C has unverified availability.</w:t>
      </w:r>
    </w:p>
    <w:p>
      <w:pPr>
        <w:pStyle w:val="Heading3"/>
      </w:pPr>
      <w:r>
        <w:t>7.1 Lead-time components</w:t>
      </w:r>
    </w:p>
    <w:p>
      <w:r>
        <w:t>A practical lead-time breakdown is:</w:t>
      </w:r>
    </w:p>
    <w:p>
      <w:pPr>
        <w:spacing w:before="120" w:after="160"/>
        <w:jc w:val="center"/>
      </w:pPr>
      <m:oMathPara>
        <m:oMath>
          <m:sSub>
            <m:e>
              <m:r>
                <m:t>T</m:t>
              </m:r>
            </m:e>
            <m:sub>
              <m:r>
                <m:rPr>
                  <m:nor/>
                </m:rPr>
                <m:t>total</m:t>
              </m:r>
            </m:sub>
          </m:sSub>
          <m:r>
            <m:t>=</m:t>
          </m:r>
          <m:sSub>
            <m:e>
              <m:r>
                <m:t>T</m:t>
              </m:r>
            </m:e>
            <m:sub>
              <m:r>
                <m:rPr>
                  <m:nor/>
                </m:rPr>
                <m:t>approval</m:t>
              </m:r>
            </m:sub>
          </m:sSub>
          <m:r>
            <m:t>+</m:t>
          </m:r>
          <m:sSub>
            <m:e>
              <m:r>
                <m:t>T</m:t>
              </m:r>
            </m:e>
            <m:sub>
              <m:r>
                <m:rPr>
                  <m:nor/>
                </m:rPr>
                <m:t>processing</m:t>
              </m:r>
            </m:sub>
          </m:sSub>
          <m:r>
            <m:t>+</m:t>
          </m:r>
          <m:sSub>
            <m:e>
              <m:r>
                <m:t>T</m:t>
              </m:r>
            </m:e>
            <m:sub>
              <m:r>
                <m:rPr>
                  <m:nor/>
                </m:rPr>
                <m:t>manufacturing</m:t>
              </m:r>
            </m:sub>
          </m:sSub>
          <m:r>
            <m:t>+</m:t>
          </m:r>
          <m:sSub>
            <m:e>
              <m:r>
                <m:t>T</m:t>
              </m:r>
            </m:e>
            <m:sub>
              <m:r>
                <m:rPr>
                  <m:nor/>
                </m:rPr>
                <m:t>transport</m:t>
              </m:r>
            </m:sub>
          </m:sSub>
          <m:r>
            <m:t>+</m:t>
          </m:r>
          <m:sSub>
            <m:e>
              <m:r>
                <m:t>T</m:t>
              </m:r>
            </m:e>
            <m:sub>
              <m:r>
                <m:rPr>
                  <m:nor/>
                </m:rPr>
                <m:t>receipt</m:t>
              </m:r>
            </m:sub>
          </m:sSub>
        </m:oMath>
      </m:oMathPara>
    </w:p>
    <w:p>
      <w:r>
        <w:t>Where:</w:t>
      </w:r>
    </w:p>
    <w:p>
      <w:pPr>
        <w:pStyle w:val="ListBullet"/>
      </w:pPr>
      <m:oMath>
        <m:sSub>
          <m:e>
            <m:r>
              <m:t>T</m:t>
            </m:r>
          </m:e>
          <m:sub>
            <m:r>
              <m:rPr>
                <m:nor/>
              </m:rPr>
              <m:t>approval</m:t>
            </m:r>
          </m:sub>
        </m:sSub>
      </m:oMath>
      <w:r>
        <w:t xml:space="preserve"> = internal requisition and purchasing approval time.</w:t>
      </w:r>
    </w:p>
    <w:p>
      <w:pPr>
        <w:pStyle w:val="ListBullet"/>
      </w:pPr>
      <m:oMath>
        <m:sSub>
          <m:e>
            <m:r>
              <m:t>T</m:t>
            </m:r>
          </m:e>
          <m:sub>
            <m:r>
              <m:rPr>
                <m:nor/>
              </m:rPr>
              <m:t>processing</m:t>
            </m:r>
          </m:sub>
        </m:sSub>
      </m:oMath>
      <w:r>
        <w:t xml:space="preserve"> = supplier order processing time.</w:t>
      </w:r>
    </w:p>
    <w:p>
      <w:pPr>
        <w:pStyle w:val="ListBullet"/>
      </w:pPr>
      <m:oMath>
        <m:sSub>
          <m:e>
            <m:r>
              <m:t>T</m:t>
            </m:r>
          </m:e>
          <m:sub>
            <m:r>
              <m:rPr>
                <m:nor/>
              </m:rPr>
              <m:t>manufacturing</m:t>
            </m:r>
          </m:sub>
        </m:sSub>
      </m:oMath>
      <w:r>
        <w:t xml:space="preserve"> = production or procurement time at the supplier.</w:t>
      </w:r>
    </w:p>
    <w:p>
      <w:pPr>
        <w:pStyle w:val="ListBullet"/>
      </w:pPr>
      <m:oMath>
        <m:sSub>
          <m:e>
            <m:r>
              <m:t>T</m:t>
            </m:r>
          </m:e>
          <m:sub>
            <m:r>
              <m:rPr>
                <m:nor/>
              </m:rPr>
              <m:t>transport</m:t>
            </m:r>
          </m:sub>
        </m:sSub>
      </m:oMath>
      <w:r>
        <w:t xml:space="preserve"> = transportation and customs time where applicable.</w:t>
      </w:r>
    </w:p>
    <w:p>
      <w:pPr>
        <w:pStyle w:val="ListBullet"/>
      </w:pPr>
      <m:oMath>
        <m:sSub>
          <m:e>
            <m:r>
              <m:t>T</m:t>
            </m:r>
          </m:e>
          <m:sub>
            <m:r>
              <m:rPr>
                <m:nor/>
              </m:rPr>
              <m:t>receipt</m:t>
            </m:r>
          </m:sub>
        </m:sSub>
      </m:oMath>
      <w:r>
        <w:t xml:space="preserve"> = receiving inspection and release time.</w:t>
      </w:r>
    </w:p>
    <w:p>
      <w:r>
        <w:t>Some stages may overlap. The equation is a planning model, not a claim that every stage is strictly sequential.</w:t>
      </w:r>
    </w:p>
    <w:p>
      <w:r>
        <w:t>For maintenance, the relevant endpoint is generally when the part becomes usable, not merely when the supplier generates a dispatch document.</w:t>
      </w:r>
    </w:p>
    <w:p>
      <w:pPr>
        <w:pStyle w:val="Heading2"/>
      </w:pPr>
      <w:r>
        <w:t>8. Measuring Vendor Availability Performance</w:t>
      </w:r>
    </w:p>
    <w:p>
      <w:r>
        <w:t>Vendor performance should be measured using consistent definitions and transaction records.</w:t>
      </w:r>
    </w:p>
    <w:p>
      <w:pPr>
        <w:pStyle w:val="Heading3"/>
      </w:pPr>
      <w:r>
        <w:t>8.1 On-time delivery rate</w:t>
      </w:r>
    </w:p>
    <w:p>
      <w:pPr>
        <w:spacing w:before="120" w:after="160"/>
        <w:jc w:val="center"/>
      </w:pPr>
      <m:oMathPara>
        <m:oMath>
          <m:r>
            <m:rPr>
              <m:nor/>
            </m:rPr>
            <m:t>On-time delivery rate</m:t>
          </m:r>
          <m:r>
            <m:t>=</m:t>
          </m:r>
          <m:f>
            <m:fPr>
              <m:type m:val="bar"/>
            </m:fPr>
            <m:num>
              <m:r>
                <m:rPr>
                  <m:nor/>
                </m:rPr>
                <m:t>Deliveries received on or before the agreed date</m:t>
              </m:r>
            </m:num>
            <m:den>
              <m:r>
                <m:rPr>
                  <m:nor/>
                </m:rPr>
                <m:t>Eligible deliveries</m:t>
              </m:r>
            </m:den>
          </m:f>
          <m:r>
            <m:t>×100</m:t>
          </m:r>
        </m:oMath>
      </m:oMathPara>
    </w:p>
    <w:p>
      <w:r>
        <w:t>The agreed date should be defined consistently. If a delivery is rescheduled, the measurement policy should specify whether the original or formally revised commitment is used.</w:t>
      </w:r>
    </w:p>
    <w:p>
      <w:pPr>
        <w:pStyle w:val="Heading3"/>
      </w:pPr>
      <w:r>
        <w:t>8.2 Quantity fulfilment rate</w:t>
      </w:r>
    </w:p>
    <w:p>
      <w:pPr>
        <w:spacing w:before="120" w:after="160"/>
        <w:jc w:val="center"/>
      </w:pPr>
      <m:oMathPara>
        <m:oMath>
          <m:r>
            <m:rPr>
              <m:nor/>
            </m:rPr>
            <m:t>Quantity fulfilment rate</m:t>
          </m:r>
          <m:r>
            <m:t>=</m:t>
          </m:r>
          <m:f>
            <m:fPr>
              <m:type m:val="bar"/>
            </m:fPr>
            <m:num>
              <m:r>
                <m:rPr>
                  <m:nor/>
                </m:rPr>
                <m:t>Quantity delivered and accepted</m:t>
              </m:r>
            </m:num>
            <m:den>
              <m:r>
                <m:rPr>
                  <m:nor/>
                </m:rPr>
                <m:t>Quantity due</m:t>
              </m:r>
            </m:den>
          </m:f>
          <m:r>
            <m:t>×100</m:t>
          </m:r>
        </m:oMath>
      </m:oMathPara>
    </w:p>
    <w:p>
      <w:r>
        <w:t>This measures the extent to which the supplier delivers the required quantity.</w:t>
      </w:r>
    </w:p>
    <w:p>
      <w:pPr>
        <w:pStyle w:val="Heading3"/>
      </w:pPr>
      <w:r>
        <w:t>8.3 Average actual lead time</w:t>
      </w:r>
    </w:p>
    <w:p>
      <w:pPr>
        <w:spacing w:before="120" w:after="160"/>
        <w:jc w:val="center"/>
      </w:pPr>
      <m:oMathPara>
        <m:oMath>
          <m:bar>
            <m:barPr>
              <m:pos m:val="top"/>
            </m:barPr>
            <m:e>
              <m:r>
                <m:t>L</m:t>
              </m:r>
            </m:e>
          </m:bar>
          <m:r>
            <m:t>=</m:t>
          </m:r>
          <m:f>
            <m:fPr>
              <m:type m:val="bar"/>
            </m:fPr>
            <m:num>
              <m:nary>
                <m:naryPr>
                  <m:chr m:val="∑"/>
                  <m:limLoc m:val="subSup"/>
                  <m:grow m:val="1"/>
                  <m:subHide m:val="off"/>
                  <m:supHide m:val="off"/>
                </m:naryPr>
                <m:sub>
                  <m:r>
                    <m:t>i=1</m:t>
                  </m:r>
                </m:sub>
                <m:sup>
                  <m:r>
                    <m:t>n</m:t>
                  </m:r>
                </m:sup>
                <m:e>
                  <m:sSub>
                    <m:e>
                      <m:r>
                        <m:t>L</m:t>
                      </m:r>
                    </m:e>
                    <m:sub>
                      <m:r>
                        <m:t>i</m:t>
                      </m:r>
                    </m:sub>
                  </m:sSub>
                </m:e>
              </m:nary>
            </m:num>
            <m:den>
              <m:r>
                <m:t>n</m:t>
              </m:r>
            </m:den>
          </m:f>
        </m:oMath>
      </m:oMathPara>
    </w:p>
    <w:p>
      <w:r>
        <w:t xml:space="preserve">Where </w:t>
      </w:r>
      <m:oMath>
        <m:sSub>
          <m:e>
            <m:r>
              <m:t>L</m:t>
            </m:r>
          </m:e>
          <m:sub>
            <m:r>
              <m:t>i</m:t>
            </m:r>
          </m:sub>
        </m:sSub>
      </m:oMath>
      <w:r>
        <w:t xml:space="preserve"> is the actual lead time of completed order </w:t>
      </w:r>
      <m:oMath>
        <m:r>
          <m:t>i</m:t>
        </m:r>
      </m:oMath>
      <w:r>
        <w:t>, measured using the same start and end events.</w:t>
      </w:r>
    </w:p>
    <w:p>
      <w:pPr>
        <w:pStyle w:val="Heading3"/>
      </w:pPr>
      <w:r>
        <w:t>8.4 Lead-time variability</w:t>
      </w:r>
    </w:p>
    <w:p>
      <w:r>
        <w:t>Two suppliers may have the same average lead time but different reliability.</w:t>
      </w:r>
    </w:p>
    <w:p>
      <w:r>
        <w:t>For example:</w:t>
      </w:r>
    </w:p>
    <w:p>
      <w:pPr>
        <w:pStyle w:val="ListBullet"/>
      </w:pPr>
      <w:r>
        <w:t>Supplier A typically delivers in 10 to 12 days.</w:t>
      </w:r>
    </w:p>
    <w:p>
      <w:pPr>
        <w:pStyle w:val="ListBullet"/>
      </w:pPr>
      <w:r>
        <w:t>Supplier B sometimes delivers in 5 days and sometimes in 30 days.</w:t>
      </w:r>
    </w:p>
    <w:p>
      <w:r>
        <w:t>Supplier B has greater variability, which may require a larger buffer or a different sourcing strategy even if the averages are similar.</w:t>
      </w:r>
    </w:p>
    <w:p>
      <w:pPr>
        <w:pStyle w:val="Heading3"/>
      </w:pPr>
      <w:r>
        <w:t>8.5 Supplier confirmation accuracy</w:t>
      </w:r>
    </w:p>
    <w:p>
      <w:r>
        <w:t>Track how often a supplier fulfils the confirmed quantity and delivery date without an unplanned delay or quantity reduction.</w:t>
      </w:r>
    </w:p>
    <w:p>
      <w:r>
        <w:t>A high rate of unreliable confirmations is a warning that quoted availability cannot safely be used as the basis for breakdown recovery planning.</w:t>
      </w:r>
    </w:p>
    <w:p>
      <w:pPr>
        <w:pStyle w:val="Heading2"/>
      </w:pPr>
      <w:r>
        <w:t>9. Vendor Availability and Spare-Parts Strategy</w:t>
      </w:r>
    </w:p>
    <w:p>
      <w:r>
        <w:t>Vendor availability should influence the stocking policy for each material.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Supply condition</w:t>
            </w:r>
          </w:p>
        </w:tc>
        <w:tc>
          <w:tcPr>
            <w:tcW w:type="dxa" w:w="5400"/>
            <w:shd w:val="clear" w:color="auto" w:fill="EEF2F7"/>
          </w:tcPr>
          <w:p>
            <w:pPr>
              <w:spacing w:after="0" w:before="0" w:line="240" w:lineRule="auto"/>
              <w:jc w:val="left"/>
            </w:pPr>
            <w:r>
              <w:rPr>
                <w:b/>
                <w:color w:val="1A2E4A"/>
              </w:rPr>
              <w:t>Maintenance strategy</w:t>
            </w:r>
          </w:p>
        </w:tc>
      </w:tr>
      <w:tr>
        <w:tc>
          <w:tcPr>
            <w:tcW w:type="dxa" w:w="5400"/>
          </w:tcPr>
          <w:p>
            <w:pPr>
              <w:spacing w:after="0" w:before="0" w:line="240" w:lineRule="auto"/>
              <w:jc w:val="left"/>
            </w:pPr>
            <w:r>
              <w:t>Reliable local stock</w:t>
            </w:r>
          </w:p>
        </w:tc>
        <w:tc>
          <w:tcPr>
            <w:tcW w:type="dxa" w:w="5400"/>
          </w:tcPr>
          <w:p>
            <w:pPr>
              <w:spacing w:after="0" w:before="0" w:line="240" w:lineRule="auto"/>
              <w:jc w:val="left"/>
            </w:pPr>
            <w:r>
              <w:t>Lower inventory may be feasible if demand and risk support it</w:t>
            </w:r>
          </w:p>
        </w:tc>
      </w:tr>
      <w:tr>
        <w:tc>
          <w:tcPr>
            <w:tcW w:type="dxa" w:w="5400"/>
          </w:tcPr>
          <w:p>
            <w:pPr>
              <w:spacing w:after="0" w:before="0" w:line="240" w:lineRule="auto"/>
              <w:jc w:val="left"/>
            </w:pPr>
            <w:r>
              <w:t>Long and predictable lead time</w:t>
            </w:r>
          </w:p>
        </w:tc>
        <w:tc>
          <w:tcPr>
            <w:tcW w:type="dxa" w:w="5400"/>
          </w:tcPr>
          <w:p>
            <w:pPr>
              <w:spacing w:after="0" w:before="0" w:line="240" w:lineRule="auto"/>
              <w:jc w:val="left"/>
            </w:pPr>
            <w:r>
              <w:t>Calculate stock levels to cover replenishment exposure</w:t>
            </w:r>
          </w:p>
        </w:tc>
      </w:tr>
      <w:tr>
        <w:tc>
          <w:tcPr>
            <w:tcW w:type="dxa" w:w="5400"/>
          </w:tcPr>
          <w:p>
            <w:pPr>
              <w:spacing w:after="0" w:before="0" w:line="240" w:lineRule="auto"/>
              <w:jc w:val="left"/>
            </w:pPr>
            <w:r>
              <w:t>Long and variable lead time</w:t>
            </w:r>
          </w:p>
        </w:tc>
        <w:tc>
          <w:tcPr>
            <w:tcW w:type="dxa" w:w="5400"/>
          </w:tcPr>
          <w:p>
            <w:pPr>
              <w:spacing w:after="0" w:before="0" w:line="240" w:lineRule="auto"/>
              <w:jc w:val="left"/>
            </w:pPr>
            <w:r>
              <w:t>Consider additional risk protection and escalation arrangements</w:t>
            </w:r>
          </w:p>
        </w:tc>
      </w:tr>
      <w:tr>
        <w:tc>
          <w:tcPr>
            <w:tcW w:type="dxa" w:w="5400"/>
          </w:tcPr>
          <w:p>
            <w:pPr>
              <w:spacing w:after="0" w:before="0" w:line="240" w:lineRule="auto"/>
              <w:jc w:val="left"/>
            </w:pPr>
            <w:r>
              <w:t>Single qualified supplier</w:t>
            </w:r>
          </w:p>
        </w:tc>
        <w:tc>
          <w:tcPr>
            <w:tcW w:type="dxa" w:w="5400"/>
          </w:tcPr>
          <w:p>
            <w:pPr>
              <w:spacing w:after="0" w:before="0" w:line="240" w:lineRule="auto"/>
              <w:jc w:val="left"/>
            </w:pPr>
            <w:r>
              <w:t>Assess supply continuity and contingency options</w:t>
            </w:r>
          </w:p>
        </w:tc>
      </w:tr>
      <w:tr>
        <w:tc>
          <w:tcPr>
            <w:tcW w:type="dxa" w:w="5400"/>
          </w:tcPr>
          <w:p>
            <w:pPr>
              <w:spacing w:after="0" w:before="0" w:line="240" w:lineRule="auto"/>
              <w:jc w:val="left"/>
            </w:pPr>
            <w:r>
              <w:t>Discontinued component</w:t>
            </w:r>
          </w:p>
        </w:tc>
        <w:tc>
          <w:tcPr>
            <w:tcW w:type="dxa" w:w="5400"/>
          </w:tcPr>
          <w:p>
            <w:pPr>
              <w:spacing w:after="0" w:before="0" w:line="240" w:lineRule="auto"/>
              <w:jc w:val="left"/>
            </w:pPr>
            <w:r>
              <w:t>Investigate lifecycle risk, remaining stock, and migration planning</w:t>
            </w:r>
          </w:p>
        </w:tc>
      </w:tr>
      <w:tr>
        <w:tc>
          <w:tcPr>
            <w:tcW w:type="dxa" w:w="5400"/>
          </w:tcPr>
          <w:p>
            <w:pPr>
              <w:spacing w:after="0" w:before="0" w:line="240" w:lineRule="auto"/>
              <w:jc w:val="left"/>
            </w:pPr>
            <w:r>
              <w:t>Repairable component</w:t>
            </w:r>
          </w:p>
        </w:tc>
        <w:tc>
          <w:tcPr>
            <w:tcW w:type="dxa" w:w="5400"/>
          </w:tcPr>
          <w:p>
            <w:pPr>
              <w:spacing w:after="0" w:before="0" w:line="240" w:lineRule="auto"/>
              <w:jc w:val="left"/>
            </w:pPr>
            <w:r>
              <w:t>Evaluate repair turnaround, exchange stock, and failure rates</w:t>
            </w:r>
          </w:p>
        </w:tc>
      </w:tr>
      <w:tr>
        <w:tc>
          <w:tcPr>
            <w:tcW w:type="dxa" w:w="5400"/>
          </w:tcPr>
          <w:p>
            <w:pPr>
              <w:spacing w:after="0" w:before="0" w:line="240" w:lineRule="auto"/>
              <w:jc w:val="left"/>
            </w:pPr>
            <w:r>
              <w:t>Safety-critical component</w:t>
            </w:r>
          </w:p>
        </w:tc>
        <w:tc>
          <w:tcPr>
            <w:tcW w:type="dxa" w:w="5400"/>
          </w:tcPr>
          <w:p>
            <w:pPr>
              <w:spacing w:after="0" w:before="0" w:line="240" w:lineRule="auto"/>
              <w:jc w:val="left"/>
            </w:pPr>
            <w:r>
              <w:t>Require approved sourcing and technical assurance</w:t>
            </w:r>
          </w:p>
        </w:tc>
      </w:tr>
      <w:tr>
        <w:tc>
          <w:tcPr>
            <w:tcW w:type="dxa" w:w="5400"/>
          </w:tcPr>
          <w:p>
            <w:pPr>
              <w:spacing w:after="0" w:before="0" w:line="240" w:lineRule="auto"/>
              <w:jc w:val="left"/>
            </w:pPr>
            <w:r>
              <w:t>Unverified market availability</w:t>
            </w:r>
          </w:p>
        </w:tc>
        <w:tc>
          <w:tcPr>
            <w:tcW w:type="dxa" w:w="5400"/>
          </w:tcPr>
          <w:p>
            <w:pPr>
              <w:spacing w:after="0" w:before="0" w:line="240" w:lineRule="auto"/>
              <w:jc w:val="left"/>
            </w:pPr>
            <w:r>
              <w:t>Do not treat a listing or verbal estimate as a confirmed supply commitment</w:t>
            </w:r>
          </w:p>
        </w:tc>
      </w:tr>
    </w:tbl>
    <w:p/>
    <w:p>
      <w:r>
        <w:t>A low-cost component can deserve significant attention if its absence stops a production line. Conversely, an expensive component may not need multiple spares if a reliable repair and exchange process provides acceptable recovery time.</w:t>
      </w:r>
    </w:p>
    <w:p>
      <w:pPr>
        <w:pStyle w:val="Heading2"/>
      </w:pPr>
      <w:r>
        <w:t>10. Vendor Availability for Industrial Automation</w:t>
      </w:r>
    </w:p>
    <w:p>
      <w:pPr>
        <w:pStyle w:val="Heading3"/>
      </w:pPr>
      <w:r>
        <w:t>10.1 PLC and remote I/O modules</w:t>
      </w:r>
    </w:p>
    <w:p>
      <w:r>
        <w:t>Verify:</w:t>
      </w:r>
    </w:p>
    <w:p>
      <w:pPr>
        <w:pStyle w:val="ListBullet"/>
      </w:pPr>
      <w:r>
        <w:t>Exact catalog number.</w:t>
      </w:r>
    </w:p>
    <w:p>
      <w:pPr>
        <w:pStyle w:val="ListBullet"/>
      </w:pPr>
      <w:r>
        <w:t>Hardware revision and lifecycle status.</w:t>
      </w:r>
    </w:p>
    <w:p>
      <w:pPr>
        <w:pStyle w:val="ListBullet"/>
      </w:pPr>
      <w:r>
        <w:t>Firmware compatibility.</w:t>
      </w:r>
    </w:p>
    <w:p>
      <w:pPr>
        <w:pStyle w:val="ListBullet"/>
      </w:pPr>
      <w:r>
        <w:t>Communication protocol and adapter compatibility.</w:t>
      </w:r>
    </w:p>
    <w:p>
      <w:pPr>
        <w:pStyle w:val="ListBullet"/>
      </w:pPr>
      <w:r>
        <w:t>Approved manufacturer or distributor.</w:t>
      </w:r>
    </w:p>
    <w:p>
      <w:pPr>
        <w:pStyle w:val="ListBullet"/>
      </w:pPr>
      <w:r>
        <w:t>Authenticity and traceability.</w:t>
      </w:r>
    </w:p>
    <w:p>
      <w:pPr>
        <w:pStyle w:val="ListBullet"/>
      </w:pPr>
      <w:r>
        <w:t>Required engineering software and configuration support.</w:t>
      </w:r>
    </w:p>
    <w:p>
      <w:r>
        <w:t>For example, an Allen-Bradley communication adapter should not be treated as equivalent to another adapter merely because both fit a similar physical platform. Network capability, supported chassis, firmware, and controller compatibility must be verified.</w:t>
      </w:r>
    </w:p>
    <w:p>
      <w:pPr>
        <w:pStyle w:val="Heading3"/>
      </w:pPr>
      <w:r>
        <w:t>10.2 CNC components</w:t>
      </w:r>
    </w:p>
    <w:p>
      <w:r>
        <w:t>For CNC controllers, drives, spindle amplifiers, operator panels, and feedback devices, verify:</w:t>
      </w:r>
    </w:p>
    <w:p>
      <w:pPr>
        <w:pStyle w:val="ListBullet"/>
      </w:pPr>
      <w:r>
        <w:t>CNC or machine-builder part number.</w:t>
      </w:r>
    </w:p>
    <w:p>
      <w:pPr>
        <w:pStyle w:val="ListBullet"/>
      </w:pPr>
      <w:r>
        <w:t>Hardware and software compatibility.</w:t>
      </w:r>
    </w:p>
    <w:p>
      <w:pPr>
        <w:pStyle w:val="ListBullet"/>
      </w:pPr>
      <w:r>
        <w:t>Voltage, current, and power ratings.</w:t>
      </w:r>
    </w:p>
    <w:p>
      <w:pPr>
        <w:pStyle w:val="ListBullet"/>
      </w:pPr>
      <w:r>
        <w:t>Feedback interface.</w:t>
      </w:r>
    </w:p>
    <w:p>
      <w:pPr>
        <w:pStyle w:val="ListBullet"/>
      </w:pPr>
      <w:r>
        <w:t>Required parameter files.</w:t>
      </w:r>
    </w:p>
    <w:p>
      <w:pPr>
        <w:pStyle w:val="ListBullet"/>
      </w:pPr>
      <w:r>
        <w:t>Repair or exchange availability.</w:t>
      </w:r>
    </w:p>
    <w:p>
      <w:pPr>
        <w:pStyle w:val="ListBullet"/>
      </w:pPr>
      <w:r>
        <w:t>Return and warranty conditions.</w:t>
      </w:r>
    </w:p>
    <w:p>
      <w:r>
        <w:t>Machine-builder-specific components may not be interchangeable even when the underlying electronics appear similar.</w:t>
      </w:r>
    </w:p>
    <w:p>
      <w:pPr>
        <w:pStyle w:val="Heading3"/>
      </w:pPr>
      <w:r>
        <w:t>10.3 Robot components</w:t>
      </w:r>
    </w:p>
    <w:p>
      <w:r>
        <w:t>For robot controllers, servo drives, motors, teach pendants, and communication modules, verify:</w:t>
      </w:r>
    </w:p>
    <w:p>
      <w:pPr>
        <w:pStyle w:val="ListBullet"/>
      </w:pPr>
      <w:r>
        <w:t>Robot model and controller generation.</w:t>
      </w:r>
    </w:p>
    <w:p>
      <w:pPr>
        <w:pStyle w:val="ListBullet"/>
      </w:pPr>
      <w:r>
        <w:t>Exact part number and revision.</w:t>
      </w:r>
    </w:p>
    <w:p>
      <w:pPr>
        <w:pStyle w:val="ListBullet"/>
      </w:pPr>
      <w:r>
        <w:t>Supported firmware.</w:t>
      </w:r>
    </w:p>
    <w:p>
      <w:pPr>
        <w:pStyle w:val="ListBullet"/>
      </w:pPr>
      <w:r>
        <w:t>Safety and communication compatibility.</w:t>
      </w:r>
    </w:p>
    <w:p>
      <w:pPr>
        <w:pStyle w:val="ListBullet"/>
      </w:pPr>
      <w:r>
        <w:t>Availability of repair and exchange services.</w:t>
      </w:r>
    </w:p>
    <w:p>
      <w:pPr>
        <w:pStyle w:val="ListBullet"/>
      </w:pPr>
      <w:r>
        <w:t>Required calibration or commissioning activities.</w:t>
      </w:r>
    </w:p>
    <w:p>
      <w:r>
        <w:t>A physically compatible component is not necessarily a safe, functional replacement.</w:t>
      </w:r>
    </w:p>
    <w:p>
      <w:pPr>
        <w:pStyle w:val="Heading3"/>
      </w:pPr>
      <w:r>
        <w:t>10.4 Sensors and instrumentation</w:t>
      </w:r>
    </w:p>
    <w:p>
      <w:r>
        <w:t>For sensors, encoders, pressure transmitters, and measurement devices, confirm:</w:t>
      </w:r>
    </w:p>
    <w:p>
      <w:pPr>
        <w:pStyle w:val="ListBullet"/>
      </w:pPr>
      <w:r>
        <w:t>Supply voltage.</w:t>
      </w:r>
    </w:p>
    <w:p>
      <w:pPr>
        <w:pStyle w:val="ListBullet"/>
      </w:pPr>
      <w:r>
        <w:t>Output type.</w:t>
      </w:r>
    </w:p>
    <w:p>
      <w:pPr>
        <w:pStyle w:val="ListBullet"/>
      </w:pPr>
      <w:r>
        <w:t>Measuring range.</w:t>
      </w:r>
    </w:p>
    <w:p>
      <w:pPr>
        <w:pStyle w:val="ListBullet"/>
      </w:pPr>
      <w:r>
        <w:t>Connector and pinout.</w:t>
      </w:r>
    </w:p>
    <w:p>
      <w:pPr>
        <w:pStyle w:val="ListBullet"/>
      </w:pPr>
      <w:r>
        <w:t>Accuracy and response characteristics.</w:t>
      </w:r>
    </w:p>
    <w:p>
      <w:pPr>
        <w:pStyle w:val="ListBullet"/>
      </w:pPr>
      <w:r>
        <w:t>Environmental protection.</w:t>
      </w:r>
    </w:p>
    <w:p>
      <w:pPr>
        <w:pStyle w:val="ListBullet"/>
      </w:pPr>
      <w:r>
        <w:t>Calibration or certification requirements.</w:t>
      </w:r>
    </w:p>
    <w:p>
      <w:r>
        <w:t>A sensor that can be delivered tomorrow but has the wrong output type does not solve the breakdown. It simply arrives faster to become a new problem.</w:t>
      </w:r>
    </w:p>
    <w:p>
      <w:pPr>
        <w:pStyle w:val="Heading2"/>
      </w:pPr>
      <w:r>
        <w:t>11. Supplier Classification and Risk</w:t>
      </w:r>
    </w:p>
    <w:p>
      <w:r>
        <w:t>A supplier's importance should be evaluated according to supply dependency and operational consequence, not only purchase value.</w:t>
      </w:r>
    </w:p>
    <w:p>
      <w:r>
        <w:t>Useful categories include:</w:t>
      </w:r>
    </w:p>
    <w:p>
      <w:pPr>
        <w:pStyle w:val="ListBullet"/>
      </w:pPr>
      <w:r>
        <w:t>Strategic supplier: Important to continuity, technology, or long-term operations.</w:t>
      </w:r>
    </w:p>
    <w:p>
      <w:pPr>
        <w:pStyle w:val="ListBullet"/>
      </w:pPr>
      <w:r>
        <w:t>Critical supplier: Failure to supply can create serious operational or safety consequences.</w:t>
      </w:r>
    </w:p>
    <w:p>
      <w:pPr>
        <w:pStyle w:val="ListBullet"/>
      </w:pPr>
      <w:r>
        <w:t>Single-source supplier: No currently qualified alternative source exists.</w:t>
      </w:r>
    </w:p>
    <w:p>
      <w:pPr>
        <w:pStyle w:val="ListBullet"/>
      </w:pPr>
      <w:r>
        <w:t>Routine supplier: Provides common materials with several practical supply options.</w:t>
      </w:r>
    </w:p>
    <w:p>
      <w:pPr>
        <w:pStyle w:val="ListBullet"/>
      </w:pPr>
      <w:r>
        <w:t>Repair-service supplier: Provides repair, refurbishment, calibration, or exchange services.</w:t>
      </w:r>
    </w:p>
    <w:p>
      <w:r>
        <w:t>A supplier may belong to more than one category. For example, an OEM can be both strategic and single-source for a proprietary CNC component.</w:t>
      </w:r>
    </w:p>
    <w:p>
      <w:pPr>
        <w:pStyle w:val="Heading3"/>
      </w:pPr>
      <w:r>
        <w:t>11.1 Risk factors</w:t>
      </w:r>
    </w:p>
    <w:p>
      <w:r>
        <w:t>Assess:</w:t>
      </w:r>
    </w:p>
    <w:p>
      <w:pPr>
        <w:pStyle w:val="ListBullet"/>
      </w:pPr>
      <w:r>
        <w:t>Financial and operational stability.</w:t>
      </w:r>
    </w:p>
    <w:p>
      <w:pPr>
        <w:pStyle w:val="ListBullet"/>
      </w:pPr>
      <w:r>
        <w:t>Manufacturing location and capacity.</w:t>
      </w:r>
    </w:p>
    <w:p>
      <w:pPr>
        <w:pStyle w:val="ListBullet"/>
      </w:pPr>
      <w:r>
        <w:t>Dependency on sub-suppliers.</w:t>
      </w:r>
    </w:p>
    <w:p>
      <w:pPr>
        <w:pStyle w:val="ListBullet"/>
      </w:pPr>
      <w:r>
        <w:t>Import and logistics exposure.</w:t>
      </w:r>
    </w:p>
    <w:p>
      <w:pPr>
        <w:pStyle w:val="ListBullet"/>
      </w:pPr>
      <w:r>
        <w:t>Quality and counterfeit risk.</w:t>
      </w:r>
    </w:p>
    <w:p>
      <w:pPr>
        <w:pStyle w:val="ListBullet"/>
      </w:pPr>
      <w:r>
        <w:t>Product lifecycle status.</w:t>
      </w:r>
    </w:p>
    <w:p>
      <w:pPr>
        <w:pStyle w:val="ListBullet"/>
      </w:pPr>
      <w:r>
        <w:t>Historical delivery performance.</w:t>
      </w:r>
    </w:p>
    <w:p>
      <w:pPr>
        <w:pStyle w:val="ListBullet"/>
      </w:pPr>
      <w:r>
        <w:t>Responsiveness during breakdowns.</w:t>
      </w:r>
    </w:p>
    <w:p>
      <w:pPr>
        <w:pStyle w:val="ListBullet"/>
      </w:pPr>
      <w:r>
        <w:t>Availability of technical support.</w:t>
      </w:r>
    </w:p>
    <w:p>
      <w:pPr>
        <w:pStyle w:val="ListBullet"/>
      </w:pPr>
      <w:r>
        <w:t>Availability of qualified alternatives.</w:t>
      </w:r>
    </w:p>
    <w:p>
      <w:r>
        <w:t>Supplier risk assessment should be proportionate to the material's importance. Applying the same review depth to a standard cable tie and a proprietary safety controller would be an impressive waste of everyone's time.</w:t>
      </w:r>
    </w:p>
    <w:p>
      <w:pPr>
        <w:pStyle w:val="Heading2"/>
      </w:pPr>
      <w:r>
        <w:t>12. Confirmed Availability Versus Unverified Claims</w:t>
      </w:r>
    </w:p>
    <w:p>
      <w:r>
        <w:t>Supplier statements should be recorded with their evidence and confidence level.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Recommended treatment</w:t>
            </w:r>
          </w:p>
        </w:tc>
      </w:tr>
      <w:tr>
        <w:tc>
          <w:tcPr>
            <w:tcW w:type="dxa" w:w="3600"/>
          </w:tcPr>
          <w:p>
            <w:pPr>
              <w:spacing w:after="0" w:before="0" w:line="240" w:lineRule="auto"/>
              <w:jc w:val="left"/>
            </w:pPr>
            <w:r>
              <w:t>Physically verified</w:t>
            </w:r>
          </w:p>
        </w:tc>
        <w:tc>
          <w:tcPr>
            <w:tcW w:type="dxa" w:w="3600"/>
          </w:tcPr>
          <w:p>
            <w:pPr>
              <w:spacing w:after="0" w:before="0" w:line="240" w:lineRule="auto"/>
              <w:jc w:val="left"/>
            </w:pPr>
            <w:r>
              <w:t>Supplier confirms actual usable stock and location</w:t>
            </w:r>
          </w:p>
        </w:tc>
        <w:tc>
          <w:tcPr>
            <w:tcW w:type="dxa" w:w="3600"/>
          </w:tcPr>
          <w:p>
            <w:pPr>
              <w:spacing w:after="0" w:before="0" w:line="240" w:lineRule="auto"/>
              <w:jc w:val="left"/>
            </w:pPr>
            <w:r>
              <w:t>Suitable for a firm supply discussion, subject to reservation and order acceptance</w:t>
            </w:r>
          </w:p>
        </w:tc>
      </w:tr>
      <w:tr>
        <w:tc>
          <w:tcPr>
            <w:tcW w:type="dxa" w:w="3600"/>
          </w:tcPr>
          <w:p>
            <w:pPr>
              <w:spacing w:after="0" w:before="0" w:line="240" w:lineRule="auto"/>
              <w:jc w:val="left"/>
            </w:pPr>
            <w:r>
              <w:t>Formally committed</w:t>
            </w:r>
          </w:p>
        </w:tc>
        <w:tc>
          <w:tcPr>
            <w:tcW w:type="dxa" w:w="3600"/>
          </w:tcPr>
          <w:p>
            <w:pPr>
              <w:spacing w:after="0" w:before="0" w:line="240" w:lineRule="auto"/>
              <w:jc w:val="left"/>
            </w:pPr>
            <w:r>
              <w:t>Supplier accepts the order and confirms quantity and delivery date</w:t>
            </w:r>
          </w:p>
        </w:tc>
        <w:tc>
          <w:tcPr>
            <w:tcW w:type="dxa" w:w="3600"/>
          </w:tcPr>
          <w:p>
            <w:pPr>
              <w:spacing w:after="0" w:before="0" w:line="240" w:lineRule="auto"/>
              <w:jc w:val="left"/>
            </w:pPr>
            <w:r>
              <w:t>Track against the purchase commitment</w:t>
            </w:r>
          </w:p>
        </w:tc>
      </w:tr>
      <w:tr>
        <w:tc>
          <w:tcPr>
            <w:tcW w:type="dxa" w:w="3600"/>
          </w:tcPr>
          <w:p>
            <w:pPr>
              <w:spacing w:after="0" w:before="0" w:line="240" w:lineRule="auto"/>
              <w:jc w:val="left"/>
            </w:pPr>
            <w:r>
              <w:t>Quoted lead time</w:t>
            </w:r>
          </w:p>
        </w:tc>
        <w:tc>
          <w:tcPr>
            <w:tcW w:type="dxa" w:w="3600"/>
          </w:tcPr>
          <w:p>
            <w:pPr>
              <w:spacing w:after="0" w:before="0" w:line="240" w:lineRule="auto"/>
              <w:jc w:val="left"/>
            </w:pPr>
            <w:r>
              <w:t>Supplier estimates delivery duration</w:t>
            </w:r>
          </w:p>
        </w:tc>
        <w:tc>
          <w:tcPr>
            <w:tcW w:type="dxa" w:w="3600"/>
          </w:tcPr>
          <w:p>
            <w:pPr>
              <w:spacing w:after="0" w:before="0" w:line="240" w:lineRule="auto"/>
              <w:jc w:val="left"/>
            </w:pPr>
            <w:r>
              <w:t>Use as an estimate, not guaranteed availability</w:t>
            </w:r>
          </w:p>
        </w:tc>
      </w:tr>
      <w:tr>
        <w:tc>
          <w:tcPr>
            <w:tcW w:type="dxa" w:w="3600"/>
          </w:tcPr>
          <w:p>
            <w:pPr>
              <w:spacing w:after="0" w:before="0" w:line="240" w:lineRule="auto"/>
              <w:jc w:val="left"/>
            </w:pPr>
            <w:r>
              <w:t>Catalogue listed</w:t>
            </w:r>
          </w:p>
        </w:tc>
        <w:tc>
          <w:tcPr>
            <w:tcW w:type="dxa" w:w="3600"/>
          </w:tcPr>
          <w:p>
            <w:pPr>
              <w:spacing w:after="0" w:before="0" w:line="240" w:lineRule="auto"/>
              <w:jc w:val="left"/>
            </w:pPr>
            <w:r>
              <w:t>Product appears in a catalogue or website</w:t>
            </w:r>
          </w:p>
        </w:tc>
        <w:tc>
          <w:tcPr>
            <w:tcW w:type="dxa" w:w="3600"/>
          </w:tcPr>
          <w:p>
            <w:pPr>
              <w:spacing w:after="0" w:before="0" w:line="240" w:lineRule="auto"/>
              <w:jc w:val="left"/>
            </w:pPr>
            <w:r>
              <w:t>Verify stock and fulfilment conditions</w:t>
            </w:r>
          </w:p>
        </w:tc>
      </w:tr>
      <w:tr>
        <w:tc>
          <w:tcPr>
            <w:tcW w:type="dxa" w:w="3600"/>
          </w:tcPr>
          <w:p>
            <w:pPr>
              <w:spacing w:after="0" w:before="0" w:line="240" w:lineRule="auto"/>
              <w:jc w:val="left"/>
            </w:pPr>
            <w:r>
              <w:t>Distributor enquiry pending</w:t>
            </w:r>
          </w:p>
        </w:tc>
        <w:tc>
          <w:tcPr>
            <w:tcW w:type="dxa" w:w="3600"/>
          </w:tcPr>
          <w:p>
            <w:pPr>
              <w:spacing w:after="0" w:before="0" w:line="240" w:lineRule="auto"/>
              <w:jc w:val="left"/>
            </w:pPr>
            <w:r>
              <w:t>Supplier has not confirmed supply</w:t>
            </w:r>
          </w:p>
        </w:tc>
        <w:tc>
          <w:tcPr>
            <w:tcW w:type="dxa" w:w="3600"/>
          </w:tcPr>
          <w:p>
            <w:pPr>
              <w:spacing w:after="0" w:before="0" w:line="240" w:lineRule="auto"/>
              <w:jc w:val="left"/>
            </w:pPr>
            <w:r>
              <w:t>Treat as unconfirmed</w:t>
            </w:r>
          </w:p>
        </w:tc>
      </w:tr>
      <w:tr>
        <w:tc>
          <w:tcPr>
            <w:tcW w:type="dxa" w:w="3600"/>
          </w:tcPr>
          <w:p>
            <w:pPr>
              <w:spacing w:after="0" w:before="0" w:line="240" w:lineRule="auto"/>
              <w:jc w:val="left"/>
            </w:pPr>
            <w:r>
              <w:t>Backordered</w:t>
            </w:r>
          </w:p>
        </w:tc>
        <w:tc>
          <w:tcPr>
            <w:tcW w:type="dxa" w:w="3600"/>
          </w:tcPr>
          <w:p>
            <w:pPr>
              <w:spacing w:after="0" w:before="0" w:line="240" w:lineRule="auto"/>
              <w:jc w:val="left"/>
            </w:pPr>
            <w:r>
              <w:t>Supply is expected later</w:t>
            </w:r>
          </w:p>
        </w:tc>
        <w:tc>
          <w:tcPr>
            <w:tcW w:type="dxa" w:w="3600"/>
          </w:tcPr>
          <w:p>
            <w:pPr>
              <w:spacing w:after="0" w:before="0" w:line="240" w:lineRule="auto"/>
              <w:jc w:val="left"/>
            </w:pPr>
            <w:r>
              <w:t>Assess production exposure and contingency</w:t>
            </w:r>
          </w:p>
        </w:tc>
      </w:tr>
      <w:tr>
        <w:tc>
          <w:tcPr>
            <w:tcW w:type="dxa" w:w="3600"/>
          </w:tcPr>
          <w:p>
            <w:pPr>
              <w:spacing w:after="0" w:before="0" w:line="240" w:lineRule="auto"/>
              <w:jc w:val="left"/>
            </w:pPr>
            <w:r>
              <w:t>Discontinued</w:t>
            </w:r>
          </w:p>
        </w:tc>
        <w:tc>
          <w:tcPr>
            <w:tcW w:type="dxa" w:w="3600"/>
          </w:tcPr>
          <w:p>
            <w:pPr>
              <w:spacing w:after="0" w:before="0" w:line="240" w:lineRule="auto"/>
              <w:jc w:val="left"/>
            </w:pPr>
            <w:r>
              <w:t>Normal supply has ended or is ending</w:t>
            </w:r>
          </w:p>
        </w:tc>
        <w:tc>
          <w:tcPr>
            <w:tcW w:type="dxa" w:w="3600"/>
          </w:tcPr>
          <w:p>
            <w:pPr>
              <w:spacing w:after="0" w:before="0" w:line="240" w:lineRule="auto"/>
              <w:jc w:val="left"/>
            </w:pPr>
            <w:r>
              <w:t>Initiate lifecycle and replacement assessment</w:t>
            </w:r>
          </w:p>
        </w:tc>
      </w:tr>
      <w:tr>
        <w:tc>
          <w:tcPr>
            <w:tcW w:type="dxa" w:w="3600"/>
          </w:tcPr>
          <w:p>
            <w:pPr>
              <w:spacing w:after="0" w:before="0" w:line="240" w:lineRule="auto"/>
              <w:jc w:val="left"/>
            </w:pPr>
            <w:r>
              <w:t>Unverified third-party stock</w:t>
            </w:r>
          </w:p>
        </w:tc>
        <w:tc>
          <w:tcPr>
            <w:tcW w:type="dxa" w:w="3600"/>
          </w:tcPr>
          <w:p>
            <w:pPr>
              <w:spacing w:after="0" w:before="0" w:line="240" w:lineRule="auto"/>
              <w:jc w:val="left"/>
            </w:pPr>
            <w:r>
              <w:t>Stock claim lacks adequate provenance or confirmation</w:t>
            </w:r>
          </w:p>
        </w:tc>
        <w:tc>
          <w:tcPr>
            <w:tcW w:type="dxa" w:w="3600"/>
          </w:tcPr>
          <w:p>
            <w:pPr>
              <w:spacing w:after="0" w:before="0" w:line="240" w:lineRule="auto"/>
              <w:jc w:val="left"/>
            </w:pPr>
            <w:r>
              <w:t>Do not assume authenticity or usability</w:t>
            </w:r>
          </w:p>
        </w:tc>
      </w:tr>
    </w:tbl>
    <w:p/>
    <w:p>
      <w:r>
        <w:t>For critical spares, retain written evidence such as a quotation, formal order confirmation, stock confirmation, or documented communication.</w:t>
      </w:r>
    </w:p>
    <w:p>
      <w:pPr>
        <w:pStyle w:val="Heading2"/>
      </w:pPr>
      <w:r>
        <w:t>13. Emergency Procurement During a Breakdown</w:t>
      </w:r>
    </w:p>
    <w:p>
      <w:r>
        <w:t>When a component is required urgently, vendor availability should be assessed through a controlled escalation process.</w:t>
      </w:r>
    </w:p>
    <w:p>
      <w:pPr>
        <w:tabs>
          <w:tab w:pos="403" w:val="left"/>
        </w:tabs>
        <w:spacing w:after="40" w:line="276" w:lineRule="auto"/>
        <w:ind w:left="403" w:hanging="403"/>
        <w:jc w:val="left"/>
      </w:pPr>
      <w:r>
        <w:rPr>
          <w:color w:val="1A2E4A"/>
        </w:rPr>
        <w:t>1.</w:t>
        <w:tab/>
      </w:r>
      <w:r>
        <w:t>Confirm the failed component and exact technical requirements.</w:t>
      </w:r>
    </w:p>
    <w:p>
      <w:pPr>
        <w:tabs>
          <w:tab w:pos="403" w:val="left"/>
        </w:tabs>
        <w:spacing w:after="40" w:line="276" w:lineRule="auto"/>
        <w:ind w:left="403" w:hanging="403"/>
        <w:jc w:val="left"/>
      </w:pPr>
      <w:r>
        <w:rPr>
          <w:color w:val="1A2E4A"/>
        </w:rPr>
        <w:t>2.</w:t>
        <w:tab/>
      </w:r>
      <w:r>
        <w:t>Check plant stores, other approved storage locations, and available compatible equipment spares.</w:t>
      </w:r>
    </w:p>
    <w:p>
      <w:pPr>
        <w:tabs>
          <w:tab w:pos="403" w:val="left"/>
        </w:tabs>
        <w:spacing w:after="40" w:line="276" w:lineRule="auto"/>
        <w:ind w:left="403" w:hanging="403"/>
        <w:jc w:val="left"/>
      </w:pPr>
      <w:r>
        <w:rPr>
          <w:color w:val="1A2E4A"/>
        </w:rPr>
        <w:t>3.</w:t>
        <w:tab/>
      </w:r>
      <w:r>
        <w:t>Contact the approved supplier or OEM and request confirmed stock, quantity, dispatch time, and delivery date.</w:t>
      </w:r>
    </w:p>
    <w:p>
      <w:pPr>
        <w:tabs>
          <w:tab w:pos="403" w:val="left"/>
        </w:tabs>
        <w:spacing w:after="40" w:line="276" w:lineRule="auto"/>
        <w:ind w:left="403" w:hanging="403"/>
        <w:jc w:val="left"/>
      </w:pPr>
      <w:r>
        <w:rPr>
          <w:color w:val="1A2E4A"/>
        </w:rPr>
        <w:t>4.</w:t>
        <w:tab/>
      </w:r>
      <w:r>
        <w:t>Check authorized distributors and other qualified sources.</w:t>
      </w:r>
    </w:p>
    <w:p>
      <w:pPr>
        <w:tabs>
          <w:tab w:pos="403" w:val="left"/>
        </w:tabs>
        <w:spacing w:after="40" w:line="276" w:lineRule="auto"/>
        <w:ind w:left="403" w:hanging="403"/>
        <w:jc w:val="left"/>
      </w:pPr>
      <w:r>
        <w:rPr>
          <w:color w:val="1A2E4A"/>
        </w:rPr>
        <w:t>5.</w:t>
        <w:tab/>
      </w:r>
      <w:r>
        <w:t>Evaluate repair, exchange, or refurbishment options.</w:t>
      </w:r>
    </w:p>
    <w:p>
      <w:pPr>
        <w:tabs>
          <w:tab w:pos="403" w:val="left"/>
        </w:tabs>
        <w:spacing w:after="40" w:line="276" w:lineRule="auto"/>
        <w:ind w:left="403" w:hanging="403"/>
        <w:jc w:val="left"/>
      </w:pPr>
      <w:r>
        <w:rPr>
          <w:color w:val="1A2E4A"/>
        </w:rPr>
        <w:t>6.</w:t>
        <w:tab/>
      </w:r>
      <w:r>
        <w:t>Assess whether an approved alternative can be used safely.</w:t>
      </w:r>
    </w:p>
    <w:p>
      <w:pPr>
        <w:tabs>
          <w:tab w:pos="403" w:val="left"/>
        </w:tabs>
        <w:spacing w:after="40" w:line="276" w:lineRule="auto"/>
        <w:ind w:left="403" w:hanging="403"/>
        <w:jc w:val="left"/>
      </w:pPr>
      <w:r>
        <w:rPr>
          <w:color w:val="1A2E4A"/>
        </w:rPr>
        <w:t>7.</w:t>
        <w:tab/>
      </w:r>
      <w:r>
        <w:t>Obtain required procurement, quality, and technical approvals.</w:t>
      </w:r>
    </w:p>
    <w:p>
      <w:pPr>
        <w:tabs>
          <w:tab w:pos="403" w:val="left"/>
        </w:tabs>
        <w:spacing w:after="40" w:line="276" w:lineRule="auto"/>
        <w:ind w:left="403" w:hanging="403"/>
        <w:jc w:val="left"/>
      </w:pPr>
      <w:r>
        <w:rPr>
          <w:color w:val="1A2E4A"/>
        </w:rPr>
        <w:t>8.</w:t>
        <w:tab/>
      </w:r>
      <w:r>
        <w:t>Track dispatch, transportation, receipt, inspection, and release.</w:t>
      </w:r>
    </w:p>
    <w:p>
      <w:pPr>
        <w:tabs>
          <w:tab w:pos="403" w:val="left"/>
        </w:tabs>
        <w:spacing w:after="40" w:line="276" w:lineRule="auto"/>
        <w:ind w:left="403" w:hanging="403"/>
        <w:jc w:val="left"/>
      </w:pPr>
      <w:r>
        <w:rPr>
          <w:color w:val="1A2E4A"/>
        </w:rPr>
        <w:t>9.</w:t>
        <w:tab/>
      </w:r>
      <w:r>
        <w:t>Record the actual lead time and breakdown impact.</w:t>
      </w:r>
    </w:p>
    <w:p>
      <w:pPr>
        <w:tabs>
          <w:tab w:pos="403" w:val="left"/>
        </w:tabs>
        <w:spacing w:after="40" w:line="276" w:lineRule="auto"/>
        <w:ind w:left="403" w:hanging="403"/>
        <w:jc w:val="left"/>
      </w:pPr>
      <w:r>
        <w:rPr>
          <w:color w:val="1A2E4A"/>
        </w:rPr>
        <w:t>10.</w:t>
        <w:tab/>
      </w:r>
      <w:r>
        <w:t>Review whether the event requires a change to inventory policy or sourcing strategy.</w:t>
      </w:r>
    </w:p>
    <w:p>
      <w:r>
        <w:t>Emergency procurement should not bypass technical verification, safety requirements, or applicable purchasing controls.</w:t>
      </w:r>
    </w:p>
    <w:p>
      <w:pPr>
        <w:pStyle w:val="Heading2"/>
      </w:pPr>
      <w:r>
        <w:t>14. Vendor Availability and SAP</w:t>
      </w:r>
    </w:p>
    <w:p>
      <w:r>
        <w:t>SAP can help maintenance and procurement teams track material requirements, suppliers, purchase orders, delivery dates, and goods receipts. Exact functions depend on the installed SAP version and local configuration.</w:t>
      </w:r>
    </w:p>
    <w:p>
      <w:r>
        <w:t>Relevant data may include:</w:t>
      </w:r>
    </w:p>
    <w:p>
      <w:pPr>
        <w:pStyle w:val="ListBullet"/>
      </w:pPr>
      <w:r>
        <w:t>Material master and approved source information.</w:t>
      </w:r>
    </w:p>
    <w:p>
      <w:pPr>
        <w:pStyle w:val="ListBullet"/>
      </w:pPr>
      <w:r>
        <w:t>Purchasing information records.</w:t>
      </w:r>
    </w:p>
    <w:p>
      <w:pPr>
        <w:pStyle w:val="ListBullet"/>
      </w:pPr>
      <w:r>
        <w:t>Source lists or approved supplier assignments.</w:t>
      </w:r>
    </w:p>
    <w:p>
      <w:pPr>
        <w:pStyle w:val="ListBullet"/>
      </w:pPr>
      <w:r>
        <w:t>Purchase requisitions.</w:t>
      </w:r>
    </w:p>
    <w:p>
      <w:pPr>
        <w:pStyle w:val="ListBullet"/>
      </w:pPr>
      <w:r>
        <w:t>Purchase orders.</w:t>
      </w:r>
    </w:p>
    <w:p>
      <w:pPr>
        <w:pStyle w:val="ListBullet"/>
      </w:pPr>
      <w:r>
        <w:t>Planned delivery time.</w:t>
      </w:r>
    </w:p>
    <w:p>
      <w:pPr>
        <w:pStyle w:val="ListBullet"/>
      </w:pPr>
      <w:r>
        <w:t>Supplier-confirmed delivery dates.</w:t>
      </w:r>
    </w:p>
    <w:p>
      <w:pPr>
        <w:pStyle w:val="ListBullet"/>
      </w:pPr>
      <w:r>
        <w:t>Open order quantities.</w:t>
      </w:r>
    </w:p>
    <w:p>
      <w:pPr>
        <w:pStyle w:val="ListBullet"/>
      </w:pPr>
      <w:r>
        <w:t>Goods receipt history.</w:t>
      </w:r>
    </w:p>
    <w:p>
      <w:pPr>
        <w:pStyle w:val="ListBullet"/>
      </w:pPr>
      <w:r>
        <w:t>Returns and quality-inspection outcomes.</w:t>
      </w:r>
    </w:p>
    <w:p>
      <w:pPr>
        <w:pStyle w:val="ListBullet"/>
      </w:pPr>
      <w:r>
        <w:t>Vendor performance records, where configured.</w:t>
      </w:r>
    </w:p>
    <w:p>
      <w:r>
        <w:t>A useful monitoring process compares requested delivery dates, confirmed dates, actual goods receipt dates, and accepted quantities.</w:t>
      </w:r>
    </w:p>
    <w:p>
      <w:r>
        <w:t>Do not assume that a supplier's planned delivery time in the material master represents current, verified availability. It is a planning parameter, not a live view of the supplier's warehouse.</w:t>
      </w:r>
    </w:p>
    <w:p>
      <w:pPr>
        <w:pStyle w:val="Heading2"/>
      </w:pPr>
      <w:r>
        <w:t>15. Vendor Availability Tracking in Excel or Power BI</w:t>
      </w:r>
    </w:p>
    <w:p>
      <w:r>
        <w:t>A vendor availability register should contain enough data to support both immediate breakdown decisions and long-term sourcing improvements.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Internal material identity</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Original manufacturer's part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Readable component name</w:t>
            </w:r>
          </w:p>
        </w:tc>
      </w:tr>
      <w:tr>
        <w:tc>
          <w:tcPr>
            <w:tcW w:type="dxa" w:w="5400"/>
          </w:tcPr>
          <w:p>
            <w:pPr>
              <w:spacing w:after="0" w:before="0" w:line="240" w:lineRule="auto"/>
              <w:jc w:val="left"/>
            </w:pPr>
            <w:r>
              <w:t>Supplier Name</w:t>
            </w:r>
          </w:p>
        </w:tc>
        <w:tc>
          <w:tcPr>
            <w:tcW w:type="dxa" w:w="5400"/>
          </w:tcPr>
          <w:p>
            <w:pPr>
              <w:spacing w:after="0" w:before="0" w:line="240" w:lineRule="auto"/>
              <w:jc w:val="left"/>
            </w:pPr>
            <w:r>
              <w:t>Supplier being evaluated</w:t>
            </w:r>
          </w:p>
        </w:tc>
      </w:tr>
      <w:tr>
        <w:tc>
          <w:tcPr>
            <w:tcW w:type="dxa" w:w="5400"/>
          </w:tcPr>
          <w:p>
            <w:pPr>
              <w:spacing w:after="0" w:before="0" w:line="240" w:lineRule="auto"/>
              <w:jc w:val="left"/>
            </w:pPr>
            <w:r>
              <w:t>Approved Supplier Status</w:t>
            </w:r>
          </w:p>
        </w:tc>
        <w:tc>
          <w:tcPr>
            <w:tcW w:type="dxa" w:w="5400"/>
          </w:tcPr>
          <w:p>
            <w:pPr>
              <w:spacing w:after="0" w:before="0" w:line="240" w:lineRule="auto"/>
              <w:jc w:val="left"/>
            </w:pPr>
            <w:r>
              <w:t>Indicates qualification or approval</w:t>
            </w:r>
          </w:p>
        </w:tc>
      </w:tr>
      <w:tr>
        <w:tc>
          <w:tcPr>
            <w:tcW w:type="dxa" w:w="5400"/>
          </w:tcPr>
          <w:p>
            <w:pPr>
              <w:spacing w:after="0" w:before="0" w:line="240" w:lineRule="auto"/>
              <w:jc w:val="left"/>
            </w:pPr>
            <w:r>
              <w:t>Availability Status</w:t>
            </w:r>
          </w:p>
        </w:tc>
        <w:tc>
          <w:tcPr>
            <w:tcW w:type="dxa" w:w="5400"/>
          </w:tcPr>
          <w:p>
            <w:pPr>
              <w:spacing w:after="0" w:before="0" w:line="240" w:lineRule="auto"/>
              <w:jc w:val="left"/>
            </w:pPr>
            <w:r>
              <w:t>Verified, committed, pending, backordered, or discontinued</w:t>
            </w:r>
          </w:p>
        </w:tc>
      </w:tr>
      <w:tr>
        <w:tc>
          <w:tcPr>
            <w:tcW w:type="dxa" w:w="5400"/>
          </w:tcPr>
          <w:p>
            <w:pPr>
              <w:spacing w:after="0" w:before="0" w:line="240" w:lineRule="auto"/>
              <w:jc w:val="left"/>
            </w:pPr>
            <w:r>
              <w:t>Confirmed Quantity</w:t>
            </w:r>
          </w:p>
        </w:tc>
        <w:tc>
          <w:tcPr>
            <w:tcW w:type="dxa" w:w="5400"/>
          </w:tcPr>
          <w:p>
            <w:pPr>
              <w:spacing w:after="0" w:before="0" w:line="240" w:lineRule="auto"/>
              <w:jc w:val="left"/>
            </w:pPr>
            <w:r>
              <w:t>Quantity supplier has confirmed</w:t>
            </w:r>
          </w:p>
        </w:tc>
      </w:tr>
      <w:tr>
        <w:tc>
          <w:tcPr>
            <w:tcW w:type="dxa" w:w="5400"/>
          </w:tcPr>
          <w:p>
            <w:pPr>
              <w:spacing w:after="0" w:before="0" w:line="240" w:lineRule="auto"/>
              <w:jc w:val="left"/>
            </w:pPr>
            <w:r>
              <w:t>Stock Location</w:t>
            </w:r>
          </w:p>
        </w:tc>
        <w:tc>
          <w:tcPr>
            <w:tcW w:type="dxa" w:w="5400"/>
          </w:tcPr>
          <w:p>
            <w:pPr>
              <w:spacing w:after="0" w:before="0" w:line="240" w:lineRule="auto"/>
              <w:jc w:val="left"/>
            </w:pPr>
            <w:r>
              <w:t>Location of reported stock</w:t>
            </w:r>
          </w:p>
        </w:tc>
      </w:tr>
      <w:tr>
        <w:tc>
          <w:tcPr>
            <w:tcW w:type="dxa" w:w="5400"/>
          </w:tcPr>
          <w:p>
            <w:pPr>
              <w:spacing w:after="0" w:before="0" w:line="240" w:lineRule="auto"/>
              <w:jc w:val="left"/>
            </w:pPr>
            <w:r>
              <w:t>Enquiry Date</w:t>
            </w:r>
          </w:p>
        </w:tc>
        <w:tc>
          <w:tcPr>
            <w:tcW w:type="dxa" w:w="5400"/>
          </w:tcPr>
          <w:p>
            <w:pPr>
              <w:spacing w:after="0" w:before="0" w:line="240" w:lineRule="auto"/>
              <w:jc w:val="left"/>
            </w:pPr>
            <w:r>
              <w:t>Date availability was requested</w:t>
            </w:r>
          </w:p>
        </w:tc>
      </w:tr>
      <w:tr>
        <w:tc>
          <w:tcPr>
            <w:tcW w:type="dxa" w:w="5400"/>
          </w:tcPr>
          <w:p>
            <w:pPr>
              <w:spacing w:after="0" w:before="0" w:line="240" w:lineRule="auto"/>
              <w:jc w:val="left"/>
            </w:pPr>
            <w:r>
              <w:t>Confirmed Delivery Date</w:t>
            </w:r>
          </w:p>
        </w:tc>
        <w:tc>
          <w:tcPr>
            <w:tcW w:type="dxa" w:w="5400"/>
          </w:tcPr>
          <w:p>
            <w:pPr>
              <w:spacing w:after="0" w:before="0" w:line="240" w:lineRule="auto"/>
              <w:jc w:val="left"/>
            </w:pPr>
            <w:r>
              <w:t>Supplier's current delivery commitment</w:t>
            </w:r>
          </w:p>
        </w:tc>
      </w:tr>
      <w:tr>
        <w:tc>
          <w:tcPr>
            <w:tcW w:type="dxa" w:w="5400"/>
          </w:tcPr>
          <w:p>
            <w:pPr>
              <w:spacing w:after="0" w:before="0" w:line="240" w:lineRule="auto"/>
              <w:jc w:val="left"/>
            </w:pPr>
            <w:r>
              <w:t>Actual Receipt Date</w:t>
            </w:r>
          </w:p>
        </w:tc>
        <w:tc>
          <w:tcPr>
            <w:tcW w:type="dxa" w:w="5400"/>
          </w:tcPr>
          <w:p>
            <w:pPr>
              <w:spacing w:after="0" w:before="0" w:line="240" w:lineRule="auto"/>
              <w:jc w:val="left"/>
            </w:pPr>
            <w:r>
              <w:t>Date material was received</w:t>
            </w:r>
          </w:p>
        </w:tc>
      </w:tr>
      <w:tr>
        <w:tc>
          <w:tcPr>
            <w:tcW w:type="dxa" w:w="5400"/>
          </w:tcPr>
          <w:p>
            <w:pPr>
              <w:spacing w:after="0" w:before="0" w:line="240" w:lineRule="auto"/>
              <w:jc w:val="left"/>
            </w:pPr>
            <w:r>
              <w:t>Accepted Quantity</w:t>
            </w:r>
          </w:p>
        </w:tc>
        <w:tc>
          <w:tcPr>
            <w:tcW w:type="dxa" w:w="5400"/>
          </w:tcPr>
          <w:p>
            <w:pPr>
              <w:spacing w:after="0" w:before="0" w:line="240" w:lineRule="auto"/>
              <w:jc w:val="left"/>
            </w:pPr>
            <w:r>
              <w:t>Quantity accepted after receipt and inspection</w:t>
            </w:r>
          </w:p>
        </w:tc>
      </w:tr>
      <w:tr>
        <w:tc>
          <w:tcPr>
            <w:tcW w:type="dxa" w:w="5400"/>
          </w:tcPr>
          <w:p>
            <w:pPr>
              <w:spacing w:after="0" w:before="0" w:line="240" w:lineRule="auto"/>
              <w:jc w:val="left"/>
            </w:pPr>
            <w:r>
              <w:t>Quoted Lead Time</w:t>
            </w:r>
          </w:p>
        </w:tc>
        <w:tc>
          <w:tcPr>
            <w:tcW w:type="dxa" w:w="5400"/>
          </w:tcPr>
          <w:p>
            <w:pPr>
              <w:spacing w:after="0" w:before="0" w:line="240" w:lineRule="auto"/>
              <w:jc w:val="left"/>
            </w:pPr>
            <w:r>
              <w:t>Supplier's estimated duration</w:t>
            </w:r>
          </w:p>
        </w:tc>
      </w:tr>
      <w:tr>
        <w:tc>
          <w:tcPr>
            <w:tcW w:type="dxa" w:w="5400"/>
          </w:tcPr>
          <w:p>
            <w:pPr>
              <w:spacing w:after="0" w:before="0" w:line="240" w:lineRule="auto"/>
              <w:jc w:val="left"/>
            </w:pPr>
            <w:r>
              <w:t>Actual Lead Time</w:t>
            </w:r>
          </w:p>
        </w:tc>
        <w:tc>
          <w:tcPr>
            <w:tcW w:type="dxa" w:w="5400"/>
          </w:tcPr>
          <w:p>
            <w:pPr>
              <w:spacing w:after="0" w:before="0" w:line="240" w:lineRule="auto"/>
              <w:jc w:val="left"/>
            </w:pPr>
            <w:r>
              <w:t>Measured duration from the defined start to end event</w:t>
            </w:r>
          </w:p>
        </w:tc>
      </w:tr>
      <w:tr>
        <w:tc>
          <w:tcPr>
            <w:tcW w:type="dxa" w:w="5400"/>
          </w:tcPr>
          <w:p>
            <w:pPr>
              <w:spacing w:after="0" w:before="0" w:line="240" w:lineRule="auto"/>
              <w:jc w:val="left"/>
            </w:pPr>
            <w:r>
              <w:t>Unit Price</w:t>
            </w:r>
          </w:p>
        </w:tc>
        <w:tc>
          <w:tcPr>
            <w:tcW w:type="dxa" w:w="5400"/>
          </w:tcPr>
          <w:p>
            <w:pPr>
              <w:spacing w:after="0" w:before="0" w:line="240" w:lineRule="auto"/>
              <w:jc w:val="left"/>
            </w:pPr>
            <w:r>
              <w:t>Quoted or actual unit cost</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restricted, EOL, or discontinued</w:t>
            </w:r>
          </w:p>
        </w:tc>
      </w:tr>
      <w:tr>
        <w:tc>
          <w:tcPr>
            <w:tcW w:type="dxa" w:w="5400"/>
          </w:tcPr>
          <w:p>
            <w:pPr>
              <w:spacing w:after="0" w:before="0" w:line="240" w:lineRule="auto"/>
              <w:jc w:val="left"/>
            </w:pPr>
            <w:r>
              <w:t>Alternative Source</w:t>
            </w:r>
          </w:p>
        </w:tc>
        <w:tc>
          <w:tcPr>
            <w:tcW w:type="dxa" w:w="5400"/>
          </w:tcPr>
          <w:p>
            <w:pPr>
              <w:spacing w:after="0" w:before="0" w:line="240" w:lineRule="auto"/>
              <w:jc w:val="left"/>
            </w:pPr>
            <w:r>
              <w:t>Approved alternative supplier, if any</w:t>
            </w:r>
          </w:p>
        </w:tc>
      </w:tr>
      <w:tr>
        <w:tc>
          <w:tcPr>
            <w:tcW w:type="dxa" w:w="5400"/>
          </w:tcPr>
          <w:p>
            <w:pPr>
              <w:spacing w:after="0" w:before="0" w:line="240" w:lineRule="auto"/>
              <w:jc w:val="left"/>
            </w:pPr>
            <w:r>
              <w:t>Evidence Record</w:t>
            </w:r>
          </w:p>
        </w:tc>
        <w:tc>
          <w:tcPr>
            <w:tcW w:type="dxa" w:w="5400"/>
          </w:tcPr>
          <w:p>
            <w:pPr>
              <w:spacing w:after="0" w:before="0" w:line="240" w:lineRule="auto"/>
              <w:jc w:val="left"/>
            </w:pPr>
            <w:r>
              <w:t>Reference to quotation, confirmation, or order</w:t>
            </w:r>
          </w:p>
        </w:tc>
      </w:tr>
      <w:tr>
        <w:tc>
          <w:tcPr>
            <w:tcW w:type="dxa" w:w="5400"/>
          </w:tcPr>
          <w:p>
            <w:pPr>
              <w:spacing w:after="0" w:before="0" w:line="240" w:lineRule="auto"/>
              <w:jc w:val="left"/>
            </w:pPr>
            <w:r>
              <w:t>Criticality</w:t>
            </w:r>
          </w:p>
        </w:tc>
        <w:tc>
          <w:tcPr>
            <w:tcW w:type="dxa" w:w="5400"/>
          </w:tcPr>
          <w:p>
            <w:pPr>
              <w:spacing w:after="0" w:before="0" w:line="240" w:lineRule="auto"/>
              <w:jc w:val="left"/>
            </w:pPr>
            <w:r>
              <w:t>Operational consequence if unavailable</w:t>
            </w:r>
          </w:p>
        </w:tc>
      </w:tr>
    </w:tbl>
    <w:p/>
    <w:p>
      <w:r>
        <w:t>Useful dashboard indicators include:</w:t>
      </w:r>
    </w:p>
    <w:p>
      <w:pPr>
        <w:pStyle w:val="ListBullet"/>
      </w:pPr>
      <w:r>
        <w:t>Critical materials with no confirmed supplier.</w:t>
      </w:r>
    </w:p>
    <w:p>
      <w:pPr>
        <w:pStyle w:val="ListBullet"/>
      </w:pPr>
      <w:r>
        <w:t>Items with long or variable lead times.</w:t>
      </w:r>
    </w:p>
    <w:p>
      <w:pPr>
        <w:pStyle w:val="ListBullet"/>
      </w:pPr>
      <w:r>
        <w:t>Suppliers with repeated delivery delays.</w:t>
      </w:r>
    </w:p>
    <w:p>
      <w:pPr>
        <w:pStyle w:val="ListBullet"/>
      </w:pPr>
      <w:r>
        <w:t>Orders due or overdue.</w:t>
      </w:r>
    </w:p>
    <w:p>
      <w:pPr>
        <w:pStyle w:val="ListBullet"/>
      </w:pPr>
      <w:r>
        <w:t>Materials dependent on one qualified source.</w:t>
      </w:r>
    </w:p>
    <w:p>
      <w:pPr>
        <w:pStyle w:val="ListBullet"/>
      </w:pPr>
      <w:r>
        <w:t>Discontinued components without a migration plan.</w:t>
      </w:r>
    </w:p>
    <w:p>
      <w:pPr>
        <w:pStyle w:val="ListBullet"/>
      </w:pPr>
      <w:r>
        <w:t>Emergency purchases caused by supply failures.</w:t>
      </w:r>
    </w:p>
    <w:p>
      <w:pPr>
        <w:pStyle w:val="ListBullet"/>
      </w:pPr>
      <w:r>
        <w:t>Supplier fulfilment and on-time delivery rates.</w:t>
      </w:r>
    </w:p>
    <w:p>
      <w:r>
        <w:t>For meaningful reporting, separate quotation dates, promised dates, revised dates, and actual receipt dates. Otherwise, the dashboard will confidently report a version of reality that exists mostly in spreadsheets.</w:t>
      </w:r>
    </w:p>
    <w:p>
      <w:pPr>
        <w:pStyle w:val="Heading2"/>
      </w:pPr>
      <w:r>
        <w:t>16. Vendor Availability and Obsolescence</w:t>
      </w:r>
    </w:p>
    <w:p>
      <w:r>
        <w:t>Vendor availability often deteriorates as industrial equipment ages.</w:t>
      </w:r>
    </w:p>
    <w:p>
      <w:r>
        <w:t>A component may progress through the following stages:</w:t>
      </w:r>
    </w:p>
    <w:p>
      <w:pPr>
        <w:shd w:val="clear" w:color="auto" w:fill="F4F4F4"/>
        <w:spacing w:before="0" w:after="0" w:line="240" w:lineRule="auto"/>
        <w:ind w:left="216" w:right="216"/>
        <w:jc w:val="left"/>
      </w:pPr>
      <w:r>
        <w:rPr>
          <w:rFonts w:ascii="Consolas" w:hAnsi="Consolas"/>
          <w:color w:val="202020"/>
          <w:sz w:val="18"/>
        </w:rPr>
        <w:t>Active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Reduced Distribution or Longer Lead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End-of-Life Announcement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Last-Time-Buy Opportunity, if Offered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Discontinued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Remaining Stock, Repair, or Validated Replacement</w:t>
      </w:r>
    </w:p>
    <w:p/>
    <w:p>
      <w:r>
        <w:t>The actual lifecycle differs by manufacturer and product family.</w:t>
      </w:r>
    </w:p>
    <w:p>
      <w:r>
        <w:t>When an important component approaches end of life:</w:t>
      </w:r>
    </w:p>
    <w:p>
      <w:pPr>
        <w:pStyle w:val="ListBullet"/>
      </w:pPr>
      <w:r>
        <w:t>Confirm the manufacturer's lifecycle notice.</w:t>
      </w:r>
    </w:p>
    <w:p>
      <w:pPr>
        <w:pStyle w:val="ListBullet"/>
      </w:pPr>
      <w:r>
        <w:t>Estimate the remaining service life of the installed equipment.</w:t>
      </w:r>
    </w:p>
    <w:p>
      <w:pPr>
        <w:pStyle w:val="ListBullet"/>
      </w:pPr>
      <w:r>
        <w:t>Review current inventory and installed quantities.</w:t>
      </w:r>
    </w:p>
    <w:p>
      <w:pPr>
        <w:pStyle w:val="ListBullet"/>
      </w:pPr>
      <w:r>
        <w:t>Evaluate a last-time buy where commercially and technically justified.</w:t>
      </w:r>
    </w:p>
    <w:p>
      <w:pPr>
        <w:pStyle w:val="ListBullet"/>
      </w:pPr>
      <w:r>
        <w:t>Verify storage life and environmental requirements.</w:t>
      </w:r>
    </w:p>
    <w:p>
      <w:pPr>
        <w:pStyle w:val="ListBullet"/>
      </w:pPr>
      <w:r>
        <w:t>Assess repair and refurbishment options.</w:t>
      </w:r>
    </w:p>
    <w:p>
      <w:pPr>
        <w:pStyle w:val="ListBullet"/>
      </w:pPr>
      <w:r>
        <w:t>Develop a migration plan with engineering and production.</w:t>
      </w:r>
    </w:p>
    <w:p>
      <w:pPr>
        <w:pStyle w:val="ListBullet"/>
      </w:pPr>
      <w:r>
        <w:t>Validate successor products and required system changes.</w:t>
      </w:r>
    </w:p>
    <w:p>
      <w:r>
        <w:t>A last-time buy should not be based solely on fear of future scarcity. It should consider expected demand, remaining equipment life, failure probability, storage degradation, and replacement cost.</w:t>
      </w:r>
    </w:p>
    <w:p>
      <w:pPr>
        <w:pStyle w:val="Heading2"/>
      </w:pPr>
      <w:r>
        <w:t>17. Vendor Availability and Total Cost</w:t>
      </w:r>
    </w:p>
    <w:p>
      <w:r>
        <w:t>The lowest purchase price does not always produce the lowest operational cost.</w:t>
      </w:r>
    </w:p>
    <w:p>
      <w:r>
        <w:t>A broader assessment may include:</w:t>
      </w:r>
    </w:p>
    <w:p>
      <w:pPr>
        <w:spacing w:before="120" w:after="160"/>
        <w:jc w:val="center"/>
      </w:pPr>
      <m:oMathPara>
        <m:oMath>
          <m:sSub>
            <m:e>
              <m:r>
                <m:t>C</m:t>
              </m:r>
            </m:e>
            <m:sub>
              <m:r>
                <m:rPr>
                  <m:nor/>
                </m:rPr>
                <m:t>total</m:t>
              </m:r>
            </m:sub>
          </m:sSub>
          <m:r>
            <m:t>=</m:t>
          </m:r>
          <m:sSub>
            <m:e>
              <m:r>
                <m:t>C</m:t>
              </m:r>
            </m:e>
            <m:sub>
              <m:r>
                <m:rPr>
                  <m:nor/>
                </m:rPr>
                <m:t>purchase</m:t>
              </m:r>
            </m:sub>
          </m:sSub>
          <m:r>
            <m:t>+</m:t>
          </m:r>
          <m:sSub>
            <m:e>
              <m:r>
                <m:t>C</m:t>
              </m:r>
            </m:e>
            <m:sub>
              <m:r>
                <m:rPr>
                  <m:nor/>
                </m:rPr>
                <m:t>freight</m:t>
              </m:r>
            </m:sub>
          </m:sSub>
          <m:r>
            <m:t>+</m:t>
          </m:r>
          <m:sSub>
            <m:e>
              <m:r>
                <m:t>C</m:t>
              </m:r>
            </m:e>
            <m:sub>
              <m:r>
                <m:rPr>
                  <m:nor/>
                </m:rPr>
                <m:t>inspection</m:t>
              </m:r>
            </m:sub>
          </m:sSub>
          <m:r>
            <m:t>+</m:t>
          </m:r>
          <m:sSub>
            <m:e>
              <m:r>
                <m:t>C</m:t>
              </m:r>
            </m:e>
            <m:sub>
              <m:r>
                <m:rPr>
                  <m:nor/>
                </m:rPr>
                <m:t>inventory</m:t>
              </m:r>
            </m:sub>
          </m:sSub>
          <m:r>
            <m:t>+</m:t>
          </m:r>
          <m:sSub>
            <m:e>
              <m:r>
                <m:t>C</m:t>
              </m:r>
            </m:e>
            <m:sub>
              <m:r>
                <m:rPr>
                  <m:nor/>
                </m:rPr>
                <m:t>failure risk</m:t>
              </m:r>
            </m:sub>
          </m:sSub>
        </m:oMath>
      </m:oMathPara>
    </w:p>
    <w:p>
      <w:r>
        <w:t>This is a simplified cost model. Failure risk can be difficult to quantify and should not be assigned an arbitrary value merely to make a spreadsheet look sophisticated.</w:t>
      </w:r>
    </w:p>
    <w:p>
      <w:r>
        <w:t>Other considerations include:</w:t>
      </w:r>
    </w:p>
    <w:p>
      <w:pPr>
        <w:pStyle w:val="ListBullet"/>
      </w:pPr>
      <w:r>
        <w:t>Emergency shipping.</w:t>
      </w:r>
    </w:p>
    <w:p>
      <w:pPr>
        <w:pStyle w:val="ListBullet"/>
      </w:pPr>
      <w:r>
        <w:t>Import charges.</w:t>
      </w:r>
    </w:p>
    <w:p>
      <w:pPr>
        <w:pStyle w:val="ListBullet"/>
      </w:pPr>
      <w:r>
        <w:t>Minimum order quantities.</w:t>
      </w:r>
    </w:p>
    <w:p>
      <w:pPr>
        <w:pStyle w:val="ListBullet"/>
      </w:pPr>
      <w:r>
        <w:t>Warranty conditions.</w:t>
      </w:r>
    </w:p>
    <w:p>
      <w:pPr>
        <w:pStyle w:val="ListBullet"/>
      </w:pPr>
      <w:r>
        <w:t>Repair and return costs.</w:t>
      </w:r>
    </w:p>
    <w:p>
      <w:pPr>
        <w:pStyle w:val="ListBullet"/>
      </w:pPr>
      <w:r>
        <w:t>Engineering effort for replacement.</w:t>
      </w:r>
    </w:p>
    <w:p>
      <w:pPr>
        <w:pStyle w:val="ListBullet"/>
      </w:pPr>
      <w:r>
        <w:t>Downtime exposure.</w:t>
      </w:r>
    </w:p>
    <w:p>
      <w:pPr>
        <w:pStyle w:val="ListBullet"/>
      </w:pPr>
      <w:r>
        <w:t>Quality and authenticity risks.</w:t>
      </w:r>
    </w:p>
    <w:p>
      <w:r>
        <w:t>A supplier offering a lower price but unreliable delivery may create higher total operational cost for a critical spare.</w:t>
      </w:r>
    </w:p>
    <w:p>
      <w:pPr>
        <w:pStyle w:val="Heading2"/>
      </w:pPr>
      <w:r>
        <w:t>18. Common Vendor Availability Mistakes</w:t>
      </w:r>
    </w:p>
    <w:p>
      <w:pPr>
        <w:pStyle w:val="ListBullet"/>
      </w:pPr>
      <w:r>
        <w:t>Treating online catalogue listings as verified stock.</w:t>
      </w:r>
    </w:p>
    <w:p>
      <w:pPr>
        <w:pStyle w:val="ListBullet"/>
      </w:pPr>
      <w:r>
        <w:t>Accepting an estimated lead time as a guaranteed delivery date.</w:t>
      </w:r>
    </w:p>
    <w:p>
      <w:pPr>
        <w:pStyle w:val="ListBullet"/>
      </w:pPr>
      <w:r>
        <w:t>Failing to confirm the exact part number and revision.</w:t>
      </w:r>
    </w:p>
    <w:p>
      <w:pPr>
        <w:pStyle w:val="ListBullet"/>
      </w:pPr>
      <w:r>
        <w:t>Ignoring the quantity already reserved for other customers.</w:t>
      </w:r>
    </w:p>
    <w:p>
      <w:pPr>
        <w:pStyle w:val="ListBullet"/>
      </w:pPr>
      <w:r>
        <w:t>Assuming a distributor has direct access to OEM stock.</w:t>
      </w:r>
    </w:p>
    <w:p>
      <w:pPr>
        <w:pStyle w:val="ListBullet"/>
      </w:pPr>
      <w:r>
        <w:t>Ignoring transport, customs, inspection, and internal processing time.</w:t>
      </w:r>
    </w:p>
    <w:p>
      <w:pPr>
        <w:pStyle w:val="ListBullet"/>
      </w:pPr>
      <w:r>
        <w:t>Purchasing an unverified component during an emergency.</w:t>
      </w:r>
    </w:p>
    <w:p>
      <w:pPr>
        <w:pStyle w:val="ListBullet"/>
      </w:pPr>
      <w:r>
        <w:t>Depending on one supplier without a documented contingency plan.</w:t>
      </w:r>
    </w:p>
    <w:p>
      <w:pPr>
        <w:pStyle w:val="ListBullet"/>
      </w:pPr>
      <w:r>
        <w:t>Failing to record actual delivery performance.</w:t>
      </w:r>
    </w:p>
    <w:p>
      <w:pPr>
        <w:pStyle w:val="ListBullet"/>
      </w:pPr>
      <w:r>
        <w:t>Treating discontinued stock as automatically genuine or serviceable.</w:t>
      </w:r>
    </w:p>
    <w:p>
      <w:pPr>
        <w:pStyle w:val="ListBullet"/>
      </w:pPr>
      <w:r>
        <w:t>Assuming a successor part is directly interchangeable.</w:t>
      </w:r>
    </w:p>
    <w:p>
      <w:pPr>
        <w:pStyle w:val="ListBullet"/>
      </w:pPr>
      <w:r>
        <w:t>Failing to escalate delayed orders before inventory is exhausted.</w:t>
      </w:r>
    </w:p>
    <w:p>
      <w:pPr>
        <w:pStyle w:val="ListBullet"/>
      </w:pPr>
      <w:r>
        <w:t>Ignoring repair and exchange programmes.</w:t>
      </w:r>
    </w:p>
    <w:p>
      <w:pPr>
        <w:pStyle w:val="ListBullet"/>
      </w:pPr>
      <w:r>
        <w:t>Keeping supplier data outdated after personnel or distribution changes.</w:t>
      </w:r>
    </w:p>
    <w:p>
      <w:pPr>
        <w:pStyle w:val="Heading2"/>
      </w:pPr>
      <w:r>
        <w:t>19. Practical Vendor Availability Checklist</w:t>
      </w:r>
    </w:p>
    <w:p>
      <w:pPr>
        <w:pStyle w:val="Heading3"/>
      </w:pPr>
      <w:r>
        <w:t>Before requesting a quotation</w:t>
      </w:r>
    </w:p>
    <w:p>
      <w:pPr>
        <w:pStyle w:val="ListBullet"/>
      </w:pPr>
      <w:r>
        <w:t>Confirm exact material and manufacturer part numbers.</w:t>
      </w:r>
    </w:p>
    <w:p>
      <w:pPr>
        <w:pStyle w:val="ListBullet"/>
      </w:pPr>
      <w:r>
        <w:t>Verify quantity and required delivery date.</w:t>
      </w:r>
    </w:p>
    <w:p>
      <w:pPr>
        <w:pStyle w:val="ListBullet"/>
      </w:pPr>
      <w:r>
        <w:t>Check internal stock and approved alternatives.</w:t>
      </w:r>
    </w:p>
    <w:p>
      <w:pPr>
        <w:pStyle w:val="ListBullet"/>
      </w:pPr>
      <w:r>
        <w:t>Identify the equipment and criticality.</w:t>
      </w:r>
    </w:p>
    <w:p>
      <w:pPr>
        <w:pStyle w:val="ListBullet"/>
      </w:pPr>
      <w:r>
        <w:t>Confirm required revision, certifications, and traceability.</w:t>
      </w:r>
    </w:p>
    <w:p>
      <w:pPr>
        <w:pStyle w:val="Heading3"/>
      </w:pPr>
      <w:r>
        <w:t>When contacting the supplier</w:t>
      </w:r>
    </w:p>
    <w:p>
      <w:pPr>
        <w:pStyle w:val="ListBullet"/>
      </w:pPr>
      <w:r>
        <w:t>Verify physical stock or manufacturing status.</w:t>
      </w:r>
    </w:p>
    <w:p>
      <w:pPr>
        <w:pStyle w:val="ListBullet"/>
      </w:pPr>
      <w:r>
        <w:t>Confirm available quantity and stock location.</w:t>
      </w:r>
    </w:p>
    <w:p>
      <w:pPr>
        <w:pStyle w:val="ListBullet"/>
      </w:pPr>
      <w:r>
        <w:t>Check whether the stock is reserved or allocated.</w:t>
      </w:r>
    </w:p>
    <w:p>
      <w:pPr>
        <w:pStyle w:val="ListBullet"/>
      </w:pPr>
      <w:r>
        <w:t>Obtain a written delivery commitment.</w:t>
      </w:r>
    </w:p>
    <w:p>
      <w:pPr>
        <w:pStyle w:val="ListBullet"/>
      </w:pPr>
      <w:r>
        <w:t>Confirm MOQ, pack size, price, freight, and commercial conditions.</w:t>
      </w:r>
    </w:p>
    <w:p>
      <w:pPr>
        <w:pStyle w:val="ListBullet"/>
      </w:pPr>
      <w:r>
        <w:t>Confirm lifecycle status and warranty.</w:t>
      </w:r>
    </w:p>
    <w:p>
      <w:pPr>
        <w:pStyle w:val="ListBullet"/>
      </w:pPr>
      <w:r>
        <w:t>Record evidence and the contact date.</w:t>
      </w:r>
    </w:p>
    <w:p>
      <w:pPr>
        <w:pStyle w:val="Heading3"/>
      </w:pPr>
      <w:r>
        <w:t>After placing the order</w:t>
      </w:r>
    </w:p>
    <w:p>
      <w:pPr>
        <w:pStyle w:val="ListBullet"/>
      </w:pPr>
      <w:r>
        <w:t>Track order acknowledgement and confirmed dates.</w:t>
      </w:r>
    </w:p>
    <w:p>
      <w:pPr>
        <w:pStyle w:val="ListBullet"/>
      </w:pPr>
      <w:r>
        <w:t>Monitor delays and quantity changes.</w:t>
      </w:r>
    </w:p>
    <w:p>
      <w:pPr>
        <w:pStyle w:val="ListBullet"/>
      </w:pPr>
      <w:r>
        <w:t>Escalate risk to maintenance and procurement.</w:t>
      </w:r>
    </w:p>
    <w:p>
      <w:pPr>
        <w:pStyle w:val="ListBullet"/>
      </w:pPr>
      <w:r>
        <w:t>Inspect and verify the received material.</w:t>
      </w:r>
    </w:p>
    <w:p>
      <w:pPr>
        <w:pStyle w:val="ListBullet"/>
      </w:pPr>
      <w:r>
        <w:t>Record actual lead time and accepted quantity.</w:t>
      </w:r>
    </w:p>
    <w:p>
      <w:pPr>
        <w:pStyle w:val="ListBullet"/>
      </w:pPr>
      <w:r>
        <w:t>Update supplier performance and spare-parts planning data.</w:t>
      </w:r>
    </w:p>
    <w:p>
      <w:pPr>
        <w:pStyle w:val="Heading2"/>
      </w:pPr>
      <w:r>
        <w:t>20. Interview Questions and Answers</w:t>
      </w:r>
    </w:p>
    <w:p>
      <w:r>
        <w:t>Q1. What is vendor availability?</w:t>
      </w:r>
    </w:p>
    <w:p>
      <w:r>
        <w:t>It is the supplier's ability to provide the required material or service in the required quantity, within the required timeframe and technical conditions.</w:t>
      </w:r>
    </w:p>
    <w:p>
      <w:r>
        <w:t>Q2. What is the difference between vendor availability and lead time?</w:t>
      </w:r>
    </w:p>
    <w:p>
      <w:r>
        <w:t>Availability indicates whether the supplier can fulfil the requirement. Lead time indicates how long fulfilment takes.</w:t>
      </w:r>
    </w:p>
    <w:p>
      <w:r>
        <w:t>Q3. How do you verify a critical spare's availability?</w:t>
      </w:r>
    </w:p>
    <w:p>
      <w:r>
        <w:t>Confirm the exact part number, revision, usable quantity, stock location, allocation status, delivery commitment, supplier approval, and required traceability. Record the confirmation.</w:t>
      </w:r>
    </w:p>
    <w:p>
      <w:r>
        <w:t>Q4. What would you do if an OEM spare had a 12-week lead time?</w:t>
      </w:r>
    </w:p>
    <w:p>
      <w:r>
        <w:t>Check internal and other approved stock, repair or exchange options, authorized distributors, and technically validated alternatives. Assess production risk, initiate appropriate escalation, and review the stocking or migration strategy.</w:t>
      </w:r>
    </w:p>
    <w:p>
      <w:r>
        <w:t>Q5. Why is actual lead time more useful than quoted lead time?</w:t>
      </w:r>
    </w:p>
    <w:p>
      <w:r>
        <w:t>Actual lead time reflects observed replenishment performance. Comparing multiple completed orders also reveals variability that a single quotation cannot show.</w:t>
      </w:r>
    </w:p>
    <w:p>
      <w:r>
        <w:t>Q6. What is a single-source supply risk?</w:t>
      </w:r>
    </w:p>
    <w:p>
      <w:r>
        <w:t>It occurs when only one qualified source is available. A disruption at that source can delay recovery, making lifecycle planning, inventory policy, repair options, and validated alternatives especially important.</w:t>
      </w:r>
    </w:p>
    <w:p>
      <w:r>
        <w:t>Q7. How can vendor availability improve MTTR?</w:t>
      </w:r>
    </w:p>
    <w:p>
      <w:r>
        <w:t>Reliable supply reduces the time spent waiting for required parts. This can lower the supply-related portion of repair time, although diagnosis, repair work, testing, and restart time also affect MTTR.</w:t>
      </w:r>
    </w:p>
    <w:p>
      <w:r>
        <w:t>Q8. How should a discontinued PLC or CNC component be managed?</w:t>
      </w:r>
    </w:p>
    <w:p>
      <w:r>
        <w:t>Confirm lifecycle status, identify installed equipment, assess remaining stock and repair options, verify possible replacements, and develop a controlled migration plan before supply failure becomes an operational emergency.</w:t>
      </w:r>
    </w:p>
    <w:p>
      <w:pPr>
        <w:pStyle w:val="Heading2"/>
      </w:pPr>
      <w:r>
        <w:t>21. Expected Outcome</w:t>
      </w:r>
    </w:p>
    <w:p>
      <w:r>
        <w:t>A mature vendor availability process provides verified supply information, reliable delivery expectations, documented sourcing risks, and clear escalation routes.</w:t>
      </w:r>
    </w:p>
    <w:p>
      <w:r>
        <w:t>For industrial maintenance, it should connect vendor information with spare-parts criticality, Min/Max stock, obsolescence, breakdown records, procurement performance, and technically approved alternatives. This makes the store and purchasing process part of equipment reliability management rather than a last-minute search for a part number.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02_PLAN_WISE_2026\02_INDUSTRY3_0\23_Spares\01_Strategy\10_Alternate_Equivalent - Alternate/Equivalent parts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Availability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