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Alternate and Equivalent Parts in Industrial Maintenance</w:t>
      </w:r>
    </w:p>
    <w:p>
      <w:pPr>
        <w:pStyle w:val="Heading2"/>
      </w:pPr>
      <w:r>
        <w:t>1. Definition</w:t>
      </w:r>
    </w:p>
    <w:p>
      <w:r>
        <w:t>Alternate parts are components considered for use in place of the originally specified part when the original part is unavailable, obsolete, expensive, or unsuitable for the current application, provided the proposed alternative is technically validated and approved.</w:t>
      </w:r>
    </w:p>
    <w:p>
      <w:r>
        <w:t>Equivalent parts are components demonstrated to meet the required technical, functional, environmental, and operational requirements of the original part for a defined application.</w:t>
      </w:r>
    </w:p>
    <w:p>
      <w:r>
        <w:t>The terms are sometimes used interchangeably in industry, but they should be distinguished in maintenance documentation.</w:t>
      </w:r>
    </w:p>
    <w:p>
      <w:pPr>
        <w:pStyle w:val="ListBullet"/>
      </w:pPr>
      <w:r>
        <w:t>Alternate part: A proposed replacement candidate that may require additional engineering evaluation.</w:t>
      </w:r>
    </w:p>
    <w:p>
      <w:pPr>
        <w:pStyle w:val="ListBullet"/>
      </w:pPr>
      <w:r>
        <w:t>Equivalent part: A replacement demonstrated to satisfy defined requirements for the intended application.</w:t>
      </w:r>
    </w:p>
    <w:p>
      <w:pPr>
        <w:pStyle w:val="ListBullet"/>
      </w:pPr>
      <w:r>
        <w:t>Direct replacement: A part specifically documented by the manufacturer or responsible engineering authority as compatible with the original application under stated conditions.</w:t>
      </w:r>
    </w:p>
    <w:p>
      <w:pPr>
        <w:pStyle w:val="ListBullet"/>
      </w:pPr>
      <w:r>
        <w:t>Substitute part: A broader term for a component used in place of another, whether directly compatible or requiring modifications.</w:t>
      </w:r>
    </w:p>
    <w:p>
      <w:r>
        <w:t>A similar appearance, matching connector, identical voltage rating, or matching catalogue description does not prove equivalence.</w:t>
      </w:r>
    </w:p>
    <w:p>
      <w:r>
        <w:t>The objective is to restore equipment functionality without introducing electrical, mechanical, control, quality, reliability, cybersecurity, or safety risks.</w:t>
      </w:r>
    </w:p>
    <w:p>
      <w:pPr>
        <w:pStyle w:val="Heading2"/>
      </w:pPr>
      <w:r>
        <w:t>2. Why Alternate and Equivalent Parts Matter</w:t>
      </w:r>
    </w:p>
    <w:p>
      <w:r>
        <w:t>Industrial plants frequently operate equipment from different manufacturers and generations. Spare parts may become difficult to obtain because of long lead times, product discontinuation, supplier changes, or obsolescence.</w:t>
      </w:r>
    </w:p>
    <w:p>
      <w:r>
        <w:t>A controlled alternate-parts strategy helps to:</w:t>
      </w:r>
    </w:p>
    <w:p>
      <w:pPr>
        <w:pStyle w:val="ListBullet"/>
      </w:pPr>
      <w:r>
        <w:t>Reduce downtime caused by unavailable components.</w:t>
      </w:r>
    </w:p>
    <w:p>
      <w:pPr>
        <w:pStyle w:val="ListBullet"/>
      </w:pPr>
      <w:r>
        <w:t>Reduce dependency on a single supplier.</w:t>
      </w:r>
    </w:p>
    <w:p>
      <w:pPr>
        <w:pStyle w:val="ListBullet"/>
      </w:pPr>
      <w:r>
        <w:t>Manage discontinued PLC, CNC, robot, drive, and HMI components.</w:t>
      </w:r>
    </w:p>
    <w:p>
      <w:pPr>
        <w:pStyle w:val="ListBullet"/>
      </w:pPr>
      <w:r>
        <w:t>Avoid unnecessary inventory duplication.</w:t>
      </w:r>
    </w:p>
    <w:p>
      <w:pPr>
        <w:pStyle w:val="ListBullet"/>
      </w:pPr>
      <w:r>
        <w:t>Reduce emergency procurement.</w:t>
      </w:r>
    </w:p>
    <w:p>
      <w:pPr>
        <w:pStyle w:val="ListBullet"/>
      </w:pPr>
      <w:r>
        <w:t>Standardize suitable components across equipment.</w:t>
      </w:r>
    </w:p>
    <w:p>
      <w:pPr>
        <w:pStyle w:val="ListBullet"/>
      </w:pPr>
      <w:r>
        <w:t>Improve spare-parts availability.</w:t>
      </w:r>
    </w:p>
    <w:p>
      <w:pPr>
        <w:pStyle w:val="ListBullet"/>
      </w:pPr>
      <w:r>
        <w:t>Support planned migration from obsolete technologies.</w:t>
      </w:r>
    </w:p>
    <w:p>
      <w:pPr>
        <w:pStyle w:val="ListBullet"/>
      </w:pPr>
      <w:r>
        <w:t>Maintain equipment performance and safety.</w:t>
      </w:r>
    </w:p>
    <w:p>
      <w:pPr>
        <w:pStyle w:val="ListBullet"/>
      </w:pPr>
      <w:r>
        <w:t>Document the engineering basis for replacement decisions.</w:t>
      </w:r>
    </w:p>
    <w:p>
      <w:r>
        <w:t>However, purchasing a cheaper component without validating compatibility can create failures more expensive than the original spare. The replacement decision must be based on engineering evidence, not purchasing convenience.</w:t>
      </w:r>
    </w:p>
    <w:p>
      <w:pPr>
        <w:pStyle w:val="Heading2"/>
      </w:pPr>
      <w:r>
        <w:t>3. Important Terminology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Term</w:t>
            </w:r>
          </w:p>
        </w:tc>
        <w:tc>
          <w:tcPr>
            <w:tcW w:type="dxa" w:w="5400"/>
            <w:shd w:val="clear" w:color="auto" w:fill="EEF2F7"/>
          </w:tcPr>
          <w:p>
            <w:pPr>
              <w:spacing w:after="0" w:before="0" w:line="240" w:lineRule="auto"/>
              <w:jc w:val="left"/>
            </w:pPr>
            <w:r>
              <w:rPr>
                <w:b/>
                <w:color w:val="1A2E4A"/>
              </w:rPr>
              <w:t>Meaning</w:t>
            </w:r>
          </w:p>
        </w:tc>
      </w:tr>
      <w:tr>
        <w:tc>
          <w:tcPr>
            <w:tcW w:type="dxa" w:w="5400"/>
          </w:tcPr>
          <w:p>
            <w:pPr>
              <w:spacing w:after="0" w:before="0" w:line="240" w:lineRule="auto"/>
              <w:jc w:val="left"/>
            </w:pPr>
            <w:r>
              <w:t>Original part</w:t>
            </w:r>
          </w:p>
        </w:tc>
        <w:tc>
          <w:tcPr>
            <w:tcW w:type="dxa" w:w="5400"/>
          </w:tcPr>
          <w:p>
            <w:pPr>
              <w:spacing w:after="0" w:before="0" w:line="240" w:lineRule="auto"/>
              <w:jc w:val="left"/>
            </w:pPr>
            <w:r>
              <w:t>Component originally specified or installed</w:t>
            </w:r>
          </w:p>
        </w:tc>
      </w:tr>
      <w:tr>
        <w:tc>
          <w:tcPr>
            <w:tcW w:type="dxa" w:w="5400"/>
          </w:tcPr>
          <w:p>
            <w:pPr>
              <w:spacing w:after="0" w:before="0" w:line="240" w:lineRule="auto"/>
              <w:jc w:val="left"/>
            </w:pPr>
            <w:r>
              <w:t>OEM</w:t>
            </w:r>
          </w:p>
        </w:tc>
        <w:tc>
          <w:tcPr>
            <w:tcW w:type="dxa" w:w="5400"/>
          </w:tcPr>
          <w:p>
            <w:pPr>
              <w:spacing w:after="0" w:before="0" w:line="240" w:lineRule="auto"/>
              <w:jc w:val="left"/>
            </w:pPr>
            <w:r>
              <w:t>Original equipment manufacturer</w:t>
            </w:r>
          </w:p>
        </w:tc>
      </w:tr>
      <w:tr>
        <w:tc>
          <w:tcPr>
            <w:tcW w:type="dxa" w:w="5400"/>
          </w:tcPr>
          <w:p>
            <w:pPr>
              <w:spacing w:after="0" w:before="0" w:line="240" w:lineRule="auto"/>
              <w:jc w:val="left"/>
            </w:pPr>
            <w:r>
              <w:t>Alternate part</w:t>
            </w:r>
          </w:p>
        </w:tc>
        <w:tc>
          <w:tcPr>
            <w:tcW w:type="dxa" w:w="5400"/>
          </w:tcPr>
          <w:p>
            <w:pPr>
              <w:spacing w:after="0" w:before="0" w:line="240" w:lineRule="auto"/>
              <w:jc w:val="left"/>
            </w:pPr>
            <w:r>
              <w:t>Candidate proposed as a replacement</w:t>
            </w:r>
          </w:p>
        </w:tc>
      </w:tr>
      <w:tr>
        <w:tc>
          <w:tcPr>
            <w:tcW w:type="dxa" w:w="5400"/>
          </w:tcPr>
          <w:p>
            <w:pPr>
              <w:spacing w:after="0" w:before="0" w:line="240" w:lineRule="auto"/>
              <w:jc w:val="left"/>
            </w:pPr>
            <w:r>
              <w:t>Equivalent part</w:t>
            </w:r>
          </w:p>
        </w:tc>
        <w:tc>
          <w:tcPr>
            <w:tcW w:type="dxa" w:w="5400"/>
          </w:tcPr>
          <w:p>
            <w:pPr>
              <w:spacing w:after="0" w:before="0" w:line="240" w:lineRule="auto"/>
              <w:jc w:val="left"/>
            </w:pPr>
            <w:r>
              <w:t>Part demonstrated to meet the defined application requirements</w:t>
            </w:r>
          </w:p>
        </w:tc>
      </w:tr>
      <w:tr>
        <w:tc>
          <w:tcPr>
            <w:tcW w:type="dxa" w:w="5400"/>
          </w:tcPr>
          <w:p>
            <w:pPr>
              <w:spacing w:after="0" w:before="0" w:line="240" w:lineRule="auto"/>
              <w:jc w:val="left"/>
            </w:pPr>
            <w:r>
              <w:t>Direct replacement</w:t>
            </w:r>
          </w:p>
        </w:tc>
        <w:tc>
          <w:tcPr>
            <w:tcW w:type="dxa" w:w="5400"/>
          </w:tcPr>
          <w:p>
            <w:pPr>
              <w:spacing w:after="0" w:before="0" w:line="240" w:lineRule="auto"/>
              <w:jc w:val="left"/>
            </w:pPr>
            <w:r>
              <w:t>Replacement documented as compatible without application changes within stated conditions</w:t>
            </w:r>
          </w:p>
        </w:tc>
      </w:tr>
      <w:tr>
        <w:tc>
          <w:tcPr>
            <w:tcW w:type="dxa" w:w="5400"/>
          </w:tcPr>
          <w:p>
            <w:pPr>
              <w:spacing w:after="0" w:before="0" w:line="240" w:lineRule="auto"/>
              <w:jc w:val="left"/>
            </w:pPr>
            <w:r>
              <w:t>Functional equivalence</w:t>
            </w:r>
          </w:p>
        </w:tc>
        <w:tc>
          <w:tcPr>
            <w:tcW w:type="dxa" w:w="5400"/>
          </w:tcPr>
          <w:p>
            <w:pPr>
              <w:spacing w:after="0" w:before="0" w:line="240" w:lineRule="auto"/>
              <w:jc w:val="left"/>
            </w:pPr>
            <w:r>
              <w:t>Ability to perform the required function</w:t>
            </w:r>
          </w:p>
        </w:tc>
      </w:tr>
      <w:tr>
        <w:tc>
          <w:tcPr>
            <w:tcW w:type="dxa" w:w="5400"/>
          </w:tcPr>
          <w:p>
            <w:pPr>
              <w:spacing w:after="0" w:before="0" w:line="240" w:lineRule="auto"/>
              <w:jc w:val="left"/>
            </w:pPr>
            <w:r>
              <w:t>Form-fit-function (FFF)</w:t>
            </w:r>
          </w:p>
        </w:tc>
        <w:tc>
          <w:tcPr>
            <w:tcW w:type="dxa" w:w="5400"/>
          </w:tcPr>
          <w:p>
            <w:pPr>
              <w:spacing w:after="0" w:before="0" w:line="240" w:lineRule="auto"/>
              <w:jc w:val="left"/>
            </w:pPr>
            <w:r>
              <w:t>Assessment of physical form, mechanical fit, and intended function</w:t>
            </w:r>
          </w:p>
        </w:tc>
      </w:tr>
      <w:tr>
        <w:tc>
          <w:tcPr>
            <w:tcW w:type="dxa" w:w="5400"/>
          </w:tcPr>
          <w:p>
            <w:pPr>
              <w:spacing w:after="0" w:before="0" w:line="240" w:lineRule="auto"/>
              <w:jc w:val="left"/>
            </w:pPr>
            <w:r>
              <w:t>Interchangeability</w:t>
            </w:r>
          </w:p>
        </w:tc>
        <w:tc>
          <w:tcPr>
            <w:tcW w:type="dxa" w:w="5400"/>
          </w:tcPr>
          <w:p>
            <w:pPr>
              <w:spacing w:after="0" w:before="0" w:line="240" w:lineRule="auto"/>
              <w:jc w:val="left"/>
            </w:pPr>
            <w:r>
              <w:t>Ability to replace a part without unacceptable changes to the system</w:t>
            </w:r>
          </w:p>
        </w:tc>
      </w:tr>
      <w:tr>
        <w:tc>
          <w:tcPr>
            <w:tcW w:type="dxa" w:w="5400"/>
          </w:tcPr>
          <w:p>
            <w:pPr>
              <w:spacing w:after="0" w:before="0" w:line="240" w:lineRule="auto"/>
              <w:jc w:val="left"/>
            </w:pPr>
            <w:r>
              <w:t>Cross-reference</w:t>
            </w:r>
          </w:p>
        </w:tc>
        <w:tc>
          <w:tcPr>
            <w:tcW w:type="dxa" w:w="5400"/>
          </w:tcPr>
          <w:p>
            <w:pPr>
              <w:spacing w:after="0" w:before="0" w:line="240" w:lineRule="auto"/>
              <w:jc w:val="left"/>
            </w:pPr>
            <w:r>
              <w:t>Manufacturer or distributor mapping between part numbers</w:t>
            </w:r>
          </w:p>
        </w:tc>
      </w:tr>
      <w:tr>
        <w:tc>
          <w:tcPr>
            <w:tcW w:type="dxa" w:w="5400"/>
          </w:tcPr>
          <w:p>
            <w:pPr>
              <w:spacing w:after="0" w:before="0" w:line="240" w:lineRule="auto"/>
              <w:jc w:val="left"/>
            </w:pPr>
            <w:r>
              <w:t>Successor part</w:t>
            </w:r>
          </w:p>
        </w:tc>
        <w:tc>
          <w:tcPr>
            <w:tcW w:type="dxa" w:w="5400"/>
          </w:tcPr>
          <w:p>
            <w:pPr>
              <w:spacing w:after="0" w:before="0" w:line="240" w:lineRule="auto"/>
              <w:jc w:val="left"/>
            </w:pPr>
            <w:r>
              <w:t>Newer or designated replacement product in a manufacturer's product family</w:t>
            </w:r>
          </w:p>
        </w:tc>
      </w:tr>
      <w:tr>
        <w:tc>
          <w:tcPr>
            <w:tcW w:type="dxa" w:w="5400"/>
          </w:tcPr>
          <w:p>
            <w:pPr>
              <w:spacing w:after="0" w:before="0" w:line="240" w:lineRule="auto"/>
              <w:jc w:val="left"/>
            </w:pPr>
            <w:r>
              <w:t>Retrofit</w:t>
            </w:r>
          </w:p>
        </w:tc>
        <w:tc>
          <w:tcPr>
            <w:tcW w:type="dxa" w:w="5400"/>
          </w:tcPr>
          <w:p>
            <w:pPr>
              <w:spacing w:after="0" w:before="0" w:line="240" w:lineRule="auto"/>
              <w:jc w:val="left"/>
            </w:pPr>
            <w:r>
              <w:t>Modification of existing equipment to accommodate a different component or technology</w:t>
            </w:r>
          </w:p>
        </w:tc>
      </w:tr>
      <w:tr>
        <w:tc>
          <w:tcPr>
            <w:tcW w:type="dxa" w:w="5400"/>
          </w:tcPr>
          <w:p>
            <w:pPr>
              <w:spacing w:after="0" w:before="0" w:line="240" w:lineRule="auto"/>
              <w:jc w:val="left"/>
            </w:pPr>
            <w:r>
              <w:t>Engineering deviation</w:t>
            </w:r>
          </w:p>
        </w:tc>
        <w:tc>
          <w:tcPr>
            <w:tcW w:type="dxa" w:w="5400"/>
          </w:tcPr>
          <w:p>
            <w:pPr>
              <w:spacing w:after="0" w:before="0" w:line="240" w:lineRule="auto"/>
              <w:jc w:val="left"/>
            </w:pPr>
            <w:r>
              <w:t>Formally approved departure from the original design or specification</w:t>
            </w:r>
          </w:p>
        </w:tc>
      </w:tr>
      <w:tr>
        <w:tc>
          <w:tcPr>
            <w:tcW w:type="dxa" w:w="5400"/>
          </w:tcPr>
          <w:p>
            <w:pPr>
              <w:spacing w:after="0" w:before="0" w:line="240" w:lineRule="auto"/>
              <w:jc w:val="left"/>
            </w:pPr>
            <w:r>
              <w:t>Qualification</w:t>
            </w:r>
          </w:p>
        </w:tc>
        <w:tc>
          <w:tcPr>
            <w:tcW w:type="dxa" w:w="5400"/>
          </w:tcPr>
          <w:p>
            <w:pPr>
              <w:spacing w:after="0" w:before="0" w:line="240" w:lineRule="auto"/>
              <w:jc w:val="left"/>
            </w:pPr>
            <w:r>
              <w:t>Evidence-based evaluation of whether a component meets defined requirements</w:t>
            </w:r>
          </w:p>
        </w:tc>
      </w:tr>
      <w:tr>
        <w:tc>
          <w:tcPr>
            <w:tcW w:type="dxa" w:w="5400"/>
          </w:tcPr>
          <w:p>
            <w:pPr>
              <w:spacing w:after="0" w:before="0" w:line="240" w:lineRule="auto"/>
              <w:jc w:val="left"/>
            </w:pPr>
            <w:r>
              <w:t>Validation</w:t>
            </w:r>
          </w:p>
        </w:tc>
        <w:tc>
          <w:tcPr>
            <w:tcW w:type="dxa" w:w="5400"/>
          </w:tcPr>
          <w:p>
            <w:pPr>
              <w:spacing w:after="0" w:before="0" w:line="240" w:lineRule="auto"/>
              <w:jc w:val="left"/>
            </w:pPr>
            <w:r>
              <w:t>Confirmation through appropriate tests and application evidence that the replacement meets its intended use</w:t>
            </w:r>
          </w:p>
        </w:tc>
      </w:tr>
      <w:tr>
        <w:tc>
          <w:tcPr>
            <w:tcW w:type="dxa" w:w="5400"/>
          </w:tcPr>
          <w:p>
            <w:pPr>
              <w:spacing w:after="0" w:before="0" w:line="240" w:lineRule="auto"/>
              <w:jc w:val="left"/>
            </w:pPr>
            <w:r>
              <w:t>Requalification</w:t>
            </w:r>
          </w:p>
        </w:tc>
        <w:tc>
          <w:tcPr>
            <w:tcW w:type="dxa" w:w="5400"/>
          </w:tcPr>
          <w:p>
            <w:pPr>
              <w:spacing w:after="0" w:before="0" w:line="240" w:lineRule="auto"/>
              <w:jc w:val="left"/>
            </w:pPr>
            <w:r>
              <w:t>Reassessment after a significant design, configuration, process, or component change</w:t>
            </w:r>
          </w:p>
        </w:tc>
      </w:tr>
    </w:tbl>
    <w:p/>
    <w:p>
      <w:r>
        <w:t>These terms must be used consistently in maintenance records. A distributor's cross-reference is a useful lead, but it is not automatically engineering approval.</w:t>
      </w:r>
    </w:p>
    <w:p>
      <w:pPr>
        <w:pStyle w:val="Heading2"/>
      </w:pPr>
      <w:r>
        <w:t>4. Types of Alternate Parts</w:t>
      </w:r>
    </w:p>
    <w:p>
      <w:pPr>
        <w:pStyle w:val="Heading3"/>
      </w:pPr>
      <w:r>
        <w:t>4.1 Manufacturer-approved successor</w:t>
      </w:r>
    </w:p>
    <w:p>
      <w:r>
        <w:t>The original manufacturer identifies a newer product as a replacement for an older model.</w:t>
      </w:r>
    </w:p>
    <w:p>
      <w:r>
        <w:t>Verification is still required for:</w:t>
      </w:r>
    </w:p>
    <w:p>
      <w:pPr>
        <w:pStyle w:val="ListBullet"/>
      </w:pPr>
      <w:r>
        <w:t>Supported hardware and firmware.</w:t>
      </w:r>
    </w:p>
    <w:p>
      <w:pPr>
        <w:pStyle w:val="ListBullet"/>
      </w:pPr>
      <w:r>
        <w:t>Electrical ratings.</w:t>
      </w:r>
    </w:p>
    <w:p>
      <w:pPr>
        <w:pStyle w:val="ListBullet"/>
      </w:pPr>
      <w:r>
        <w:t>Mechanical dimensions.</w:t>
      </w:r>
    </w:p>
    <w:p>
      <w:pPr>
        <w:pStyle w:val="ListBullet"/>
      </w:pPr>
      <w:r>
        <w:t>Connectors and pin assignments.</w:t>
      </w:r>
    </w:p>
    <w:p>
      <w:pPr>
        <w:pStyle w:val="ListBullet"/>
      </w:pPr>
      <w:r>
        <w:t>Configuration and programming requirements.</w:t>
      </w:r>
    </w:p>
    <w:p>
      <w:pPr>
        <w:pStyle w:val="ListBullet"/>
      </w:pPr>
      <w:r>
        <w:t>Product-specific limitations.</w:t>
      </w:r>
    </w:p>
    <w:p>
      <w:pPr>
        <w:pStyle w:val="ListBullet"/>
      </w:pPr>
      <w:r>
        <w:t>Safety and certification requirements.</w:t>
      </w:r>
    </w:p>
    <w:p>
      <w:r>
        <w:t>A successor may require an adapter, parameter conversion, firmware update, or engineering modification.</w:t>
      </w:r>
    </w:p>
    <w:p>
      <w:pPr>
        <w:pStyle w:val="Heading3"/>
      </w:pPr>
      <w:r>
        <w:t>4.2 Same-manufacturer alternative</w:t>
      </w:r>
    </w:p>
    <w:p>
      <w:r>
        <w:t>A different model from the same manufacturer may perform a similar function but have different specifications.</w:t>
      </w:r>
    </w:p>
    <w:p>
      <w:r>
        <w:t>For example, a proximity sensor with a different sensing distance or output type may not be suitable despite being from the same product family.</w:t>
      </w:r>
    </w:p>
    <w:p>
      <w:pPr>
        <w:pStyle w:val="Heading3"/>
      </w:pPr>
      <w:r>
        <w:t>4.3 Cross-manufacturer equivalent</w:t>
      </w:r>
    </w:p>
    <w:p>
      <w:r>
        <w:t>A component from another manufacturer is proposed for the same application.</w:t>
      </w:r>
    </w:p>
    <w:p>
      <w:r>
        <w:t>This typically requires a more detailed comparison of electrical, mechanical, environmental, functional, and lifecycle requirements.</w:t>
      </w:r>
    </w:p>
    <w:p>
      <w:pPr>
        <w:pStyle w:val="Heading3"/>
      </w:pPr>
      <w:r>
        <w:t>4.4 Repaired or refurbished component</w:t>
      </w:r>
    </w:p>
    <w:p>
      <w:r>
        <w:t>A failed component is repaired or refurbished rather than replaced with a new one.</w:t>
      </w:r>
    </w:p>
    <w:p>
      <w:r>
        <w:t>Acceptance may require:</w:t>
      </w:r>
    </w:p>
    <w:p>
      <w:pPr>
        <w:pStyle w:val="ListBullet"/>
      </w:pPr>
      <w:r>
        <w:t>Traceable repair history.</w:t>
      </w:r>
    </w:p>
    <w:p>
      <w:pPr>
        <w:pStyle w:val="ListBullet"/>
      </w:pPr>
      <w:r>
        <w:t>Defined repair scope.</w:t>
      </w:r>
    </w:p>
    <w:p>
      <w:pPr>
        <w:pStyle w:val="ListBullet"/>
      </w:pPr>
      <w:r>
        <w:t>Appropriate electrical or functional testing.</w:t>
      </w:r>
    </w:p>
    <w:p>
      <w:pPr>
        <w:pStyle w:val="ListBullet"/>
      </w:pPr>
      <w:r>
        <w:t>Firmware and configuration verification.</w:t>
      </w:r>
    </w:p>
    <w:p>
      <w:pPr>
        <w:pStyle w:val="ListBullet"/>
      </w:pPr>
      <w:r>
        <w:t>Warranty and reliability assessment.</w:t>
      </w:r>
    </w:p>
    <w:p>
      <w:pPr>
        <w:pStyle w:val="ListBullet"/>
      </w:pPr>
      <w:r>
        <w:t>Inspection for damage and contamination.</w:t>
      </w:r>
    </w:p>
    <w:p>
      <w:r>
        <w:t>A repaired component is not automatically equivalent to a new component. Its condition, limitations, and acceptance criteria must be documented.</w:t>
      </w:r>
    </w:p>
    <w:p>
      <w:pPr>
        <w:pStyle w:val="Heading3"/>
      </w:pPr>
      <w:r>
        <w:t>4.5 Engineered retrofit</w:t>
      </w:r>
    </w:p>
    <w:p>
      <w:r>
        <w:t>A replacement requires changes to wiring, mounting, software, parameterization, communication, or associated equipment.</w:t>
      </w:r>
    </w:p>
    <w:p>
      <w:r>
        <w:t>Examples include:</w:t>
      </w:r>
    </w:p>
    <w:p>
      <w:pPr>
        <w:pStyle w:val="ListBullet"/>
      </w:pPr>
      <w:r>
        <w:t>Replacing an obsolete PLC family with a newer controller.</w:t>
      </w:r>
    </w:p>
    <w:p>
      <w:pPr>
        <w:pStyle w:val="ListBullet"/>
      </w:pPr>
      <w:r>
        <w:t>Replacing a discontinued VFD with a different drive platform.</w:t>
      </w:r>
    </w:p>
    <w:p>
      <w:pPr>
        <w:pStyle w:val="ListBullet"/>
      </w:pPr>
      <w:r>
        <w:t>Migrating an HMI project to a newer panel.</w:t>
      </w:r>
    </w:p>
    <w:p>
      <w:pPr>
        <w:pStyle w:val="ListBullet"/>
      </w:pPr>
      <w:r>
        <w:t>Replacing a CNC drive with a different model requiring interface changes.</w:t>
      </w:r>
    </w:p>
    <w:p>
      <w:r>
        <w:t>This is an engineering change, not a simple spare-parts substitution.</w:t>
      </w:r>
    </w:p>
    <w:p>
      <w:pPr>
        <w:pStyle w:val="Heading2"/>
      </w:pPr>
      <w:r>
        <w:t>5. Form-Fit-Function Evaluation</w:t>
      </w:r>
    </w:p>
    <w:p>
      <w:r>
        <w:t>Form-fit-function is a useful initial screening framework.</w:t>
      </w:r>
    </w:p>
    <w:p>
      <w:pPr>
        <w:pStyle w:val="Heading3"/>
      </w:pPr>
      <w:r>
        <w:t>5.1 Form</w:t>
      </w:r>
    </w:p>
    <w:p>
      <w:r>
        <w:t>Form concerns the physical characteristics of the component.</w:t>
      </w:r>
    </w:p>
    <w:p>
      <w:r>
        <w:t>Check:</w:t>
      </w:r>
    </w:p>
    <w:p>
      <w:pPr>
        <w:pStyle w:val="ListBullet"/>
      </w:pPr>
      <w:r>
        <w:t>Overall dimensions.</w:t>
      </w:r>
    </w:p>
    <w:p>
      <w:pPr>
        <w:pStyle w:val="ListBullet"/>
      </w:pPr>
      <w:r>
        <w:t>Mounting holes and bracket geometry.</w:t>
      </w:r>
    </w:p>
    <w:p>
      <w:pPr>
        <w:pStyle w:val="ListBullet"/>
      </w:pPr>
      <w:r>
        <w:t>Connector type and orientation.</w:t>
      </w:r>
    </w:p>
    <w:p>
      <w:pPr>
        <w:pStyle w:val="ListBullet"/>
      </w:pPr>
      <w:r>
        <w:t>Terminal arrangement.</w:t>
      </w:r>
    </w:p>
    <w:p>
      <w:pPr>
        <w:pStyle w:val="ListBullet"/>
      </w:pPr>
      <w:r>
        <w:t>Cable entry and routing.</w:t>
      </w:r>
    </w:p>
    <w:p>
      <w:pPr>
        <w:pStyle w:val="ListBullet"/>
      </w:pPr>
      <w:r>
        <w:t>Weight and centre of gravity where relevant.</w:t>
      </w:r>
    </w:p>
    <w:p>
      <w:pPr>
        <w:pStyle w:val="ListBullet"/>
      </w:pPr>
      <w:r>
        <w:t>Clearance and ventilation requirements.</w:t>
      </w:r>
    </w:p>
    <w:p>
      <w:pPr>
        <w:pStyle w:val="ListBullet"/>
      </w:pPr>
      <w:r>
        <w:t>Enclosure and ingress protection.</w:t>
      </w:r>
    </w:p>
    <w:p>
      <w:pPr>
        <w:pStyle w:val="Heading3"/>
      </w:pPr>
      <w:r>
        <w:t>5.2 Fit</w:t>
      </w:r>
    </w:p>
    <w:p>
      <w:r>
        <w:t>Fit concerns whether the component can be installed and connected correctly.</w:t>
      </w:r>
    </w:p>
    <w:p>
      <w:r>
        <w:t>Check:</w:t>
      </w:r>
    </w:p>
    <w:p>
      <w:pPr>
        <w:pStyle w:val="ListBullet"/>
      </w:pPr>
      <w:r>
        <w:t>Mechanical mounting compatibility.</w:t>
      </w:r>
    </w:p>
    <w:p>
      <w:pPr>
        <w:pStyle w:val="ListBullet"/>
      </w:pPr>
      <w:r>
        <w:t>Connector and pin compatibility.</w:t>
      </w:r>
    </w:p>
    <w:p>
      <w:pPr>
        <w:pStyle w:val="ListBullet"/>
      </w:pPr>
      <w:r>
        <w:t>Terminal sizes and wire capacity.</w:t>
      </w:r>
    </w:p>
    <w:p>
      <w:pPr>
        <w:pStyle w:val="ListBullet"/>
      </w:pPr>
      <w:r>
        <w:t>Cable reach and bend radius.</w:t>
      </w:r>
    </w:p>
    <w:p>
      <w:pPr>
        <w:pStyle w:val="ListBullet"/>
      </w:pPr>
      <w:r>
        <w:t>Electrical interface compatibility.</w:t>
      </w:r>
    </w:p>
    <w:p>
      <w:pPr>
        <w:pStyle w:val="ListBullet"/>
      </w:pPr>
      <w:r>
        <w:t>Chassis or slot compatibility.</w:t>
      </w:r>
    </w:p>
    <w:p>
      <w:pPr>
        <w:pStyle w:val="ListBullet"/>
      </w:pPr>
      <w:r>
        <w:t>Mounting and heat-dissipation requirements.</w:t>
      </w:r>
    </w:p>
    <w:p>
      <w:r>
        <w:t>Physical fit alone is not enough. Two modules may fit in the same panel while using incompatible communication protocols or electrical interfaces.</w:t>
      </w:r>
    </w:p>
    <w:p>
      <w:pPr>
        <w:pStyle w:val="Heading3"/>
      </w:pPr>
      <w:r>
        <w:t>5.3 Function</w:t>
      </w:r>
    </w:p>
    <w:p>
      <w:r>
        <w:t>Function concerns whether the replacement performs the required task.</w:t>
      </w:r>
    </w:p>
    <w:p>
      <w:r>
        <w:t>Check:</w:t>
      </w:r>
    </w:p>
    <w:p>
      <w:pPr>
        <w:pStyle w:val="ListBullet"/>
      </w:pPr>
      <w:r>
        <w:t>Input and output behavior.</w:t>
      </w:r>
    </w:p>
    <w:p>
      <w:pPr>
        <w:pStyle w:val="ListBullet"/>
      </w:pPr>
      <w:r>
        <w:t>Voltage and current ratings.</w:t>
      </w:r>
    </w:p>
    <w:p>
      <w:pPr>
        <w:pStyle w:val="ListBullet"/>
      </w:pPr>
      <w:r>
        <w:t>Signal type and range.</w:t>
      </w:r>
    </w:p>
    <w:p>
      <w:pPr>
        <w:pStyle w:val="ListBullet"/>
      </w:pPr>
      <w:r>
        <w:t>Response time.</w:t>
      </w:r>
    </w:p>
    <w:p>
      <w:pPr>
        <w:pStyle w:val="ListBullet"/>
      </w:pPr>
      <w:r>
        <w:t>Accuracy and repeatability.</w:t>
      </w:r>
    </w:p>
    <w:p>
      <w:pPr>
        <w:pStyle w:val="ListBullet"/>
      </w:pPr>
      <w:r>
        <w:t>Control behavior.</w:t>
      </w:r>
    </w:p>
    <w:p>
      <w:pPr>
        <w:pStyle w:val="ListBullet"/>
      </w:pPr>
      <w:r>
        <w:t>Communication protocol.</w:t>
      </w:r>
    </w:p>
    <w:p>
      <w:pPr>
        <w:pStyle w:val="ListBullet"/>
      </w:pPr>
      <w:r>
        <w:t>Software and firmware compatibility.</w:t>
      </w:r>
    </w:p>
    <w:p>
      <w:pPr>
        <w:pStyle w:val="ListBullet"/>
      </w:pPr>
      <w:r>
        <w:t>Operating limits.</w:t>
      </w:r>
    </w:p>
    <w:p>
      <w:pPr>
        <w:pStyle w:val="ListBullet"/>
      </w:pPr>
      <w:r>
        <w:t>Diagnostic and fault-handling behavior.</w:t>
      </w:r>
    </w:p>
    <w:p>
      <w:r>
        <w:t>For safety-related devices, the assessment must also cover applicable safety requirements and system-level compatibility.</w:t>
      </w:r>
    </w:p>
    <w:p>
      <w:pPr>
        <w:pStyle w:val="Heading2"/>
      </w:pPr>
      <w:r>
        <w:t>6. Technical Parameters to Compare</w:t>
      </w:r>
    </w:p>
    <w:p>
      <w:r>
        <w:t>The comparison should be tailored to the component type. Not every parameter applies to every device.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Parameter</w:t>
            </w:r>
          </w:p>
        </w:tc>
        <w:tc>
          <w:tcPr>
            <w:tcW w:type="dxa" w:w="5400"/>
            <w:shd w:val="clear" w:color="auto" w:fill="EEF2F7"/>
          </w:tcPr>
          <w:p>
            <w:pPr>
              <w:spacing w:after="0" w:before="0" w:line="240" w:lineRule="auto"/>
              <w:jc w:val="left"/>
            </w:pPr>
            <w:r>
              <w:rPr>
                <w:b/>
                <w:color w:val="1A2E4A"/>
              </w:rPr>
              <w:t>Evaluation requirement</w:t>
            </w:r>
          </w:p>
        </w:tc>
      </w:tr>
      <w:tr>
        <w:tc>
          <w:tcPr>
            <w:tcW w:type="dxa" w:w="5400"/>
          </w:tcPr>
          <w:p>
            <w:pPr>
              <w:spacing w:after="0" w:before="0" w:line="240" w:lineRule="auto"/>
              <w:jc w:val="left"/>
            </w:pPr>
            <w:r>
              <w:t>Manufacturer and model</w:t>
            </w:r>
          </w:p>
        </w:tc>
        <w:tc>
          <w:tcPr>
            <w:tcW w:type="dxa" w:w="5400"/>
          </w:tcPr>
          <w:p>
            <w:pPr>
              <w:spacing w:after="0" w:before="0" w:line="240" w:lineRule="auto"/>
              <w:jc w:val="left"/>
            </w:pPr>
            <w:r>
              <w:t>Confirm exact product identity</w:t>
            </w:r>
          </w:p>
        </w:tc>
      </w:tr>
      <w:tr>
        <w:tc>
          <w:tcPr>
            <w:tcW w:type="dxa" w:w="5400"/>
          </w:tcPr>
          <w:p>
            <w:pPr>
              <w:spacing w:after="0" w:before="0" w:line="240" w:lineRule="auto"/>
              <w:jc w:val="left"/>
            </w:pPr>
            <w:r>
              <w:t>Electrical supply</w:t>
            </w:r>
          </w:p>
        </w:tc>
        <w:tc>
          <w:tcPr>
            <w:tcW w:type="dxa" w:w="5400"/>
          </w:tcPr>
          <w:p>
            <w:pPr>
              <w:spacing w:after="0" w:before="0" w:line="240" w:lineRule="auto"/>
              <w:jc w:val="left"/>
            </w:pPr>
            <w:r>
              <w:t>Verify voltage, frequency, polarity, and supply type</w:t>
            </w:r>
          </w:p>
        </w:tc>
      </w:tr>
      <w:tr>
        <w:tc>
          <w:tcPr>
            <w:tcW w:type="dxa" w:w="5400"/>
          </w:tcPr>
          <w:p>
            <w:pPr>
              <w:spacing w:after="0" w:before="0" w:line="240" w:lineRule="auto"/>
              <w:jc w:val="left"/>
            </w:pPr>
            <w:r>
              <w:t>Current and power</w:t>
            </w:r>
          </w:p>
        </w:tc>
        <w:tc>
          <w:tcPr>
            <w:tcW w:type="dxa" w:w="5400"/>
          </w:tcPr>
          <w:p>
            <w:pPr>
              <w:spacing w:after="0" w:before="0" w:line="240" w:lineRule="auto"/>
              <w:jc w:val="left"/>
            </w:pPr>
            <w:r>
              <w:t>Verify continuous and transient requirements</w:t>
            </w:r>
          </w:p>
        </w:tc>
      </w:tr>
      <w:tr>
        <w:tc>
          <w:tcPr>
            <w:tcW w:type="dxa" w:w="5400"/>
          </w:tcPr>
          <w:p>
            <w:pPr>
              <w:spacing w:after="0" w:before="0" w:line="240" w:lineRule="auto"/>
              <w:jc w:val="left"/>
            </w:pPr>
            <w:r>
              <w:t>Signal interface</w:t>
            </w:r>
          </w:p>
        </w:tc>
        <w:tc>
          <w:tcPr>
            <w:tcW w:type="dxa" w:w="5400"/>
          </w:tcPr>
          <w:p>
            <w:pPr>
              <w:spacing w:after="0" w:before="0" w:line="240" w:lineRule="auto"/>
              <w:jc w:val="left"/>
            </w:pPr>
            <w:r>
              <w:t>Check digital, analog, pulse, or communication interface</w:t>
            </w:r>
          </w:p>
        </w:tc>
      </w:tr>
      <w:tr>
        <w:tc>
          <w:tcPr>
            <w:tcW w:type="dxa" w:w="5400"/>
          </w:tcPr>
          <w:p>
            <w:pPr>
              <w:spacing w:after="0" w:before="0" w:line="240" w:lineRule="auto"/>
              <w:jc w:val="left"/>
            </w:pPr>
            <w:r>
              <w:t>Mechanical dimensions</w:t>
            </w:r>
          </w:p>
        </w:tc>
        <w:tc>
          <w:tcPr>
            <w:tcW w:type="dxa" w:w="5400"/>
          </w:tcPr>
          <w:p>
            <w:pPr>
              <w:spacing w:after="0" w:before="0" w:line="240" w:lineRule="auto"/>
              <w:jc w:val="left"/>
            </w:pPr>
            <w:r>
              <w:t>Confirm mounting and clearance</w:t>
            </w:r>
          </w:p>
        </w:tc>
      </w:tr>
      <w:tr>
        <w:tc>
          <w:tcPr>
            <w:tcW w:type="dxa" w:w="5400"/>
          </w:tcPr>
          <w:p>
            <w:pPr>
              <w:spacing w:after="0" w:before="0" w:line="240" w:lineRule="auto"/>
              <w:jc w:val="left"/>
            </w:pPr>
            <w:r>
              <w:t>Connector and pinout</w:t>
            </w:r>
          </w:p>
        </w:tc>
        <w:tc>
          <w:tcPr>
            <w:tcW w:type="dxa" w:w="5400"/>
          </w:tcPr>
          <w:p>
            <w:pPr>
              <w:spacing w:after="0" w:before="0" w:line="240" w:lineRule="auto"/>
              <w:jc w:val="left"/>
            </w:pPr>
            <w:r>
              <w:t>Confirm wiring and signal assignments</w:t>
            </w:r>
          </w:p>
        </w:tc>
      </w:tr>
      <w:tr>
        <w:tc>
          <w:tcPr>
            <w:tcW w:type="dxa" w:w="5400"/>
          </w:tcPr>
          <w:p>
            <w:pPr>
              <w:spacing w:after="0" w:before="0" w:line="240" w:lineRule="auto"/>
              <w:jc w:val="left"/>
            </w:pPr>
            <w:r>
              <w:t>Environmental rating</w:t>
            </w:r>
          </w:p>
        </w:tc>
        <w:tc>
          <w:tcPr>
            <w:tcW w:type="dxa" w:w="5400"/>
          </w:tcPr>
          <w:p>
            <w:pPr>
              <w:spacing w:after="0" w:before="0" w:line="240" w:lineRule="auto"/>
              <w:jc w:val="left"/>
            </w:pPr>
            <w:r>
              <w:t>Verify temperature, humidity, vibration, dust, and ingress protection</w:t>
            </w:r>
          </w:p>
        </w:tc>
      </w:tr>
      <w:tr>
        <w:tc>
          <w:tcPr>
            <w:tcW w:type="dxa" w:w="5400"/>
          </w:tcPr>
          <w:p>
            <w:pPr>
              <w:spacing w:after="0" w:before="0" w:line="240" w:lineRule="auto"/>
              <w:jc w:val="left"/>
            </w:pPr>
            <w:r>
              <w:t>Response characteristics</w:t>
            </w:r>
          </w:p>
        </w:tc>
        <w:tc>
          <w:tcPr>
            <w:tcW w:type="dxa" w:w="5400"/>
          </w:tcPr>
          <w:p>
            <w:pPr>
              <w:spacing w:after="0" w:before="0" w:line="240" w:lineRule="auto"/>
              <w:jc w:val="left"/>
            </w:pPr>
            <w:r>
              <w:t>Verify speed, bandwidth, response time, or switching behavior</w:t>
            </w:r>
          </w:p>
        </w:tc>
      </w:tr>
      <w:tr>
        <w:tc>
          <w:tcPr>
            <w:tcW w:type="dxa" w:w="5400"/>
          </w:tcPr>
          <w:p>
            <w:pPr>
              <w:spacing w:after="0" w:before="0" w:line="240" w:lineRule="auto"/>
              <w:jc w:val="left"/>
            </w:pPr>
            <w:r>
              <w:t>Accuracy</w:t>
            </w:r>
          </w:p>
        </w:tc>
        <w:tc>
          <w:tcPr>
            <w:tcW w:type="dxa" w:w="5400"/>
          </w:tcPr>
          <w:p>
            <w:pPr>
              <w:spacing w:after="0" w:before="0" w:line="240" w:lineRule="auto"/>
              <w:jc w:val="left"/>
            </w:pPr>
            <w:r>
              <w:t>Confirm measurement tolerance where relevant</w:t>
            </w:r>
          </w:p>
        </w:tc>
      </w:tr>
      <w:tr>
        <w:tc>
          <w:tcPr>
            <w:tcW w:type="dxa" w:w="5400"/>
          </w:tcPr>
          <w:p>
            <w:pPr>
              <w:spacing w:after="0" w:before="0" w:line="240" w:lineRule="auto"/>
              <w:jc w:val="left"/>
            </w:pPr>
            <w:r>
              <w:t>Communication</w:t>
            </w:r>
          </w:p>
        </w:tc>
        <w:tc>
          <w:tcPr>
            <w:tcW w:type="dxa" w:w="5400"/>
          </w:tcPr>
          <w:p>
            <w:pPr>
              <w:spacing w:after="0" w:before="0" w:line="240" w:lineRule="auto"/>
              <w:jc w:val="left"/>
            </w:pPr>
            <w:r>
              <w:t>Verify protocol, data mapping, and network requirements</w:t>
            </w:r>
          </w:p>
        </w:tc>
      </w:tr>
      <w:tr>
        <w:tc>
          <w:tcPr>
            <w:tcW w:type="dxa" w:w="5400"/>
          </w:tcPr>
          <w:p>
            <w:pPr>
              <w:spacing w:after="0" w:before="0" w:line="240" w:lineRule="auto"/>
              <w:jc w:val="left"/>
            </w:pPr>
            <w:r>
              <w:t>Software compatibility</w:t>
            </w:r>
          </w:p>
        </w:tc>
        <w:tc>
          <w:tcPr>
            <w:tcW w:type="dxa" w:w="5400"/>
          </w:tcPr>
          <w:p>
            <w:pPr>
              <w:spacing w:after="0" w:before="0" w:line="240" w:lineRule="auto"/>
              <w:jc w:val="left"/>
            </w:pPr>
            <w:r>
              <w:t>Check engineering tools, firmware, and supported versions</w:t>
            </w:r>
          </w:p>
        </w:tc>
      </w:tr>
      <w:tr>
        <w:tc>
          <w:tcPr>
            <w:tcW w:type="dxa" w:w="5400"/>
          </w:tcPr>
          <w:p>
            <w:pPr>
              <w:spacing w:after="0" w:before="0" w:line="240" w:lineRule="auto"/>
              <w:jc w:val="left"/>
            </w:pPr>
            <w:r>
              <w:t>Safety requirements</w:t>
            </w:r>
          </w:p>
        </w:tc>
        <w:tc>
          <w:tcPr>
            <w:tcW w:type="dxa" w:w="5400"/>
          </w:tcPr>
          <w:p>
            <w:pPr>
              <w:spacing w:after="0" w:before="0" w:line="240" w:lineRule="auto"/>
              <w:jc w:val="left"/>
            </w:pPr>
            <w:r>
              <w:t>Confirm required ratings, approvals, and system compatibility</w:t>
            </w:r>
          </w:p>
        </w:tc>
      </w:tr>
      <w:tr>
        <w:tc>
          <w:tcPr>
            <w:tcW w:type="dxa" w:w="5400"/>
          </w:tcPr>
          <w:p>
            <w:pPr>
              <w:spacing w:after="0" w:before="0" w:line="240" w:lineRule="auto"/>
              <w:jc w:val="left"/>
            </w:pPr>
            <w:r>
              <w:t>EMC requirements</w:t>
            </w:r>
          </w:p>
        </w:tc>
        <w:tc>
          <w:tcPr>
            <w:tcW w:type="dxa" w:w="5400"/>
          </w:tcPr>
          <w:p>
            <w:pPr>
              <w:spacing w:after="0" w:before="0" w:line="240" w:lineRule="auto"/>
              <w:jc w:val="left"/>
            </w:pPr>
            <w:r>
              <w:t>Assess electromagnetic compatibility and noise immunity</w:t>
            </w:r>
          </w:p>
        </w:tc>
      </w:tr>
      <w:tr>
        <w:tc>
          <w:tcPr>
            <w:tcW w:type="dxa" w:w="5400"/>
          </w:tcPr>
          <w:p>
            <w:pPr>
              <w:spacing w:after="0" w:before="0" w:line="240" w:lineRule="auto"/>
              <w:jc w:val="left"/>
            </w:pPr>
            <w:r>
              <w:t>Lifecycle status</w:t>
            </w:r>
          </w:p>
        </w:tc>
        <w:tc>
          <w:tcPr>
            <w:tcW w:type="dxa" w:w="5400"/>
          </w:tcPr>
          <w:p>
            <w:pPr>
              <w:spacing w:after="0" w:before="0" w:line="240" w:lineRule="auto"/>
              <w:jc w:val="left"/>
            </w:pPr>
            <w:r>
              <w:t>Check product availability, support, and obsolescence risk</w:t>
            </w:r>
          </w:p>
        </w:tc>
      </w:tr>
      <w:tr>
        <w:tc>
          <w:tcPr>
            <w:tcW w:type="dxa" w:w="5400"/>
          </w:tcPr>
          <w:p>
            <w:pPr>
              <w:spacing w:after="0" w:before="0" w:line="240" w:lineRule="auto"/>
              <w:jc w:val="left"/>
            </w:pPr>
            <w:r>
              <w:t>Documentation</w:t>
            </w:r>
          </w:p>
        </w:tc>
        <w:tc>
          <w:tcPr>
            <w:tcW w:type="dxa" w:w="5400"/>
          </w:tcPr>
          <w:p>
            <w:pPr>
              <w:spacing w:after="0" w:before="0" w:line="240" w:lineRule="auto"/>
              <w:jc w:val="left"/>
            </w:pPr>
            <w:r>
              <w:t>Obtain datasheet, certificates, manuals, and test evidence</w:t>
            </w:r>
          </w:p>
        </w:tc>
      </w:tr>
      <w:tr>
        <w:tc>
          <w:tcPr>
            <w:tcW w:type="dxa" w:w="5400"/>
          </w:tcPr>
          <w:p>
            <w:pPr>
              <w:spacing w:after="0" w:before="0" w:line="240" w:lineRule="auto"/>
              <w:jc w:val="left"/>
            </w:pPr>
            <w:r>
              <w:t>Commercial conditions</w:t>
            </w:r>
          </w:p>
        </w:tc>
        <w:tc>
          <w:tcPr>
            <w:tcW w:type="dxa" w:w="5400"/>
          </w:tcPr>
          <w:p>
            <w:pPr>
              <w:spacing w:after="0" w:before="0" w:line="240" w:lineRule="auto"/>
              <w:jc w:val="left"/>
            </w:pPr>
            <w:r>
              <w:t>Compare price, delivery, warranty, and support</w:t>
            </w:r>
          </w:p>
        </w:tc>
      </w:tr>
    </w:tbl>
    <w:p/>
    <w:p>
      <w:r>
        <w:t>A replacement must satisfy all applicable mandatory requirements. A weighted score should never allow a low price to compensate for a failed safety or compatibility requirement.</w:t>
      </w:r>
    </w:p>
    <w:p>
      <w:pPr>
        <w:pStyle w:val="Heading2"/>
      </w:pPr>
      <w:r>
        <w:t>7. Electrical and Automation Compatibility</w:t>
      </w:r>
    </w:p>
    <w:p>
      <w:pPr>
        <w:pStyle w:val="Heading3"/>
      </w:pPr>
      <w:r>
        <w:t>7.1 Voltage and current</w:t>
      </w:r>
    </w:p>
    <w:p>
      <w:r>
        <w:t>Verify that the replacement can operate within the actual supply range and handle the required continuous and transient loads.</w:t>
      </w:r>
    </w:p>
    <w:p>
      <w:r>
        <w:t>For example, a 24 V DC sensor should be checked against the real supply tolerance, current demand, output load, and input requirements of the receiving device.</w:t>
      </w:r>
    </w:p>
    <w:p>
      <w:r>
        <w:t>Matching the nominal voltage alone is insufficient.</w:t>
      </w:r>
    </w:p>
    <w:p>
      <w:pPr>
        <w:pStyle w:val="Heading3"/>
      </w:pPr>
      <w:r>
        <w:t>7.2 PNP and NPN sensor outputs</w:t>
      </w:r>
    </w:p>
    <w:p>
      <w:r>
        <w:t>PNP and NPN outputs behave differently.</w:t>
      </w:r>
    </w:p>
    <w:p>
      <w:pPr>
        <w:pStyle w:val="ListBullet"/>
      </w:pPr>
      <w:r>
        <w:t>PNP: Typically sources current toward the load from the positive supply.</w:t>
      </w:r>
    </w:p>
    <w:p>
      <w:pPr>
        <w:pStyle w:val="ListBullet"/>
      </w:pPr>
      <w:r>
        <w:t>NPN: Typically sinks current toward the negative supply.</w:t>
      </w:r>
    </w:p>
    <w:p>
      <w:r>
        <w:t>The sensor output must be compatible with the PLC input circuit and wiring arrangement. A mechanically identical sensor with the wrong output type can fail to operate correctly.</w:t>
      </w:r>
    </w:p>
    <w:p>
      <w:pPr>
        <w:pStyle w:val="Heading3"/>
      </w:pPr>
      <w:r>
        <w:t>7.3 Digital and analog signals</w:t>
      </w:r>
    </w:p>
    <w:p>
      <w:r>
        <w:t>For analog devices, verify:</w:t>
      </w:r>
    </w:p>
    <w:p>
      <w:pPr>
        <w:pStyle w:val="ListBullet"/>
      </w:pPr>
      <w:r>
        <w:t>Signal type, such as 4–20 mA or 0–10 V.</w:t>
      </w:r>
    </w:p>
    <w:p>
      <w:pPr>
        <w:pStyle w:val="ListBullet"/>
      </w:pPr>
      <w:r>
        <w:t>Input impedance and loading.</w:t>
      </w:r>
    </w:p>
    <w:p>
      <w:pPr>
        <w:pStyle w:val="ListBullet"/>
      </w:pPr>
      <w:r>
        <w:t>Measurement range.</w:t>
      </w:r>
    </w:p>
    <w:p>
      <w:pPr>
        <w:pStyle w:val="ListBullet"/>
      </w:pPr>
      <w:r>
        <w:t>Scaling configuration.</w:t>
      </w:r>
    </w:p>
    <w:p>
      <w:pPr>
        <w:pStyle w:val="ListBullet"/>
      </w:pPr>
      <w:r>
        <w:t>Electrical isolation.</w:t>
      </w:r>
    </w:p>
    <w:p>
      <w:pPr>
        <w:pStyle w:val="ListBullet"/>
      </w:pPr>
      <w:r>
        <w:t>Fault-detection behavior.</w:t>
      </w:r>
    </w:p>
    <w:p>
      <w:pPr>
        <w:pStyle w:val="ListBullet"/>
      </w:pPr>
      <w:r>
        <w:t>Accuracy and resolution.</w:t>
      </w:r>
    </w:p>
    <w:p>
      <w:r>
        <w:t>A replacement transmitter may use the same 4–20 mA interface but have a different measurement range, causing incorrect engineering values unless the system is reconfigured and validated.</w:t>
      </w:r>
    </w:p>
    <w:p>
      <w:pPr>
        <w:pStyle w:val="Heading3"/>
      </w:pPr>
      <w:r>
        <w:t>7.4 PLC modules</w:t>
      </w:r>
    </w:p>
    <w:p>
      <w:r>
        <w:t>For PLC and remote I/O modules, evaluate:</w:t>
      </w:r>
    </w:p>
    <w:p>
      <w:pPr>
        <w:pStyle w:val="ListBullet"/>
      </w:pPr>
      <w:r>
        <w:t>Controller and chassis compatibility.</w:t>
      </w:r>
    </w:p>
    <w:p>
      <w:pPr>
        <w:pStyle w:val="ListBullet"/>
      </w:pPr>
      <w:r>
        <w:t>Slot and backplane requirements.</w:t>
      </w:r>
    </w:p>
    <w:p>
      <w:pPr>
        <w:pStyle w:val="ListBullet"/>
      </w:pPr>
      <w:r>
        <w:t>Supported firmware.</w:t>
      </w:r>
    </w:p>
    <w:p>
      <w:pPr>
        <w:pStyle w:val="ListBullet"/>
      </w:pPr>
      <w:r>
        <w:t>I/O type and channel count.</w:t>
      </w:r>
    </w:p>
    <w:p>
      <w:pPr>
        <w:pStyle w:val="ListBullet"/>
      </w:pPr>
      <w:r>
        <w:t>Input filtering and output characteristics.</w:t>
      </w:r>
    </w:p>
    <w:p>
      <w:pPr>
        <w:pStyle w:val="ListBullet"/>
      </w:pPr>
      <w:r>
        <w:t>Network protocol and adapter compatibility.</w:t>
      </w:r>
    </w:p>
    <w:p>
      <w:pPr>
        <w:pStyle w:val="ListBullet"/>
      </w:pPr>
      <w:r>
        <w:t>Addressing and configuration changes.</w:t>
      </w:r>
    </w:p>
    <w:p>
      <w:pPr>
        <w:pStyle w:val="ListBullet"/>
      </w:pPr>
      <w:r>
        <w:t>Diagnostic behavior.</w:t>
      </w:r>
    </w:p>
    <w:p>
      <w:pPr>
        <w:pStyle w:val="ListBullet"/>
      </w:pPr>
      <w:r>
        <w:t>Engineering software support.</w:t>
      </w:r>
    </w:p>
    <w:p>
      <w:r>
        <w:t>For an Allen-Bradley, Siemens, or Mitsubishi system, a similarly named module from another product generation should not be assumed compatible without manufacturer documentation and application verification.</w:t>
      </w:r>
    </w:p>
    <w:p>
      <w:pPr>
        <w:pStyle w:val="Heading3"/>
      </w:pPr>
      <w:r>
        <w:t>7.5 VFDs and servo drives</w:t>
      </w:r>
    </w:p>
    <w:p>
      <w:r>
        <w:t>Compare:</w:t>
      </w:r>
    </w:p>
    <w:p>
      <w:pPr>
        <w:pStyle w:val="ListBullet"/>
      </w:pPr>
      <w:r>
        <w:t>Input supply voltage and phase.</w:t>
      </w:r>
    </w:p>
    <w:p>
      <w:pPr>
        <w:pStyle w:val="ListBullet"/>
      </w:pPr>
      <w:r>
        <w:t>Motor voltage, current, and power.</w:t>
      </w:r>
    </w:p>
    <w:p>
      <w:pPr>
        <w:pStyle w:val="ListBullet"/>
      </w:pPr>
      <w:r>
        <w:t>Overload and duty requirements.</w:t>
      </w:r>
    </w:p>
    <w:p>
      <w:pPr>
        <w:pStyle w:val="ListBullet"/>
      </w:pPr>
      <w:r>
        <w:t>Control mode.</w:t>
      </w:r>
    </w:p>
    <w:p>
      <w:pPr>
        <w:pStyle w:val="ListBullet"/>
      </w:pPr>
      <w:r>
        <w:t>Encoder or feedback interface.</w:t>
      </w:r>
    </w:p>
    <w:p>
      <w:pPr>
        <w:pStyle w:val="ListBullet"/>
      </w:pPr>
      <w:r>
        <w:t>Communication protocol.</w:t>
      </w:r>
    </w:p>
    <w:p>
      <w:pPr>
        <w:pStyle w:val="ListBullet"/>
      </w:pPr>
      <w:r>
        <w:t>Braking requirements.</w:t>
      </w:r>
    </w:p>
    <w:p>
      <w:pPr>
        <w:pStyle w:val="ListBullet"/>
      </w:pPr>
      <w:r>
        <w:t>Motor and drive parameter compatibility.</w:t>
      </w:r>
    </w:p>
    <w:p>
      <w:pPr>
        <w:pStyle w:val="ListBullet"/>
      </w:pPr>
      <w:r>
        <w:t>Protective functions.</w:t>
      </w:r>
    </w:p>
    <w:p>
      <w:pPr>
        <w:pStyle w:val="ListBullet"/>
      </w:pPr>
      <w:r>
        <w:t>EMC and installation requirements.</w:t>
      </w:r>
    </w:p>
    <w:p>
      <w:r>
        <w:t>A replacement drive may operate the motor but still fail to support the original control interface, braking arrangement, safety functions, or required dynamic performance.</w:t>
      </w:r>
    </w:p>
    <w:p>
      <w:pPr>
        <w:pStyle w:val="Heading2"/>
      </w:pPr>
      <w:r>
        <w:t>8. Safety-Critical Components</w:t>
      </w:r>
    </w:p>
    <w:p>
      <w:r>
        <w:t>Safety-related components require a stricter approval process than ordinary consumables.</w:t>
      </w:r>
    </w:p>
    <w:p>
      <w:r>
        <w:t>Examples include:</w:t>
      </w:r>
    </w:p>
    <w:p>
      <w:pPr>
        <w:pStyle w:val="ListBullet"/>
      </w:pPr>
      <w:r>
        <w:t>Safety relays.</w:t>
      </w:r>
    </w:p>
    <w:p>
      <w:pPr>
        <w:pStyle w:val="ListBullet"/>
      </w:pPr>
      <w:r>
        <w:t>Safety PLCs.</w:t>
      </w:r>
    </w:p>
    <w:p>
      <w:pPr>
        <w:pStyle w:val="ListBullet"/>
      </w:pPr>
      <w:r>
        <w:t>Emergency-stop devices.</w:t>
      </w:r>
    </w:p>
    <w:p>
      <w:pPr>
        <w:pStyle w:val="ListBullet"/>
      </w:pPr>
      <w:r>
        <w:t>Interlocking switches.</w:t>
      </w:r>
    </w:p>
    <w:p>
      <w:pPr>
        <w:pStyle w:val="ListBullet"/>
      </w:pPr>
      <w:r>
        <w:t>Light curtains.</w:t>
      </w:r>
    </w:p>
    <w:p>
      <w:pPr>
        <w:pStyle w:val="ListBullet"/>
      </w:pPr>
      <w:r>
        <w:t>Safety scanners.</w:t>
      </w:r>
    </w:p>
    <w:p>
      <w:pPr>
        <w:pStyle w:val="ListBullet"/>
      </w:pPr>
      <w:r>
        <w:t>Enabling switches.</w:t>
      </w:r>
    </w:p>
    <w:p>
      <w:pPr>
        <w:pStyle w:val="ListBullet"/>
      </w:pPr>
      <w:r>
        <w:t>Safety-rated drive functions.</w:t>
      </w:r>
    </w:p>
    <w:p>
      <w:r>
        <w:t>The assessment must consider the complete safety function, not just the replacement component.</w:t>
      </w:r>
    </w:p>
    <w:p>
      <w:r>
        <w:t>Verify:</w:t>
      </w:r>
    </w:p>
    <w:p>
      <w:pPr>
        <w:pStyle w:val="ListBullet"/>
      </w:pPr>
      <w:r>
        <w:t>Required safety performance level or safety integrity level, where applicable.</w:t>
      </w:r>
    </w:p>
    <w:p>
      <w:pPr>
        <w:pStyle w:val="ListBullet"/>
      </w:pPr>
      <w:r>
        <w:t>Manufacturer's safety instructions.</w:t>
      </w:r>
    </w:p>
    <w:p>
      <w:pPr>
        <w:pStyle w:val="ListBullet"/>
      </w:pPr>
      <w:r>
        <w:t>Compatibility with the existing safety architecture.</w:t>
      </w:r>
    </w:p>
    <w:p>
      <w:pPr>
        <w:pStyle w:val="ListBullet"/>
      </w:pPr>
      <w:r>
        <w:t>Diagnostic coverage and fault response.</w:t>
      </w:r>
    </w:p>
    <w:p>
      <w:pPr>
        <w:pStyle w:val="ListBullet"/>
      </w:pPr>
      <w:r>
        <w:t>Required certificates and documentation.</w:t>
      </w:r>
    </w:p>
    <w:p>
      <w:pPr>
        <w:pStyle w:val="ListBullet"/>
      </w:pPr>
      <w:r>
        <w:t>Configuration and validation requirements.</w:t>
      </w:r>
    </w:p>
    <w:p>
      <w:pPr>
        <w:pStyle w:val="ListBullet"/>
      </w:pPr>
      <w:r>
        <w:t>Applicable machinery safety standards and plant procedures.</w:t>
      </w:r>
    </w:p>
    <w:p>
      <w:r>
        <w:t>A device with a similar catalogue description or an equivalent ordinary electrical rating is not necessarily an acceptable safety substitute.</w:t>
      </w:r>
    </w:p>
    <w:p>
      <w:r>
        <w:t>Any replacement or modification affecting a safety function must undergo the required risk assessment, approval, and validation before the equipment returns to service.</w:t>
      </w:r>
    </w:p>
    <w:p>
      <w:pPr>
        <w:pStyle w:val="Heading2"/>
      </w:pPr>
      <w:r>
        <w:t>9. Mechanical and Pneumatic Equivalence</w:t>
      </w:r>
    </w:p>
    <w:p>
      <w:r>
        <w:t>Alternate parts also require mechanical and fluid-system evaluation.</w:t>
      </w:r>
    </w:p>
    <w:p>
      <w:pPr>
        <w:pStyle w:val="Heading3"/>
      </w:pPr>
      <w:r>
        <w:t>9.1 Bearings</w:t>
      </w:r>
    </w:p>
    <w:p>
      <w:r>
        <w:t>Compare:</w:t>
      </w:r>
    </w:p>
    <w:p>
      <w:pPr>
        <w:pStyle w:val="ListBullet"/>
      </w:pPr>
      <w:r>
        <w:t>Bore and outside diameter.</w:t>
      </w:r>
    </w:p>
    <w:p>
      <w:pPr>
        <w:pStyle w:val="ListBullet"/>
      </w:pPr>
      <w:r>
        <w:t>Width.</w:t>
      </w:r>
    </w:p>
    <w:p>
      <w:pPr>
        <w:pStyle w:val="ListBullet"/>
      </w:pPr>
      <w:r>
        <w:t>Bearing type and internal clearance.</w:t>
      </w:r>
    </w:p>
    <w:p>
      <w:pPr>
        <w:pStyle w:val="ListBullet"/>
      </w:pPr>
      <w:r>
        <w:t>Load and speed ratings.</w:t>
      </w:r>
    </w:p>
    <w:p>
      <w:pPr>
        <w:pStyle w:val="ListBullet"/>
      </w:pPr>
      <w:r>
        <w:t>Lubrication requirements.</w:t>
      </w:r>
    </w:p>
    <w:p>
      <w:pPr>
        <w:pStyle w:val="ListBullet"/>
      </w:pPr>
      <w:r>
        <w:t>Sealing arrangement.</w:t>
      </w:r>
    </w:p>
    <w:p>
      <w:pPr>
        <w:pStyle w:val="ListBullet"/>
      </w:pPr>
      <w:r>
        <w:t>Operating temperature.</w:t>
      </w:r>
    </w:p>
    <w:p>
      <w:pPr>
        <w:pStyle w:val="ListBullet"/>
      </w:pPr>
      <w:r>
        <w:t>Mounting and shaft tolerances.</w:t>
      </w:r>
    </w:p>
    <w:p>
      <w:r>
        <w:t>A bearing with the correct dimensions may still be unsuitable because of load, speed, lubrication, or clearance differences.</w:t>
      </w:r>
    </w:p>
    <w:p>
      <w:pPr>
        <w:pStyle w:val="Heading3"/>
      </w:pPr>
      <w:r>
        <w:t>9.2 Pneumatic cylinders and valves</w:t>
      </w:r>
    </w:p>
    <w:p>
      <w:r>
        <w:t>Compare:</w:t>
      </w:r>
    </w:p>
    <w:p>
      <w:pPr>
        <w:pStyle w:val="ListBullet"/>
      </w:pPr>
      <w:r>
        <w:t>Bore and stroke.</w:t>
      </w:r>
    </w:p>
    <w:p>
      <w:pPr>
        <w:pStyle w:val="ListBullet"/>
      </w:pPr>
      <w:r>
        <w:t>Operating pressure.</w:t>
      </w:r>
    </w:p>
    <w:p>
      <w:pPr>
        <w:pStyle w:val="ListBullet"/>
      </w:pPr>
      <w:r>
        <w:t>Force and speed.</w:t>
      </w:r>
    </w:p>
    <w:p>
      <w:pPr>
        <w:pStyle w:val="ListBullet"/>
      </w:pPr>
      <w:r>
        <w:t>Mounting arrangement.</w:t>
      </w:r>
    </w:p>
    <w:p>
      <w:pPr>
        <w:pStyle w:val="ListBullet"/>
      </w:pPr>
      <w:r>
        <w:t>Port size and thread type.</w:t>
      </w:r>
    </w:p>
    <w:p>
      <w:pPr>
        <w:pStyle w:val="ListBullet"/>
      </w:pPr>
      <w:r>
        <w:t>Valve actuation method.</w:t>
      </w:r>
    </w:p>
    <w:p>
      <w:pPr>
        <w:pStyle w:val="ListBullet"/>
      </w:pPr>
      <w:r>
        <w:t>Flow capacity.</w:t>
      </w:r>
    </w:p>
    <w:p>
      <w:pPr>
        <w:pStyle w:val="ListBullet"/>
      </w:pPr>
      <w:r>
        <w:t>Seal material.</w:t>
      </w:r>
    </w:p>
    <w:p>
      <w:pPr>
        <w:pStyle w:val="ListBullet"/>
      </w:pPr>
      <w:r>
        <w:t>Sensor compatibility.</w:t>
      </w:r>
    </w:p>
    <w:p>
      <w:pPr>
        <w:pStyle w:val="ListBullet"/>
      </w:pPr>
      <w:r>
        <w:t>Environmental conditions.</w:t>
      </w:r>
    </w:p>
    <w:p>
      <w:r>
        <w:t>A cylinder with the same stroke but a different bore may produce a different force and alter machine behavior.</w:t>
      </w:r>
    </w:p>
    <w:p>
      <w:pPr>
        <w:pStyle w:val="Heading3"/>
      </w:pPr>
      <w:r>
        <w:t>9.3 Filters, seals, and lubricants</w:t>
      </w:r>
    </w:p>
    <w:p>
      <w:r>
        <w:t>Compare:</w:t>
      </w:r>
    </w:p>
    <w:p>
      <w:pPr>
        <w:pStyle w:val="ListBullet"/>
      </w:pPr>
      <w:r>
        <w:t>Material compatibility.</w:t>
      </w:r>
    </w:p>
    <w:p>
      <w:pPr>
        <w:pStyle w:val="ListBullet"/>
      </w:pPr>
      <w:r>
        <w:t>Pressure and temperature limits.</w:t>
      </w:r>
    </w:p>
    <w:p>
      <w:pPr>
        <w:pStyle w:val="ListBullet"/>
      </w:pPr>
      <w:r>
        <w:t>Filtration rating.</w:t>
      </w:r>
    </w:p>
    <w:p>
      <w:pPr>
        <w:pStyle w:val="ListBullet"/>
      </w:pPr>
      <w:r>
        <w:t>Flow capacity.</w:t>
      </w:r>
    </w:p>
    <w:p>
      <w:pPr>
        <w:pStyle w:val="ListBullet"/>
      </w:pPr>
      <w:r>
        <w:t>Chemical compatibility.</w:t>
      </w:r>
    </w:p>
    <w:p>
      <w:pPr>
        <w:pStyle w:val="ListBullet"/>
      </w:pPr>
      <w:r>
        <w:t>Seal dimensions.</w:t>
      </w:r>
    </w:p>
    <w:p>
      <w:pPr>
        <w:pStyle w:val="ListBullet"/>
      </w:pPr>
      <w:r>
        <w:t>Lubricant specification and equipment approval.</w:t>
      </w:r>
    </w:p>
    <w:p>
      <w:r>
        <w:t>Do not substitute a fluid, lubricant, or seal based solely on a similar trade name.</w:t>
      </w:r>
    </w:p>
    <w:p>
      <w:pPr>
        <w:pStyle w:val="Heading2"/>
      </w:pPr>
      <w:r>
        <w:t>10. Alternate Part Approval Process</w:t>
      </w:r>
    </w:p>
    <w:p>
      <w:pPr>
        <w:shd w:val="clear" w:color="auto" w:fill="F4F4F4"/>
        <w:spacing w:before="0" w:after="0" w:line="240" w:lineRule="auto"/>
        <w:ind w:left="216" w:right="216"/>
        <w:jc w:val="left"/>
      </w:pPr>
      <w:r>
        <w:rPr>
          <w:rFonts w:ascii="Consolas" w:hAnsi="Consolas"/>
          <w:color w:val="202020"/>
          <w:sz w:val="18"/>
        </w:rPr>
        <w:t>Original Part Unavailable or Unsuitable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Identify the Exact Original Part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Define Mandatory Application Requirements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Identify Candidate Alternate Parts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Compare Datasheets and Manufacturer Documentation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Screen Electrical, Mechanical, Software, and Safety Compatibility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Conduct Risk Assessment and Engineering Review</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Bench Test or Controlled Trial, Where Required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Approve, Reject, or Approve with Conditions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Update BOM, SAP, Drawings, and Maintenance Records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Monitor Field Performance</w:t>
      </w:r>
    </w:p>
    <w:p/>
    <w:p>
      <w:r>
        <w:t>The required depth of evaluation depends on risk. A standard noncritical fitting may need a straightforward dimensional and material check, while a PLC, servo drive, or safety controller may require extensive engineering and system validation.</w:t>
      </w:r>
    </w:p>
    <w:p>
      <w:pPr>
        <w:pStyle w:val="Heading2"/>
      </w:pPr>
      <w:r>
        <w:t>11. Required Documentation</w:t>
      </w:r>
    </w:p>
    <w:p>
      <w:r>
        <w:t>An alternate part should not become an uncontrolled replacement simply because it worked once during a breakdown.</w:t>
      </w:r>
    </w:p>
    <w:p>
      <w:r>
        <w:t>Maintain a controlled record containing:</w:t>
      </w:r>
    </w:p>
    <w:p>
      <w:pPr>
        <w:pStyle w:val="ListBullet"/>
      </w:pPr>
      <w:r>
        <w:t>Original part number and manufacturer.</w:t>
      </w:r>
    </w:p>
    <w:p>
      <w:pPr>
        <w:pStyle w:val="ListBullet"/>
      </w:pPr>
      <w:r>
        <w:t>Proposed alternate part number and manufacturer.</w:t>
      </w:r>
    </w:p>
    <w:p>
      <w:pPr>
        <w:pStyle w:val="ListBullet"/>
      </w:pPr>
      <w:r>
        <w:t>Equipment and application.</w:t>
      </w:r>
    </w:p>
    <w:p>
      <w:pPr>
        <w:pStyle w:val="ListBullet"/>
      </w:pPr>
      <w:r>
        <w:t>Reason for substitution.</w:t>
      </w:r>
    </w:p>
    <w:p>
      <w:pPr>
        <w:pStyle w:val="ListBullet"/>
      </w:pPr>
      <w:r>
        <w:t>Comparison of mandatory specifications.</w:t>
      </w:r>
    </w:p>
    <w:p>
      <w:pPr>
        <w:pStyle w:val="ListBullet"/>
      </w:pPr>
      <w:r>
        <w:t>Manufacturer documentation.</w:t>
      </w:r>
    </w:p>
    <w:p>
      <w:pPr>
        <w:pStyle w:val="ListBullet"/>
      </w:pPr>
      <w:r>
        <w:t>Identified differences and limitations.</w:t>
      </w:r>
    </w:p>
    <w:p>
      <w:pPr>
        <w:pStyle w:val="ListBullet"/>
      </w:pPr>
      <w:r>
        <w:t>Risk assessment.</w:t>
      </w:r>
    </w:p>
    <w:p>
      <w:pPr>
        <w:pStyle w:val="ListBullet"/>
      </w:pPr>
      <w:r>
        <w:t>Test and validation results.</w:t>
      </w:r>
    </w:p>
    <w:p>
      <w:pPr>
        <w:pStyle w:val="ListBullet"/>
      </w:pPr>
      <w:r>
        <w:t>Required wiring, parameter, or software changes.</w:t>
      </w:r>
    </w:p>
    <w:p>
      <w:pPr>
        <w:pStyle w:val="ListBullet"/>
      </w:pPr>
      <w:r>
        <w:t>Approval authority and approval date.</w:t>
      </w:r>
    </w:p>
    <w:p>
      <w:pPr>
        <w:pStyle w:val="ListBullet"/>
      </w:pPr>
      <w:r>
        <w:t>Applicable equipment and serial numbers.</w:t>
      </w:r>
    </w:p>
    <w:p>
      <w:pPr>
        <w:pStyle w:val="ListBullet"/>
      </w:pPr>
      <w:r>
        <w:t>Conditions of use.</w:t>
      </w:r>
    </w:p>
    <w:p>
      <w:pPr>
        <w:pStyle w:val="ListBullet"/>
      </w:pPr>
      <w:r>
        <w:t>BOM and inventory updates.</w:t>
      </w:r>
    </w:p>
    <w:p>
      <w:pPr>
        <w:pStyle w:val="ListBullet"/>
      </w:pPr>
      <w:r>
        <w:t>Monitoring or requalification requirements.</w:t>
      </w:r>
    </w:p>
    <w:p>
      <w:r>
        <w:t>A useful record status system is:</w:t>
      </w:r>
    </w:p>
    <w:p>
      <w:pPr>
        <w:pStyle w:val="ListBullet"/>
      </w:pPr>
      <w:r>
        <w:t>Proposed: Identified but not yet approved.</w:t>
      </w:r>
    </w:p>
    <w:p>
      <w:pPr>
        <w:pStyle w:val="ListBullet"/>
      </w:pPr>
      <w:r>
        <w:t>Under evaluation: Technical review or testing is in progress.</w:t>
      </w:r>
    </w:p>
    <w:p>
      <w:pPr>
        <w:pStyle w:val="ListBullet"/>
      </w:pPr>
      <w:r>
        <w:t>Approved: Authorized for the defined application and conditions.</w:t>
      </w:r>
    </w:p>
    <w:p>
      <w:pPr>
        <w:pStyle w:val="ListBullet"/>
      </w:pPr>
      <w:r>
        <w:t>Conditionally approved: Authorized only under explicitly documented restrictions.</w:t>
      </w:r>
    </w:p>
    <w:p>
      <w:pPr>
        <w:pStyle w:val="ListBullet"/>
      </w:pPr>
      <w:r>
        <w:t>Rejected: Not acceptable for the intended application.</w:t>
      </w:r>
    </w:p>
    <w:p>
      <w:pPr>
        <w:pStyle w:val="ListBullet"/>
      </w:pPr>
      <w:r>
        <w:t>Obsolete approval: Previous approval is no longer valid because of a relevant design, product, or application change.</w:t>
      </w:r>
    </w:p>
    <w:p>
      <w:r>
        <w:t>Approval should be application-specific where compatibility is not universal.</w:t>
      </w:r>
    </w:p>
    <w:p>
      <w:pPr>
        <w:pStyle w:val="Heading2"/>
      </w:pPr>
      <w:r>
        <w:t>12. Alternate Parts Register</w:t>
      </w:r>
    </w:p>
    <w:p>
      <w:r>
        <w:t>A controlled alternate-parts register can be maintained in Excel, SAP, or an approved engineering database.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Original Material Number</w:t>
            </w:r>
          </w:p>
        </w:tc>
        <w:tc>
          <w:tcPr>
            <w:tcW w:type="dxa" w:w="5400"/>
          </w:tcPr>
          <w:p>
            <w:pPr>
              <w:spacing w:after="0" w:before="0" w:line="240" w:lineRule="auto"/>
              <w:jc w:val="left"/>
            </w:pPr>
            <w:r>
              <w:t>Internal identity of the original item</w:t>
            </w:r>
          </w:p>
        </w:tc>
      </w:tr>
      <w:tr>
        <w:tc>
          <w:tcPr>
            <w:tcW w:type="dxa" w:w="5400"/>
          </w:tcPr>
          <w:p>
            <w:pPr>
              <w:spacing w:after="0" w:before="0" w:line="240" w:lineRule="auto"/>
              <w:jc w:val="left"/>
            </w:pPr>
            <w:r>
              <w:t>Original Manufacturer Part Number</w:t>
            </w:r>
          </w:p>
        </w:tc>
        <w:tc>
          <w:tcPr>
            <w:tcW w:type="dxa" w:w="5400"/>
          </w:tcPr>
          <w:p>
            <w:pPr>
              <w:spacing w:after="0" w:before="0" w:line="240" w:lineRule="auto"/>
              <w:jc w:val="left"/>
            </w:pPr>
            <w:r>
              <w:t>Original component reference</w:t>
            </w:r>
          </w:p>
        </w:tc>
      </w:tr>
      <w:tr>
        <w:tc>
          <w:tcPr>
            <w:tcW w:type="dxa" w:w="5400"/>
          </w:tcPr>
          <w:p>
            <w:pPr>
              <w:spacing w:after="0" w:before="0" w:line="240" w:lineRule="auto"/>
              <w:jc w:val="left"/>
            </w:pPr>
            <w:r>
              <w:t>Alternate Material Number</w:t>
            </w:r>
          </w:p>
        </w:tc>
        <w:tc>
          <w:tcPr>
            <w:tcW w:type="dxa" w:w="5400"/>
          </w:tcPr>
          <w:p>
            <w:pPr>
              <w:spacing w:after="0" w:before="0" w:line="240" w:lineRule="auto"/>
              <w:jc w:val="left"/>
            </w:pPr>
            <w:r>
              <w:t>Internal identity of the proposed replacement</w:t>
            </w:r>
          </w:p>
        </w:tc>
      </w:tr>
      <w:tr>
        <w:tc>
          <w:tcPr>
            <w:tcW w:type="dxa" w:w="5400"/>
          </w:tcPr>
          <w:p>
            <w:pPr>
              <w:spacing w:after="0" w:before="0" w:line="240" w:lineRule="auto"/>
              <w:jc w:val="left"/>
            </w:pPr>
            <w:r>
              <w:t>Alternate Manufacturer Part Number</w:t>
            </w:r>
          </w:p>
        </w:tc>
        <w:tc>
          <w:tcPr>
            <w:tcW w:type="dxa" w:w="5400"/>
          </w:tcPr>
          <w:p>
            <w:pPr>
              <w:spacing w:after="0" w:before="0" w:line="240" w:lineRule="auto"/>
              <w:jc w:val="left"/>
            </w:pPr>
            <w:r>
              <w:t>Replacement component reference</w:t>
            </w:r>
          </w:p>
        </w:tc>
      </w:tr>
      <w:tr>
        <w:tc>
          <w:tcPr>
            <w:tcW w:type="dxa" w:w="5400"/>
          </w:tcPr>
          <w:p>
            <w:pPr>
              <w:spacing w:after="0" w:before="0" w:line="240" w:lineRule="auto"/>
              <w:jc w:val="left"/>
            </w:pPr>
            <w:r>
              <w:t>Equipment ID</w:t>
            </w:r>
          </w:p>
        </w:tc>
        <w:tc>
          <w:tcPr>
            <w:tcW w:type="dxa" w:w="5400"/>
          </w:tcPr>
          <w:p>
            <w:pPr>
              <w:spacing w:after="0" w:before="0" w:line="240" w:lineRule="auto"/>
              <w:jc w:val="left"/>
            </w:pPr>
            <w:r>
              <w:t>Equipment where use is approved</w:t>
            </w:r>
          </w:p>
        </w:tc>
      </w:tr>
      <w:tr>
        <w:tc>
          <w:tcPr>
            <w:tcW w:type="dxa" w:w="5400"/>
          </w:tcPr>
          <w:p>
            <w:pPr>
              <w:spacing w:after="0" w:before="0" w:line="240" w:lineRule="auto"/>
              <w:jc w:val="left"/>
            </w:pPr>
            <w:r>
              <w:t>Application</w:t>
            </w:r>
          </w:p>
        </w:tc>
        <w:tc>
          <w:tcPr>
            <w:tcW w:type="dxa" w:w="5400"/>
          </w:tcPr>
          <w:p>
            <w:pPr>
              <w:spacing w:after="0" w:before="0" w:line="240" w:lineRule="auto"/>
              <w:jc w:val="left"/>
            </w:pPr>
            <w:r>
              <w:t>Function performed by the component</w:t>
            </w:r>
          </w:p>
        </w:tc>
      </w:tr>
      <w:tr>
        <w:tc>
          <w:tcPr>
            <w:tcW w:type="dxa" w:w="5400"/>
          </w:tcPr>
          <w:p>
            <w:pPr>
              <w:spacing w:after="0" w:before="0" w:line="240" w:lineRule="auto"/>
              <w:jc w:val="left"/>
            </w:pPr>
            <w:r>
              <w:t>Compatibility Status</w:t>
            </w:r>
          </w:p>
        </w:tc>
        <w:tc>
          <w:tcPr>
            <w:tcW w:type="dxa" w:w="5400"/>
          </w:tcPr>
          <w:p>
            <w:pPr>
              <w:spacing w:after="0" w:before="0" w:line="240" w:lineRule="auto"/>
              <w:jc w:val="left"/>
            </w:pPr>
            <w:r>
              <w:t>Proposed, approved, conditional, or rejected</w:t>
            </w:r>
          </w:p>
        </w:tc>
      </w:tr>
      <w:tr>
        <w:tc>
          <w:tcPr>
            <w:tcW w:type="dxa" w:w="5400"/>
          </w:tcPr>
          <w:p>
            <w:pPr>
              <w:spacing w:after="0" w:before="0" w:line="240" w:lineRule="auto"/>
              <w:jc w:val="left"/>
            </w:pPr>
            <w:r>
              <w:t>Technical Differences</w:t>
            </w:r>
          </w:p>
        </w:tc>
        <w:tc>
          <w:tcPr>
            <w:tcW w:type="dxa" w:w="5400"/>
          </w:tcPr>
          <w:p>
            <w:pPr>
              <w:spacing w:after="0" w:before="0" w:line="240" w:lineRule="auto"/>
              <w:jc w:val="left"/>
            </w:pPr>
            <w:r>
              <w:t>Differences requiring evaluation</w:t>
            </w:r>
          </w:p>
        </w:tc>
      </w:tr>
      <w:tr>
        <w:tc>
          <w:tcPr>
            <w:tcW w:type="dxa" w:w="5400"/>
          </w:tcPr>
          <w:p>
            <w:pPr>
              <w:spacing w:after="0" w:before="0" w:line="240" w:lineRule="auto"/>
              <w:jc w:val="left"/>
            </w:pPr>
            <w:r>
              <w:t>Required Modifications</w:t>
            </w:r>
          </w:p>
        </w:tc>
        <w:tc>
          <w:tcPr>
            <w:tcW w:type="dxa" w:w="5400"/>
          </w:tcPr>
          <w:p>
            <w:pPr>
              <w:spacing w:after="0" w:before="0" w:line="240" w:lineRule="auto"/>
              <w:jc w:val="left"/>
            </w:pPr>
            <w:r>
              <w:t>Wiring, mounting, software, or parameter changes</w:t>
            </w:r>
          </w:p>
        </w:tc>
      </w:tr>
      <w:tr>
        <w:tc>
          <w:tcPr>
            <w:tcW w:type="dxa" w:w="5400"/>
          </w:tcPr>
          <w:p>
            <w:pPr>
              <w:spacing w:after="0" w:before="0" w:line="240" w:lineRule="auto"/>
              <w:jc w:val="left"/>
            </w:pPr>
            <w:r>
              <w:t>Validation Evidence</w:t>
            </w:r>
          </w:p>
        </w:tc>
        <w:tc>
          <w:tcPr>
            <w:tcW w:type="dxa" w:w="5400"/>
          </w:tcPr>
          <w:p>
            <w:pPr>
              <w:spacing w:after="0" w:before="0" w:line="240" w:lineRule="auto"/>
              <w:jc w:val="left"/>
            </w:pPr>
            <w:r>
              <w:t>Test reports and technical documents</w:t>
            </w:r>
          </w:p>
        </w:tc>
      </w:tr>
      <w:tr>
        <w:tc>
          <w:tcPr>
            <w:tcW w:type="dxa" w:w="5400"/>
          </w:tcPr>
          <w:p>
            <w:pPr>
              <w:spacing w:after="0" w:before="0" w:line="240" w:lineRule="auto"/>
              <w:jc w:val="left"/>
            </w:pPr>
            <w:r>
              <w:t>Approval Authority</w:t>
            </w:r>
          </w:p>
        </w:tc>
        <w:tc>
          <w:tcPr>
            <w:tcW w:type="dxa" w:w="5400"/>
          </w:tcPr>
          <w:p>
            <w:pPr>
              <w:spacing w:after="0" w:before="0" w:line="240" w:lineRule="auto"/>
              <w:jc w:val="left"/>
            </w:pPr>
            <w:r>
              <w:t>Responsible technical approver</w:t>
            </w:r>
          </w:p>
        </w:tc>
      </w:tr>
      <w:tr>
        <w:tc>
          <w:tcPr>
            <w:tcW w:type="dxa" w:w="5400"/>
          </w:tcPr>
          <w:p>
            <w:pPr>
              <w:spacing w:after="0" w:before="0" w:line="240" w:lineRule="auto"/>
              <w:jc w:val="left"/>
            </w:pPr>
            <w:r>
              <w:t>Approval Date</w:t>
            </w:r>
          </w:p>
        </w:tc>
        <w:tc>
          <w:tcPr>
            <w:tcW w:type="dxa" w:w="5400"/>
          </w:tcPr>
          <w:p>
            <w:pPr>
              <w:spacing w:after="0" w:before="0" w:line="240" w:lineRule="auto"/>
              <w:jc w:val="left"/>
            </w:pPr>
            <w:r>
              <w:t>Date of authorization</w:t>
            </w:r>
          </w:p>
        </w:tc>
      </w:tr>
      <w:tr>
        <w:tc>
          <w:tcPr>
            <w:tcW w:type="dxa" w:w="5400"/>
          </w:tcPr>
          <w:p>
            <w:pPr>
              <w:spacing w:after="0" w:before="0" w:line="240" w:lineRule="auto"/>
              <w:jc w:val="left"/>
            </w:pPr>
            <w:r>
              <w:t>Conditions of Use</w:t>
            </w:r>
          </w:p>
        </w:tc>
        <w:tc>
          <w:tcPr>
            <w:tcW w:type="dxa" w:w="5400"/>
          </w:tcPr>
          <w:p>
            <w:pPr>
              <w:spacing w:after="0" w:before="0" w:line="240" w:lineRule="auto"/>
              <w:jc w:val="left"/>
            </w:pPr>
            <w:r>
              <w:t>Restrictions and application boundaries</w:t>
            </w:r>
          </w:p>
        </w:tc>
      </w:tr>
      <w:tr>
        <w:tc>
          <w:tcPr>
            <w:tcW w:type="dxa" w:w="5400"/>
          </w:tcPr>
          <w:p>
            <w:pPr>
              <w:spacing w:after="0" w:before="0" w:line="240" w:lineRule="auto"/>
              <w:jc w:val="left"/>
            </w:pPr>
            <w:r>
              <w:t>Supplier</w:t>
            </w:r>
          </w:p>
        </w:tc>
        <w:tc>
          <w:tcPr>
            <w:tcW w:type="dxa" w:w="5400"/>
          </w:tcPr>
          <w:p>
            <w:pPr>
              <w:spacing w:after="0" w:before="0" w:line="240" w:lineRule="auto"/>
              <w:jc w:val="left"/>
            </w:pPr>
            <w:r>
              <w:t>Approved supply source</w:t>
            </w:r>
          </w:p>
        </w:tc>
      </w:tr>
      <w:tr>
        <w:tc>
          <w:tcPr>
            <w:tcW w:type="dxa" w:w="5400"/>
          </w:tcPr>
          <w:p>
            <w:pPr>
              <w:spacing w:after="0" w:before="0" w:line="240" w:lineRule="auto"/>
              <w:jc w:val="left"/>
            </w:pPr>
            <w:r>
              <w:t>Lifecycle Status</w:t>
            </w:r>
          </w:p>
        </w:tc>
        <w:tc>
          <w:tcPr>
            <w:tcW w:type="dxa" w:w="5400"/>
          </w:tcPr>
          <w:p>
            <w:pPr>
              <w:spacing w:after="0" w:before="0" w:line="240" w:lineRule="auto"/>
              <w:jc w:val="left"/>
            </w:pPr>
            <w:r>
              <w:t>Active, EOL, or discontinued</w:t>
            </w:r>
          </w:p>
        </w:tc>
      </w:tr>
      <w:tr>
        <w:tc>
          <w:tcPr>
            <w:tcW w:type="dxa" w:w="5400"/>
          </w:tcPr>
          <w:p>
            <w:pPr>
              <w:spacing w:after="0" w:before="0" w:line="240" w:lineRule="auto"/>
              <w:jc w:val="left"/>
            </w:pPr>
            <w:r>
              <w:t>Review Trigger</w:t>
            </w:r>
          </w:p>
        </w:tc>
        <w:tc>
          <w:tcPr>
            <w:tcW w:type="dxa" w:w="5400"/>
          </w:tcPr>
          <w:p>
            <w:pPr>
              <w:spacing w:after="0" w:before="0" w:line="240" w:lineRule="auto"/>
              <w:jc w:val="left"/>
            </w:pPr>
            <w:r>
              <w:t>Conditions requiring reassessment</w:t>
            </w:r>
          </w:p>
        </w:tc>
      </w:tr>
    </w:tbl>
    <w:p/>
    <w:p>
      <w:r>
        <w:t>Use unique material identifiers and maintain a clear relationship between original and alternate part numbers. A free-text note buried in a breakdown report is not a reliable substitute for a controlled register.</w:t>
      </w:r>
    </w:p>
    <w:p>
      <w:pPr>
        <w:pStyle w:val="Heading2"/>
      </w:pPr>
      <w:r>
        <w:t>13. SAP and BOM Integration</w:t>
      </w:r>
    </w:p>
    <w:p>
      <w:r>
        <w:t>Once an alternate is approved, the inventory and engineering systems must reflect the decision.</w:t>
      </w:r>
    </w:p>
    <w:p>
      <w:r>
        <w:t>Depending on SAP configuration and engineering processes, updates may include:</w:t>
      </w:r>
    </w:p>
    <w:p>
      <w:pPr>
        <w:pStyle w:val="ListBullet"/>
      </w:pPr>
      <w:r>
        <w:t>Material master data.</w:t>
      </w:r>
    </w:p>
    <w:p>
      <w:pPr>
        <w:pStyle w:val="ListBullet"/>
      </w:pPr>
      <w:r>
        <w:t>Approved manufacturer part numbers.</w:t>
      </w:r>
    </w:p>
    <w:p>
      <w:pPr>
        <w:pStyle w:val="ListBullet"/>
      </w:pPr>
      <w:r>
        <w:t>Supplier or source information.</w:t>
      </w:r>
    </w:p>
    <w:p>
      <w:pPr>
        <w:pStyle w:val="ListBullet"/>
      </w:pPr>
      <w:r>
        <w:t>Material cross-references.</w:t>
      </w:r>
    </w:p>
    <w:p>
      <w:pPr>
        <w:pStyle w:val="ListBullet"/>
      </w:pPr>
      <w:r>
        <w:t>Equipment BOM or maintenance BOM.</w:t>
      </w:r>
    </w:p>
    <w:p>
      <w:pPr>
        <w:pStyle w:val="ListBullet"/>
      </w:pPr>
      <w:r>
        <w:t>Reservations and material planning.</w:t>
      </w:r>
    </w:p>
    <w:p>
      <w:pPr>
        <w:pStyle w:val="ListBullet"/>
      </w:pPr>
      <w:r>
        <w:t>Approved substitution instructions.</w:t>
      </w:r>
    </w:p>
    <w:p>
      <w:pPr>
        <w:pStyle w:val="ListBullet"/>
      </w:pPr>
      <w:r>
        <w:t>Stock location and quantity.</w:t>
      </w:r>
    </w:p>
    <w:p>
      <w:pPr>
        <w:pStyle w:val="ListBullet"/>
      </w:pPr>
      <w:r>
        <w:t>Lifecycle and procurement notes.</w:t>
      </w:r>
    </w:p>
    <w:p>
      <w:pPr>
        <w:pStyle w:val="ListBullet"/>
      </w:pPr>
      <w:r>
        <w:t>Relevant maintenance task lists or work instructions.</w:t>
      </w:r>
    </w:p>
    <w:p>
      <w:r>
        <w:t>Important: Approval of an alternate part does not automatically authorize replacing the original material number everywhere. The alternate may be valid for only one machine, one revision, one operating condition, or one defined repair.</w:t>
      </w:r>
    </w:p>
    <w:p>
      <w:r>
        <w:t>Where separate material numbers are necessary for traceability, do not merge them merely to simplify inventory reporting.</w:t>
      </w:r>
    </w:p>
    <w:p>
      <w:pPr>
        <w:pStyle w:val="Heading2"/>
      </w:pPr>
      <w:r>
        <w:t>14. Testing and Validation</w:t>
      </w:r>
    </w:p>
    <w:p>
      <w:r>
        <w:t>Testing should be selected according to the risks and technical characteristics of the replacement.</w:t>
      </w:r>
    </w:p>
    <w:p>
      <w:pPr>
        <w:pStyle w:val="Heading3"/>
      </w:pPr>
      <w:r>
        <w:t>14.1 Document review</w:t>
      </w:r>
    </w:p>
    <w:p>
      <w:r>
        <w:t>Verify datasheets, ratings, wiring diagrams, manufacturer compatibility statements, certificates, and installation requirements.</w:t>
      </w:r>
    </w:p>
    <w:p>
      <w:pPr>
        <w:pStyle w:val="Heading3"/>
      </w:pPr>
      <w:r>
        <w:t>14.2 Bench testing</w:t>
      </w:r>
    </w:p>
    <w:p>
      <w:r>
        <w:t>Where appropriate, test the component outside the machine to verify its basic electrical, mechanical, or functional characteristics.</w:t>
      </w:r>
    </w:p>
    <w:p>
      <w:r>
        <w:t>Examples include:</w:t>
      </w:r>
    </w:p>
    <w:p>
      <w:pPr>
        <w:pStyle w:val="ListBullet"/>
      </w:pPr>
      <w:r>
        <w:t>Sensor switching behavior.</w:t>
      </w:r>
    </w:p>
    <w:p>
      <w:pPr>
        <w:pStyle w:val="ListBullet"/>
      </w:pPr>
      <w:r>
        <w:t>Power supply output and protection.</w:t>
      </w:r>
    </w:p>
    <w:p>
      <w:pPr>
        <w:pStyle w:val="ListBullet"/>
      </w:pPr>
      <w:r>
        <w:t>Relay contact operation.</w:t>
      </w:r>
    </w:p>
    <w:p>
      <w:pPr>
        <w:pStyle w:val="ListBullet"/>
      </w:pPr>
      <w:r>
        <w:t>Communication module diagnostics.</w:t>
      </w:r>
    </w:p>
    <w:p>
      <w:pPr>
        <w:pStyle w:val="ListBullet"/>
      </w:pPr>
      <w:r>
        <w:t>Drive power-up and fault status under approved test conditions.</w:t>
      </w:r>
    </w:p>
    <w:p>
      <w:r>
        <w:t>Bench testing cannot establish every aspect of system-level compatibility.</w:t>
      </w:r>
    </w:p>
    <w:p>
      <w:pPr>
        <w:pStyle w:val="Heading3"/>
      </w:pPr>
      <w:r>
        <w:t>14.3 Controlled machine trial</w:t>
      </w:r>
    </w:p>
    <w:p>
      <w:r>
        <w:t>Where required, test the replacement in a controlled and approved machine condition.</w:t>
      </w:r>
    </w:p>
    <w:p>
      <w:r>
        <w:t>Possible checks include:</w:t>
      </w:r>
    </w:p>
    <w:p>
      <w:pPr>
        <w:pStyle w:val="ListBullet"/>
      </w:pPr>
      <w:r>
        <w:t>Input and output operation.</w:t>
      </w:r>
    </w:p>
    <w:p>
      <w:pPr>
        <w:pStyle w:val="ListBullet"/>
      </w:pPr>
      <w:r>
        <w:t>Sequence and interlock behavior.</w:t>
      </w:r>
    </w:p>
    <w:p>
      <w:pPr>
        <w:pStyle w:val="ListBullet"/>
      </w:pPr>
      <w:r>
        <w:t>Alarm and diagnostic response.</w:t>
      </w:r>
    </w:p>
    <w:p>
      <w:pPr>
        <w:pStyle w:val="ListBullet"/>
      </w:pPr>
      <w:r>
        <w:t>Timing and repeatability.</w:t>
      </w:r>
    </w:p>
    <w:p>
      <w:pPr>
        <w:pStyle w:val="ListBullet"/>
      </w:pPr>
      <w:r>
        <w:t>Communication stability.</w:t>
      </w:r>
    </w:p>
    <w:p>
      <w:pPr>
        <w:pStyle w:val="ListBullet"/>
      </w:pPr>
      <w:r>
        <w:t>Performance under expected loads.</w:t>
      </w:r>
    </w:p>
    <w:p>
      <w:pPr>
        <w:pStyle w:val="ListBullet"/>
      </w:pPr>
      <w:r>
        <w:t>Recovery after a power cycle.</w:t>
      </w:r>
    </w:p>
    <w:p>
      <w:pPr>
        <w:pStyle w:val="ListBullet"/>
      </w:pPr>
      <w:r>
        <w:t>Required safety-function validation.</w:t>
      </w:r>
    </w:p>
    <w:p>
      <w:r>
        <w:t>Use approved test procedures and ensure appropriate isolation, authorization, and safety controls.</w:t>
      </w:r>
    </w:p>
    <w:p>
      <w:pPr>
        <w:pStyle w:val="Heading3"/>
      </w:pPr>
      <w:r>
        <w:t>14.4 Acceptance criteria</w:t>
      </w:r>
    </w:p>
    <w:p>
      <w:r>
        <w:t>Define measurable criteria before testing.</w:t>
      </w:r>
    </w:p>
    <w:p>
      <w:r>
        <w:t>Examples include:</w:t>
      </w:r>
    </w:p>
    <w:p>
      <w:pPr>
        <w:pStyle w:val="ListBullet"/>
      </w:pPr>
      <w:r>
        <w:t>Correct output state for specified input conditions.</w:t>
      </w:r>
    </w:p>
    <w:p>
      <w:pPr>
        <w:pStyle w:val="ListBullet"/>
      </w:pPr>
      <w:r>
        <w:t>Measured output within defined tolerance.</w:t>
      </w:r>
    </w:p>
    <w:p>
      <w:pPr>
        <w:pStyle w:val="ListBullet"/>
      </w:pPr>
      <w:r>
        <w:t>No unexpected diagnostic faults.</w:t>
      </w:r>
    </w:p>
    <w:p>
      <w:pPr>
        <w:pStyle w:val="ListBullet"/>
      </w:pPr>
      <w:r>
        <w:t>Required communication stability.</w:t>
      </w:r>
    </w:p>
    <w:p>
      <w:pPr>
        <w:pStyle w:val="ListBullet"/>
      </w:pPr>
      <w:r>
        <w:t>Correct operation across the defined operating range.</w:t>
      </w:r>
    </w:p>
    <w:p>
      <w:pPr>
        <w:pStyle w:val="ListBullet"/>
      </w:pPr>
      <w:r>
        <w:t>Completion of required safety validation.</w:t>
      </w:r>
    </w:p>
    <w:p>
      <w:r>
        <w:t>Testing without predetermined acceptance criteria tends to turn into the scientific method's less useful cousin: "It seemed fine."</w:t>
      </w:r>
    </w:p>
    <w:p>
      <w:pPr>
        <w:pStyle w:val="Heading2"/>
      </w:pPr>
      <w:r>
        <w:t>15. Interchangeability Matrix</w:t>
      </w:r>
    </w:p>
    <w:p>
      <w:r>
        <w:t>An interchangeability matrix defines whether two parts can replace each other and under what conditions.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Relationship</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Required action</w:t>
            </w:r>
          </w:p>
        </w:tc>
      </w:tr>
      <w:tr>
        <w:tc>
          <w:tcPr>
            <w:tcW w:type="dxa" w:w="3600"/>
          </w:tcPr>
          <w:p>
            <w:pPr>
              <w:spacing w:after="0" w:before="0" w:line="240" w:lineRule="auto"/>
              <w:jc w:val="left"/>
            </w:pPr>
            <w:r>
              <w:t>Directly interchangeable</w:t>
            </w:r>
          </w:p>
        </w:tc>
        <w:tc>
          <w:tcPr>
            <w:tcW w:type="dxa" w:w="3600"/>
          </w:tcPr>
          <w:p>
            <w:pPr>
              <w:spacing w:after="0" w:before="0" w:line="240" w:lineRule="auto"/>
              <w:jc w:val="left"/>
            </w:pPr>
            <w:r>
              <w:t>Either part can be used in the defined application under documented conditions</w:t>
            </w:r>
          </w:p>
        </w:tc>
        <w:tc>
          <w:tcPr>
            <w:tcW w:type="dxa" w:w="3600"/>
          </w:tcPr>
          <w:p>
            <w:pPr>
              <w:spacing w:after="0" w:before="0" w:line="240" w:lineRule="auto"/>
              <w:jc w:val="left"/>
            </w:pPr>
            <w:r>
              <w:t>Record approval and application scope</w:t>
            </w:r>
          </w:p>
        </w:tc>
      </w:tr>
      <w:tr>
        <w:tc>
          <w:tcPr>
            <w:tcW w:type="dxa" w:w="3600"/>
          </w:tcPr>
          <w:p>
            <w:pPr>
              <w:spacing w:after="0" w:before="0" w:line="240" w:lineRule="auto"/>
              <w:jc w:val="left"/>
            </w:pPr>
            <w:r>
              <w:t>One-way interchangeable</w:t>
            </w:r>
          </w:p>
        </w:tc>
        <w:tc>
          <w:tcPr>
            <w:tcW w:type="dxa" w:w="3600"/>
          </w:tcPr>
          <w:p>
            <w:pPr>
              <w:spacing w:after="0" w:before="0" w:line="240" w:lineRule="auto"/>
              <w:jc w:val="left"/>
            </w:pPr>
            <w:r>
              <w:t>Part B can replace Part A, but Part A cannot necessarily replace Part B</w:t>
            </w:r>
          </w:p>
        </w:tc>
        <w:tc>
          <w:tcPr>
            <w:tcW w:type="dxa" w:w="3600"/>
          </w:tcPr>
          <w:p>
            <w:pPr>
              <w:spacing w:after="0" w:before="0" w:line="240" w:lineRule="auto"/>
              <w:jc w:val="left"/>
            </w:pPr>
            <w:r>
              <w:t>Document replacement direction</w:t>
            </w:r>
          </w:p>
        </w:tc>
      </w:tr>
      <w:tr>
        <w:tc>
          <w:tcPr>
            <w:tcW w:type="dxa" w:w="3600"/>
          </w:tcPr>
          <w:p>
            <w:pPr>
              <w:spacing w:after="0" w:before="0" w:line="240" w:lineRule="auto"/>
              <w:jc w:val="left"/>
            </w:pPr>
            <w:r>
              <w:t>Conditionally interchangeable</w:t>
            </w:r>
          </w:p>
        </w:tc>
        <w:tc>
          <w:tcPr>
            <w:tcW w:type="dxa" w:w="3600"/>
          </w:tcPr>
          <w:p>
            <w:pPr>
              <w:spacing w:after="0" w:before="0" w:line="240" w:lineRule="auto"/>
              <w:jc w:val="left"/>
            </w:pPr>
            <w:r>
              <w:t>Replacement requires specified changes or limitations</w:t>
            </w:r>
          </w:p>
        </w:tc>
        <w:tc>
          <w:tcPr>
            <w:tcW w:type="dxa" w:w="3600"/>
          </w:tcPr>
          <w:p>
            <w:pPr>
              <w:spacing w:after="0" w:before="0" w:line="240" w:lineRule="auto"/>
              <w:jc w:val="left"/>
            </w:pPr>
            <w:r>
              <w:t>Document modifications and conditions</w:t>
            </w:r>
          </w:p>
        </w:tc>
      </w:tr>
      <w:tr>
        <w:tc>
          <w:tcPr>
            <w:tcW w:type="dxa" w:w="3600"/>
          </w:tcPr>
          <w:p>
            <w:pPr>
              <w:spacing w:after="0" w:before="0" w:line="240" w:lineRule="auto"/>
              <w:jc w:val="left"/>
            </w:pPr>
            <w:r>
              <w:t>Functionally similar only</w:t>
            </w:r>
          </w:p>
        </w:tc>
        <w:tc>
          <w:tcPr>
            <w:tcW w:type="dxa" w:w="3600"/>
          </w:tcPr>
          <w:p>
            <w:pPr>
              <w:spacing w:after="0" w:before="0" w:line="240" w:lineRule="auto"/>
              <w:jc w:val="left"/>
            </w:pPr>
            <w:r>
              <w:t>Parts perform a broadly similar function but are not proven interchangeable</w:t>
            </w:r>
          </w:p>
        </w:tc>
        <w:tc>
          <w:tcPr>
            <w:tcW w:type="dxa" w:w="3600"/>
          </w:tcPr>
          <w:p>
            <w:pPr>
              <w:spacing w:after="0" w:before="0" w:line="240" w:lineRule="auto"/>
              <w:jc w:val="left"/>
            </w:pPr>
            <w:r>
              <w:t>Do not treat as an approved substitute</w:t>
            </w:r>
          </w:p>
        </w:tc>
      </w:tr>
      <w:tr>
        <w:tc>
          <w:tcPr>
            <w:tcW w:type="dxa" w:w="3600"/>
          </w:tcPr>
          <w:p>
            <w:pPr>
              <w:spacing w:after="0" w:before="0" w:line="240" w:lineRule="auto"/>
              <w:jc w:val="left"/>
            </w:pPr>
            <w:r>
              <w:t>Not interchangeable</w:t>
            </w:r>
          </w:p>
        </w:tc>
        <w:tc>
          <w:tcPr>
            <w:tcW w:type="dxa" w:w="3600"/>
          </w:tcPr>
          <w:p>
            <w:pPr>
              <w:spacing w:after="0" w:before="0" w:line="240" w:lineRule="auto"/>
              <w:jc w:val="left"/>
            </w:pPr>
            <w:r>
              <w:t>One or more mandatory requirements are not met</w:t>
            </w:r>
          </w:p>
        </w:tc>
        <w:tc>
          <w:tcPr>
            <w:tcW w:type="dxa" w:w="3600"/>
          </w:tcPr>
          <w:p>
            <w:pPr>
              <w:spacing w:after="0" w:before="0" w:line="240" w:lineRule="auto"/>
              <w:jc w:val="left"/>
            </w:pPr>
            <w:r>
              <w:t>Reject for the intended application</w:t>
            </w:r>
          </w:p>
        </w:tc>
      </w:tr>
      <w:tr>
        <w:tc>
          <w:tcPr>
            <w:tcW w:type="dxa" w:w="3600"/>
          </w:tcPr>
          <w:p>
            <w:pPr>
              <w:spacing w:after="0" w:before="0" w:line="240" w:lineRule="auto"/>
              <w:jc w:val="left"/>
            </w:pPr>
            <w:r>
              <w:t>Under evaluation</w:t>
            </w:r>
          </w:p>
        </w:tc>
        <w:tc>
          <w:tcPr>
            <w:tcW w:type="dxa" w:w="3600"/>
          </w:tcPr>
          <w:p>
            <w:pPr>
              <w:spacing w:after="0" w:before="0" w:line="240" w:lineRule="auto"/>
              <w:jc w:val="left"/>
            </w:pPr>
            <w:r>
              <w:t>Evidence is incomplete</w:t>
            </w:r>
          </w:p>
        </w:tc>
        <w:tc>
          <w:tcPr>
            <w:tcW w:type="dxa" w:w="3600"/>
          </w:tcPr>
          <w:p>
            <w:pPr>
              <w:spacing w:after="0" w:before="0" w:line="240" w:lineRule="auto"/>
              <w:jc w:val="left"/>
            </w:pPr>
            <w:r>
              <w:t>Prevent uncontrolled use until approval</w:t>
            </w:r>
          </w:p>
        </w:tc>
      </w:tr>
    </w:tbl>
    <w:p/>
    <w:p>
      <w:r>
        <w:t>One-way interchangeability is especially important during product migrations. A newer module may support an older application's function while the older module cannot support the newer system's requirements.</w:t>
      </w:r>
    </w:p>
    <w:p>
      <w:pPr>
        <w:pStyle w:val="Heading2"/>
      </w:pPr>
      <w:r>
        <w:t>16. Cost and Risk Evaluation</w:t>
      </w:r>
    </w:p>
    <w:p>
      <w:r>
        <w:t>A replacement decision should consider more than unit price.</w:t>
      </w:r>
    </w:p>
    <w:p>
      <w:r>
        <w:t>A simplified total-cost model is:</w:t>
      </w:r>
    </w:p>
    <w:p>
      <w:pPr>
        <w:spacing w:before="120" w:after="160"/>
        <w:jc w:val="center"/>
      </w:pPr>
      <m:oMathPara>
        <m:oMath>
          <m:sSub>
            <m:e>
              <m:r>
                <m:t>C</m:t>
              </m:r>
            </m:e>
            <m:sub>
              <m:r>
                <m:rPr>
                  <m:nor/>
                </m:rPr>
                <m:t>total</m:t>
              </m:r>
            </m:sub>
          </m:sSub>
          <m:r>
            <m:t>=</m:t>
          </m:r>
          <m:sSub>
            <m:e>
              <m:r>
                <m:t>C</m:t>
              </m:r>
            </m:e>
            <m:sub>
              <m:r>
                <m:rPr>
                  <m:nor/>
                </m:rPr>
                <m:t>purchase</m:t>
              </m:r>
            </m:sub>
          </m:sSub>
          <m:r>
            <m:t>+</m:t>
          </m:r>
          <m:sSub>
            <m:e>
              <m:r>
                <m:t>C</m:t>
              </m:r>
            </m:e>
            <m:sub>
              <m:r>
                <m:rPr>
                  <m:nor/>
                </m:rPr>
                <m:t>modification</m:t>
              </m:r>
            </m:sub>
          </m:sSub>
          <m:r>
            <m:t>+</m:t>
          </m:r>
          <m:sSub>
            <m:e>
              <m:r>
                <m:t>C</m:t>
              </m:r>
            </m:e>
            <m:sub>
              <m:r>
                <m:rPr>
                  <m:nor/>
                </m:rPr>
                <m:t>validation</m:t>
              </m:r>
            </m:sub>
          </m:sSub>
          <m:r>
            <m:t>+</m:t>
          </m:r>
          <m:sSub>
            <m:e>
              <m:r>
                <m:t>C</m:t>
              </m:r>
            </m:e>
            <m:sub>
              <m:r>
                <m:rPr>
                  <m:nor/>
                </m:rPr>
                <m:t>inventory</m:t>
              </m:r>
            </m:sub>
          </m:sSub>
          <m:r>
            <m:t>+</m:t>
          </m:r>
          <m:sSub>
            <m:e>
              <m:r>
                <m:t>C</m:t>
              </m:r>
            </m:e>
            <m:sub>
              <m:r>
                <m:rPr>
                  <m:nor/>
                </m:rPr>
                <m:t>expected failure</m:t>
              </m:r>
            </m:sub>
          </m:sSub>
        </m:oMath>
      </m:oMathPara>
    </w:p>
    <w:p>
      <w:r>
        <w:t>The model is conceptual. The expected-failure term requires defensible probability and consequence estimates, not invented numbers.</w:t>
      </w:r>
    </w:p>
    <w:p>
      <w:r>
        <w:t>Evaluate:</w:t>
      </w:r>
    </w:p>
    <w:p>
      <w:pPr>
        <w:pStyle w:val="ListBullet"/>
      </w:pPr>
      <w:r>
        <w:t>Purchase price.</w:t>
      </w:r>
    </w:p>
    <w:p>
      <w:pPr>
        <w:pStyle w:val="ListBullet"/>
      </w:pPr>
      <w:r>
        <w:t>Delivery time.</w:t>
      </w:r>
    </w:p>
    <w:p>
      <w:pPr>
        <w:pStyle w:val="ListBullet"/>
      </w:pPr>
      <w:r>
        <w:t>Installation and modification effort.</w:t>
      </w:r>
    </w:p>
    <w:p>
      <w:pPr>
        <w:pStyle w:val="ListBullet"/>
      </w:pPr>
      <w:r>
        <w:t>Engineering and testing cost.</w:t>
      </w:r>
    </w:p>
    <w:p>
      <w:pPr>
        <w:pStyle w:val="ListBullet"/>
      </w:pPr>
      <w:r>
        <w:t>Required training and software.</w:t>
      </w:r>
    </w:p>
    <w:p>
      <w:pPr>
        <w:pStyle w:val="ListBullet"/>
      </w:pPr>
      <w:r>
        <w:t>Downtime exposure.</w:t>
      </w:r>
    </w:p>
    <w:p>
      <w:pPr>
        <w:pStyle w:val="ListBullet"/>
      </w:pPr>
      <w:r>
        <w:t>Warranty and repair support.</w:t>
      </w:r>
    </w:p>
    <w:p>
      <w:pPr>
        <w:pStyle w:val="ListBullet"/>
      </w:pPr>
      <w:r>
        <w:t>Lifecycle availability.</w:t>
      </w:r>
    </w:p>
    <w:p>
      <w:pPr>
        <w:pStyle w:val="ListBullet"/>
      </w:pPr>
      <w:r>
        <w:t>Future migration cost.</w:t>
      </w:r>
    </w:p>
    <w:p>
      <w:pPr>
        <w:pStyle w:val="ListBullet"/>
      </w:pPr>
      <w:r>
        <w:t>Safety and quality implications.</w:t>
      </w:r>
    </w:p>
    <w:p>
      <w:r>
        <w:t>For critical equipment, a more expensive approved component may offer lower total operational risk than an unverified low-cost alternative.</w:t>
      </w:r>
    </w:p>
    <w:p>
      <w:pPr>
        <w:pStyle w:val="Heading2"/>
      </w:pPr>
      <w:r>
        <w:t>17. Practical Industrial Examples</w:t>
      </w:r>
    </w:p>
    <w:p>
      <w:pPr>
        <w:pStyle w:val="Heading3"/>
      </w:pPr>
      <w:r>
        <w:t>Example 1: Proximity sensor</w:t>
      </w:r>
    </w:p>
    <w:p>
      <w:r>
        <w:t>Original sensor:</w:t>
      </w:r>
    </w:p>
    <w:p>
      <w:pPr>
        <w:pStyle w:val="ListBullet"/>
      </w:pPr>
      <w:r>
        <w:t>24 V DC supply.</w:t>
      </w:r>
    </w:p>
    <w:p>
      <w:pPr>
        <w:pStyle w:val="ListBullet"/>
      </w:pPr>
      <w:r>
        <w:t>PNP output.</w:t>
      </w:r>
    </w:p>
    <w:p>
      <w:pPr>
        <w:pStyle w:val="ListBullet"/>
      </w:pPr>
      <w:r>
        <w:t>Normally open switching.</w:t>
      </w:r>
    </w:p>
    <w:p>
      <w:pPr>
        <w:pStyle w:val="ListBullet"/>
      </w:pPr>
      <w:r>
        <w:t>Specified sensing distance.</w:t>
      </w:r>
    </w:p>
    <w:p>
      <w:pPr>
        <w:pStyle w:val="ListBullet"/>
      </w:pPr>
      <w:r>
        <w:t>M12 connector.</w:t>
      </w:r>
    </w:p>
    <w:p>
      <w:r>
        <w:t>Proposed alternate:</w:t>
      </w:r>
    </w:p>
    <w:p>
      <w:pPr>
        <w:pStyle w:val="ListBullet"/>
      </w:pPr>
      <w:r>
        <w:t>24 V DC supply.</w:t>
      </w:r>
    </w:p>
    <w:p>
      <w:pPr>
        <w:pStyle w:val="ListBullet"/>
      </w:pPr>
      <w:r>
        <w:t>NPN output.</w:t>
      </w:r>
    </w:p>
    <w:p>
      <w:pPr>
        <w:pStyle w:val="ListBullet"/>
      </w:pPr>
      <w:r>
        <w:t>Normally open switching.</w:t>
      </w:r>
    </w:p>
    <w:p>
      <w:pPr>
        <w:pStyle w:val="ListBullet"/>
      </w:pPr>
      <w:r>
        <w:t>Same nominal sensing distance.</w:t>
      </w:r>
    </w:p>
    <w:p>
      <w:pPr>
        <w:pStyle w:val="ListBullet"/>
      </w:pPr>
      <w:r>
        <w:t>M12 connector.</w:t>
      </w:r>
    </w:p>
    <w:p>
      <w:r>
        <w:t>Decision: Not directly interchangeable with the existing PLC input arrangement unless the electrical interface is specifically designed and approved for the alternate output. The matching voltage, connector, and sensing distance do not eliminate the PNP/NPN difference.</w:t>
      </w:r>
    </w:p>
    <w:p>
      <w:pPr>
        <w:pStyle w:val="Heading3"/>
      </w:pPr>
      <w:r>
        <w:t>Example 2: PLC communication adapter</w:t>
      </w:r>
    </w:p>
    <w:p>
      <w:r>
        <w:t>A proposed adapter has the same general network function as the original.</w:t>
      </w:r>
    </w:p>
    <w:p>
      <w:r>
        <w:t>Check:</w:t>
      </w:r>
    </w:p>
    <w:p>
      <w:pPr>
        <w:pStyle w:val="ListBullet"/>
      </w:pPr>
      <w:r>
        <w:t>Controller family.</w:t>
      </w:r>
    </w:p>
    <w:p>
      <w:pPr>
        <w:pStyle w:val="ListBullet"/>
      </w:pPr>
      <w:r>
        <w:t>Chassis and slot compatibility.</w:t>
      </w:r>
    </w:p>
    <w:p>
      <w:pPr>
        <w:pStyle w:val="ListBullet"/>
      </w:pPr>
      <w:r>
        <w:t>Supported firmware.</w:t>
      </w:r>
    </w:p>
    <w:p>
      <w:pPr>
        <w:pStyle w:val="ListBullet"/>
      </w:pPr>
      <w:r>
        <w:t>Network protocol.</w:t>
      </w:r>
    </w:p>
    <w:p>
      <w:pPr>
        <w:pStyle w:val="ListBullet"/>
      </w:pPr>
      <w:r>
        <w:t>Configuration requirements.</w:t>
      </w:r>
    </w:p>
    <w:p>
      <w:pPr>
        <w:pStyle w:val="ListBullet"/>
      </w:pPr>
      <w:r>
        <w:t>Connector and wiring.</w:t>
      </w:r>
    </w:p>
    <w:p>
      <w:pPr>
        <w:pStyle w:val="ListBullet"/>
      </w:pPr>
      <w:r>
        <w:t>Manufacturer's migration documentation.</w:t>
      </w:r>
    </w:p>
    <w:p>
      <w:r>
        <w:t>Decision: Approve only when the complete compatibility requirements are satisfied. Similar product names are not sufficient evidence.</w:t>
      </w:r>
    </w:p>
    <w:p>
      <w:pPr>
        <w:pStyle w:val="Heading3"/>
      </w:pPr>
      <w:r>
        <w:t>Example 3: VFD replacement</w:t>
      </w:r>
    </w:p>
    <w:p>
      <w:r>
        <w:t>A discontinued drive is replaced with a newer model of similar power rating.</w:t>
      </w:r>
    </w:p>
    <w:p>
      <w:r>
        <w:t>Check:</w:t>
      </w:r>
    </w:p>
    <w:p>
      <w:pPr>
        <w:pStyle w:val="ListBullet"/>
      </w:pPr>
      <w:r>
        <w:t>Motor current and duty.</w:t>
      </w:r>
    </w:p>
    <w:p>
      <w:pPr>
        <w:pStyle w:val="ListBullet"/>
      </w:pPr>
      <w:r>
        <w:t>Supply characteristics.</w:t>
      </w:r>
    </w:p>
    <w:p>
      <w:pPr>
        <w:pStyle w:val="ListBullet"/>
      </w:pPr>
      <w:r>
        <w:t>Control mode.</w:t>
      </w:r>
    </w:p>
    <w:p>
      <w:pPr>
        <w:pStyle w:val="ListBullet"/>
      </w:pPr>
      <w:r>
        <w:t>Speed reference and feedback.</w:t>
      </w:r>
    </w:p>
    <w:p>
      <w:pPr>
        <w:pStyle w:val="ListBullet"/>
      </w:pPr>
      <w:r>
        <w:t>Communication interface.</w:t>
      </w:r>
    </w:p>
    <w:p>
      <w:pPr>
        <w:pStyle w:val="ListBullet"/>
      </w:pPr>
      <w:r>
        <w:t>Braking and protection.</w:t>
      </w:r>
    </w:p>
    <w:p>
      <w:pPr>
        <w:pStyle w:val="ListBullet"/>
      </w:pPr>
      <w:r>
        <w:t>Safety functions.</w:t>
      </w:r>
    </w:p>
    <w:p>
      <w:pPr>
        <w:pStyle w:val="ListBullet"/>
      </w:pPr>
      <w:r>
        <w:t>Parameters and commissioning requirements.</w:t>
      </w:r>
    </w:p>
    <w:p>
      <w:r>
        <w:t>Decision: The new drive may be suitable as part of an engineered retrofit, but equal power ratings do not prove direct interchangeability.</w:t>
      </w:r>
    </w:p>
    <w:p>
      <w:pPr>
        <w:pStyle w:val="Heading3"/>
      </w:pPr>
      <w:r>
        <w:t>Example 4: Bearing replacement</w:t>
      </w:r>
    </w:p>
    <w:p>
      <w:r>
        <w:t>A supplier proposes a bearing with the same bore, outside diameter, and width.</w:t>
      </w:r>
    </w:p>
    <w:p>
      <w:r>
        <w:t>Check:</w:t>
      </w:r>
    </w:p>
    <w:p>
      <w:pPr>
        <w:pStyle w:val="ListBullet"/>
      </w:pPr>
      <w:r>
        <w:t>Bearing type.</w:t>
      </w:r>
    </w:p>
    <w:p>
      <w:pPr>
        <w:pStyle w:val="ListBullet"/>
      </w:pPr>
      <w:r>
        <w:t>Dynamic and static load ratings.</w:t>
      </w:r>
    </w:p>
    <w:p>
      <w:pPr>
        <w:pStyle w:val="ListBullet"/>
      </w:pPr>
      <w:r>
        <w:t>Speed limit.</w:t>
      </w:r>
    </w:p>
    <w:p>
      <w:pPr>
        <w:pStyle w:val="ListBullet"/>
      </w:pPr>
      <w:r>
        <w:t>Internal clearance.</w:t>
      </w:r>
    </w:p>
    <w:p>
      <w:pPr>
        <w:pStyle w:val="ListBullet"/>
      </w:pPr>
      <w:r>
        <w:t>Lubrication.</w:t>
      </w:r>
    </w:p>
    <w:p>
      <w:pPr>
        <w:pStyle w:val="ListBullet"/>
      </w:pPr>
      <w:r>
        <w:t>Sealing.</w:t>
      </w:r>
    </w:p>
    <w:p>
      <w:pPr>
        <w:pStyle w:val="ListBullet"/>
      </w:pPr>
      <w:r>
        <w:t>Operating temperature.</w:t>
      </w:r>
    </w:p>
    <w:p>
      <w:r>
        <w:t>Decision: Dimensional equivalence is only an initial screen. The replacement must meet the application's mechanical and operating requirements.</w:t>
      </w:r>
    </w:p>
    <w:p>
      <w:pPr>
        <w:pStyle w:val="Heading3"/>
      </w:pPr>
      <w:r>
        <w:t>Example 5: Safety relay</w:t>
      </w:r>
    </w:p>
    <w:p>
      <w:r>
        <w:t>A replacement safety relay has the same supply voltage and a similar number of contacts.</w:t>
      </w:r>
    </w:p>
    <w:p>
      <w:r>
        <w:t>Check:</w:t>
      </w:r>
    </w:p>
    <w:p>
      <w:pPr>
        <w:pStyle w:val="ListBullet"/>
      </w:pPr>
      <w:r>
        <w:t>Required safety performance.</w:t>
      </w:r>
    </w:p>
    <w:p>
      <w:pPr>
        <w:pStyle w:val="ListBullet"/>
      </w:pPr>
      <w:r>
        <w:t>Approved safety architecture.</w:t>
      </w:r>
    </w:p>
    <w:p>
      <w:pPr>
        <w:pStyle w:val="ListBullet"/>
      </w:pPr>
      <w:r>
        <w:t>Input monitoring behavior.</w:t>
      </w:r>
    </w:p>
    <w:p>
      <w:pPr>
        <w:pStyle w:val="ListBullet"/>
      </w:pPr>
      <w:r>
        <w:t>Reset and feedback circuits.</w:t>
      </w:r>
    </w:p>
    <w:p>
      <w:pPr>
        <w:pStyle w:val="ListBullet"/>
      </w:pPr>
      <w:r>
        <w:t>Output characteristics.</w:t>
      </w:r>
    </w:p>
    <w:p>
      <w:pPr>
        <w:pStyle w:val="ListBullet"/>
      </w:pPr>
      <w:r>
        <w:t>Certification and manufacturer instructions.</w:t>
      </w:r>
    </w:p>
    <w:p>
      <w:pPr>
        <w:pStyle w:val="ListBullet"/>
      </w:pPr>
      <w:r>
        <w:t>System-level validation requirements.</w:t>
      </w:r>
    </w:p>
    <w:p>
      <w:r>
        <w:t>Decision: Do not approve solely from electrical ratings or contact count. Validate the complete safety function.</w:t>
      </w:r>
    </w:p>
    <w:p>
      <w:pPr>
        <w:pStyle w:val="Heading2"/>
      </w:pPr>
      <w:r>
        <w:t>18. Common Mistakes</w:t>
      </w:r>
    </w:p>
    <w:p>
      <w:pPr>
        <w:pStyle w:val="ListBullet"/>
      </w:pPr>
      <w:r>
        <w:t>Treating similar appearance as technical equivalence.</w:t>
      </w:r>
    </w:p>
    <w:p>
      <w:pPr>
        <w:pStyle w:val="ListBullet"/>
      </w:pPr>
      <w:r>
        <w:t>Assuming matching voltage means compatibility.</w:t>
      </w:r>
    </w:p>
    <w:p>
      <w:pPr>
        <w:pStyle w:val="ListBullet"/>
      </w:pPr>
      <w:r>
        <w:t>Ignoring PNP/NPN differences.</w:t>
      </w:r>
    </w:p>
    <w:p>
      <w:pPr>
        <w:pStyle w:val="ListBullet"/>
      </w:pPr>
      <w:r>
        <w:t>Ignoring communication protocols and firmware requirements.</w:t>
      </w:r>
    </w:p>
    <w:p>
      <w:pPr>
        <w:pStyle w:val="ListBullet"/>
      </w:pPr>
      <w:r>
        <w:t>Replacing a safety component without assessing the complete safety function.</w:t>
      </w:r>
    </w:p>
    <w:p>
      <w:pPr>
        <w:pStyle w:val="ListBullet"/>
      </w:pPr>
      <w:r>
        <w:t>Accepting distributor cross-references without engineering review.</w:t>
      </w:r>
    </w:p>
    <w:p>
      <w:pPr>
        <w:pStyle w:val="ListBullet"/>
      </w:pPr>
      <w:r>
        <w:t>Failing to document one-way interchangeability.</w:t>
      </w:r>
    </w:p>
    <w:p>
      <w:pPr>
        <w:pStyle w:val="ListBullet"/>
      </w:pPr>
      <w:r>
        <w:t>Testing only whether the machine starts.</w:t>
      </w:r>
    </w:p>
    <w:p>
      <w:pPr>
        <w:pStyle w:val="ListBullet"/>
      </w:pPr>
      <w:r>
        <w:t>Ignoring long-term support and product lifecycle.</w:t>
      </w:r>
    </w:p>
    <w:p>
      <w:pPr>
        <w:pStyle w:val="ListBullet"/>
      </w:pPr>
      <w:r>
        <w:t>Failing to update BOMs and spare-parts records.</w:t>
      </w:r>
    </w:p>
    <w:p>
      <w:pPr>
        <w:pStyle w:val="ListBullet"/>
      </w:pPr>
      <w:r>
        <w:t>Mixing original and alternate stock without traceability.</w:t>
      </w:r>
    </w:p>
    <w:p>
      <w:pPr>
        <w:pStyle w:val="ListBullet"/>
      </w:pPr>
      <w:r>
        <w:t>Using an approved alternate outside its defined application.</w:t>
      </w:r>
    </w:p>
    <w:p>
      <w:pPr>
        <w:pStyle w:val="ListBullet"/>
      </w:pPr>
      <w:r>
        <w:t>Forgetting that an engineering modification may require drawing, software, risk-assessment, and maintenance-document updates.</w:t>
      </w:r>
    </w:p>
    <w:p>
      <w:pPr>
        <w:pStyle w:val="Heading2"/>
      </w:pPr>
      <w:r>
        <w:t>19. Practical Approval Checklist</w:t>
      </w:r>
    </w:p>
    <w:p>
      <w:pPr>
        <w:pStyle w:val="ListBullet"/>
      </w:pPr>
      <w:r>
        <w:t>Identify the original component and application.</w:t>
      </w:r>
    </w:p>
    <w:p>
      <w:pPr>
        <w:pStyle w:val="ListBullet"/>
      </w:pPr>
      <w:r>
        <w:t>Confirm the exact proposed alternate part number.</w:t>
      </w:r>
    </w:p>
    <w:p>
      <w:pPr>
        <w:pStyle w:val="ListBullet"/>
      </w:pPr>
      <w:r>
        <w:t>Define mandatory technical and safety requirements.</w:t>
      </w:r>
    </w:p>
    <w:p>
      <w:pPr>
        <w:pStyle w:val="ListBullet"/>
      </w:pPr>
      <w:r>
        <w:t>Compare datasheets and manufacturer documentation.</w:t>
      </w:r>
    </w:p>
    <w:p>
      <w:pPr>
        <w:pStyle w:val="ListBullet"/>
      </w:pPr>
      <w:r>
        <w:t>Check electrical, mechanical, environmental, and communication compatibility.</w:t>
      </w:r>
    </w:p>
    <w:p>
      <w:pPr>
        <w:pStyle w:val="ListBullet"/>
      </w:pPr>
      <w:r>
        <w:t>Review firmware, software, parameter, and configuration requirements.</w:t>
      </w:r>
    </w:p>
    <w:p>
      <w:pPr>
        <w:pStyle w:val="ListBullet"/>
      </w:pPr>
      <w:r>
        <w:t>Assess failure consequences and modification risks.</w:t>
      </w:r>
    </w:p>
    <w:p>
      <w:pPr>
        <w:pStyle w:val="ListBullet"/>
      </w:pPr>
      <w:r>
        <w:t>Define the necessary bench or machine tests.</w:t>
      </w:r>
    </w:p>
    <w:p>
      <w:pPr>
        <w:pStyle w:val="ListBullet"/>
      </w:pPr>
      <w:r>
        <w:t>Establish acceptance criteria before testing.</w:t>
      </w:r>
    </w:p>
    <w:p>
      <w:pPr>
        <w:pStyle w:val="ListBullet"/>
      </w:pPr>
      <w:r>
        <w:t>Obtain the required engineering, quality, and safety approvals.</w:t>
      </w:r>
    </w:p>
    <w:p>
      <w:pPr>
        <w:pStyle w:val="ListBullet"/>
      </w:pPr>
      <w:r>
        <w:t>Document application scope and restrictions.</w:t>
      </w:r>
    </w:p>
    <w:p>
      <w:pPr>
        <w:pStyle w:val="ListBullet"/>
      </w:pPr>
      <w:r>
        <w:t>Update BOM, material, and maintenance records.</w:t>
      </w:r>
    </w:p>
    <w:p>
      <w:pPr>
        <w:pStyle w:val="ListBullet"/>
      </w:pPr>
      <w:r>
        <w:t>Monitor field performance and failures.</w:t>
      </w:r>
    </w:p>
    <w:p>
      <w:pPr>
        <w:pStyle w:val="ListBullet"/>
      </w:pPr>
      <w:r>
        <w:t>Reassess approval when relevant equipment or component changes occur.</w:t>
      </w:r>
    </w:p>
    <w:p>
      <w:pPr>
        <w:pStyle w:val="Heading2"/>
      </w:pPr>
      <w:r>
        <w:t>20. Interview Questions and Answers</w:t>
      </w:r>
    </w:p>
    <w:p>
      <w:r>
        <w:t>Q1. What is the difference between an alternate part and an equivalent part?</w:t>
      </w:r>
    </w:p>
    <w:p>
      <w:r>
        <w:t>An alternate is a proposed replacement candidate. An equivalent part has been demonstrated to meet the defined requirements for its intended application. Both may require formal approval before use.</w:t>
      </w:r>
    </w:p>
    <w:p>
      <w:r>
        <w:t>Q2. What does form-fit-function mean?</w:t>
      </w:r>
    </w:p>
    <w:p>
      <w:r>
        <w:t>Form concerns physical characteristics, fit concerns installation and connection, and function concerns whether the component performs the required task. All applicable requirements must be satisfied.</w:t>
      </w:r>
    </w:p>
    <w:p>
      <w:r>
        <w:t>Q3. Is a higher-rated component always an acceptable replacement?</w:t>
      </w:r>
    </w:p>
    <w:p>
      <w:r>
        <w:t>No. Higher voltage, current, power, or speed ratings do not automatically guarantee compatibility. Interfaces, control behavior, protection, environmental limits, safety requirements, and other application-specific characteristics must also be checked.</w:t>
      </w:r>
    </w:p>
    <w:p>
      <w:r>
        <w:t>Q4. Can a different manufacturer's PLC module replace the original?</w:t>
      </w:r>
    </w:p>
    <w:p>
      <w:r>
        <w:t>Only if the intended system supports it through a documented compatibility route or an engineered and approved modification. Physical fit or a similar function is not enough.</w:t>
      </w:r>
    </w:p>
    <w:p>
      <w:r>
        <w:t>Q5. What is one-way interchangeability?</w:t>
      </w:r>
    </w:p>
    <w:p>
      <w:r>
        <w:t>It means one part can replace another in the defined application, but the reverse replacement is not necessarily valid.</w:t>
      </w:r>
    </w:p>
    <w:p>
      <w:r>
        <w:t>Q6. Why should alternate parts be recorded in the BOM?</w:t>
      </w:r>
    </w:p>
    <w:p>
      <w:r>
        <w:t>The BOM connects approved components to specific equipment. Updating it helps stores, procurement, maintenance, and engineering identify acceptable replacements without relying on undocumented knowledge.</w:t>
      </w:r>
    </w:p>
    <w:p>
      <w:r>
        <w:t>Q7. What is the difference between a successor part and a direct replacement?</w:t>
      </w:r>
    </w:p>
    <w:p>
      <w:r>
        <w:t>A successor is a later product designated in a manufacturer's product lifecycle. A direct replacement is confirmed as compatible for a defined application under stated conditions. A successor may still require modifications or revalidation.</w:t>
      </w:r>
    </w:p>
    <w:p>
      <w:r>
        <w:t>Q8. How should an alternate safety component be approved?</w:t>
      </w:r>
    </w:p>
    <w:p>
      <w:r>
        <w:t>Evaluate the complete safety function, applicable performance requirements, manufacturer documentation, configuration, risk assessment, and required validation. Obtain formal authorization before returning the affected equipment to service.</w:t>
      </w:r>
    </w:p>
    <w:p>
      <w:pPr>
        <w:pStyle w:val="Heading2"/>
      </w:pPr>
      <w:r>
        <w:t>21. Expected Outcome</w:t>
      </w:r>
    </w:p>
    <w:p>
      <w:r>
        <w:t>A controlled alternate/equivalent-parts system improves spare availability while preserving equipment functionality, safety, and traceability.</w:t>
      </w:r>
    </w:p>
    <w:p>
      <w:r>
        <w:t>For industrial maintenance, the essential distinction is between a part that appears similar, a part that is technically compatible, and a part that is formally approved for a specific application. Those are three different states, and inventory pressure does not make them interchangeable.</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02_PLAN_WISE_2026\02_INDUSTRY3_0\23_Spares\01_Strategy\11_BOM - BOM</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Alternate and Equivalent Parts in Industrial Maintenance</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