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Installed-Base Mapping in Industrial Maintenance</w:t>
      </w:r>
    </w:p>
    <w:p>
      <w:pPr>
        <w:pStyle w:val="Heading2"/>
      </w:pPr>
      <w:r>
        <w:t>1. Definition</w:t>
      </w:r>
    </w:p>
    <w:p>
      <w:r>
        <w:t>Installed-base mapping is the systematic identification and documentation of equipment, components, software, firmware, and associated technical assets actually installed across a plant, production line, machine, or facility.</w:t>
      </w:r>
    </w:p>
    <w:p>
      <w:r>
        <w:t>It answers the question: What equipment and components are installed, where are they installed, which versions are running, and what is their current technical and lifecycle status?</w:t>
      </w:r>
    </w:p>
    <w:p>
      <w:r>
        <w:t>For industrial maintenance, installed-base mapping connects physical assets with engineering documentation, equipment records, spare-parts planning, obsolescence management, maintenance history, and approved replacement strategies.</w:t>
      </w:r>
    </w:p>
    <w:p>
      <w:r>
        <w:t>For example, a plant may have 40 PLC-controlled machines. Installed-base mapping identifies the controller model in each machine, its firmware, communication modules, installed software versions, spare-part requirements, and any differences from the original design.</w:t>
      </w:r>
    </w:p>
    <w:p>
      <w:r>
        <w:t>A useful installed-base map describes the actual installed configuration, not merely what the original drawings or purchase documents said should be present.</w:t>
      </w:r>
    </w:p>
    <w:p>
      <w:pPr>
        <w:pStyle w:val="Heading2"/>
      </w:pPr>
      <w:r>
        <w:t>2. Objectives of Installed-Base Mapping</w:t>
      </w:r>
    </w:p>
    <w:p>
      <w:r>
        <w:t>The primary objectives are:</w:t>
      </w:r>
    </w:p>
    <w:p>
      <w:pPr>
        <w:pStyle w:val="ListBullet"/>
      </w:pPr>
      <w:r>
        <w:t>Identify all relevant equipment and installed components.</w:t>
      </w:r>
    </w:p>
    <w:p>
      <w:pPr>
        <w:pStyle w:val="ListBullet"/>
      </w:pPr>
      <w:r>
        <w:t>Establish the location and application of each component.</w:t>
      </w:r>
    </w:p>
    <w:p>
      <w:pPr>
        <w:pStyle w:val="ListBullet"/>
      </w:pPr>
      <w:r>
        <w:t>Record manufacturer, model, part number, serial number, and revision where relevant.</w:t>
      </w:r>
    </w:p>
    <w:p>
      <w:pPr>
        <w:pStyle w:val="ListBullet"/>
      </w:pPr>
      <w:r>
        <w:t>Identify common components used across multiple machines.</w:t>
      </w:r>
    </w:p>
    <w:p>
      <w:pPr>
        <w:pStyle w:val="ListBullet"/>
      </w:pPr>
      <w:r>
        <w:t>Detect obsolete, discontinued, unsupported, or end-of-life products.</w:t>
      </w:r>
    </w:p>
    <w:p>
      <w:pPr>
        <w:pStyle w:val="ListBullet"/>
      </w:pPr>
      <w:r>
        <w:t>Support spare-to-machine mapping and spare-parts standardization.</w:t>
      </w:r>
    </w:p>
    <w:p>
      <w:pPr>
        <w:pStyle w:val="ListBullet"/>
      </w:pPr>
      <w:r>
        <w:t>Identify equipment exposed to a common component failure or supply shortage.</w:t>
      </w:r>
    </w:p>
    <w:p>
      <w:pPr>
        <w:pStyle w:val="ListBullet"/>
      </w:pPr>
      <w:r>
        <w:t>Improve breakdown response and troubleshooting.</w:t>
      </w:r>
    </w:p>
    <w:p>
      <w:pPr>
        <w:pStyle w:val="ListBullet"/>
      </w:pPr>
      <w:r>
        <w:t>Support PLC, CNC, robot, HMI, VFD, and SCADA migration planning.</w:t>
      </w:r>
    </w:p>
    <w:p>
      <w:pPr>
        <w:pStyle w:val="ListBullet"/>
      </w:pPr>
      <w:r>
        <w:t>Maintain configuration traceability after repairs and retrofits.</w:t>
      </w:r>
    </w:p>
    <w:p>
      <w:pPr>
        <w:pStyle w:val="ListBullet"/>
      </w:pPr>
      <w:r>
        <w:t>Support maintenance budgets, lifecycle planning, and capital expenditure.</w:t>
      </w:r>
    </w:p>
    <w:p>
      <w:pPr>
        <w:pStyle w:val="ListBullet"/>
      </w:pPr>
      <w:r>
        <w:t>Identify undocumented modifications and configuration discrepancies.</w:t>
      </w:r>
    </w:p>
    <w:p>
      <w:r>
        <w:t>Installed-base mapping is particularly valuable when a plant has equipment accumulated over many years, with different generations of controls and components installed by different machine builders.</w:t>
      </w:r>
    </w:p>
    <w:p>
      <w:pPr>
        <w:pStyle w:val="Heading2"/>
      </w:pPr>
      <w:r>
        <w:t>3. Installed Base Versus Related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Installed-base map</w:t>
            </w:r>
          </w:p>
        </w:tc>
        <w:tc>
          <w:tcPr>
            <w:tcW w:type="dxa" w:w="5400"/>
          </w:tcPr>
          <w:p>
            <w:pPr>
              <w:spacing w:after="0" w:before="0" w:line="240" w:lineRule="auto"/>
              <w:jc w:val="left"/>
            </w:pPr>
            <w:r>
              <w:t>Shows what is actually installed and where</w:t>
            </w:r>
          </w:p>
        </w:tc>
      </w:tr>
      <w:tr>
        <w:tc>
          <w:tcPr>
            <w:tcW w:type="dxa" w:w="5400"/>
          </w:tcPr>
          <w:p>
            <w:pPr>
              <w:spacing w:after="0" w:before="0" w:line="240" w:lineRule="auto"/>
              <w:jc w:val="left"/>
            </w:pPr>
            <w:r>
              <w:t>Equipment master</w:t>
            </w:r>
          </w:p>
        </w:tc>
        <w:tc>
          <w:tcPr>
            <w:tcW w:type="dxa" w:w="5400"/>
          </w:tcPr>
          <w:p>
            <w:pPr>
              <w:spacing w:after="0" w:before="0" w:line="240" w:lineRule="auto"/>
              <w:jc w:val="left"/>
            </w:pPr>
            <w:r>
              <w:t>Identifies an asset and its maintenance-related information</w:t>
            </w:r>
          </w:p>
        </w:tc>
      </w:tr>
      <w:tr>
        <w:tc>
          <w:tcPr>
            <w:tcW w:type="dxa" w:w="5400"/>
          </w:tcPr>
          <w:p>
            <w:pPr>
              <w:spacing w:after="0" w:before="0" w:line="240" w:lineRule="auto"/>
              <w:jc w:val="left"/>
            </w:pPr>
            <w:r>
              <w:t>BOM</w:t>
            </w:r>
          </w:p>
        </w:tc>
        <w:tc>
          <w:tcPr>
            <w:tcW w:type="dxa" w:w="5400"/>
          </w:tcPr>
          <w:p>
            <w:pPr>
              <w:spacing w:after="0" w:before="0" w:line="240" w:lineRule="auto"/>
              <w:jc w:val="left"/>
            </w:pPr>
            <w:r>
              <w:t>Defines components and their relationships within an assembly</w:t>
            </w:r>
          </w:p>
        </w:tc>
      </w:tr>
      <w:tr>
        <w:tc>
          <w:tcPr>
            <w:tcW w:type="dxa" w:w="5400"/>
          </w:tcPr>
          <w:p>
            <w:pPr>
              <w:spacing w:after="0" w:before="0" w:line="240" w:lineRule="auto"/>
              <w:jc w:val="left"/>
            </w:pPr>
            <w:r>
              <w:t>Spare-to-machine map</w:t>
            </w:r>
          </w:p>
        </w:tc>
        <w:tc>
          <w:tcPr>
            <w:tcW w:type="dxa" w:w="5400"/>
          </w:tcPr>
          <w:p>
            <w:pPr>
              <w:spacing w:after="0" w:before="0" w:line="240" w:lineRule="auto"/>
              <w:jc w:val="left"/>
            </w:pPr>
            <w:r>
              <w:t>Connects spare parts to the machines on which they can be used</w:t>
            </w:r>
          </w:p>
        </w:tc>
      </w:tr>
      <w:tr>
        <w:tc>
          <w:tcPr>
            <w:tcW w:type="dxa" w:w="5400"/>
          </w:tcPr>
          <w:p>
            <w:pPr>
              <w:spacing w:after="0" w:before="0" w:line="240" w:lineRule="auto"/>
              <w:jc w:val="left"/>
            </w:pPr>
            <w:r>
              <w:t>Material master</w:t>
            </w:r>
          </w:p>
        </w:tc>
        <w:tc>
          <w:tcPr>
            <w:tcW w:type="dxa" w:w="5400"/>
          </w:tcPr>
          <w:p>
            <w:pPr>
              <w:spacing w:after="0" w:before="0" w:line="240" w:lineRule="auto"/>
              <w:jc w:val="left"/>
            </w:pPr>
            <w:r>
              <w:t>Stores material identity and inventory-management information</w:t>
            </w:r>
          </w:p>
        </w:tc>
      </w:tr>
      <w:tr>
        <w:tc>
          <w:tcPr>
            <w:tcW w:type="dxa" w:w="5400"/>
          </w:tcPr>
          <w:p>
            <w:pPr>
              <w:spacing w:after="0" w:before="0" w:line="240" w:lineRule="auto"/>
              <w:jc w:val="left"/>
            </w:pPr>
            <w:r>
              <w:t>Electrical drawing</w:t>
            </w:r>
          </w:p>
        </w:tc>
        <w:tc>
          <w:tcPr>
            <w:tcW w:type="dxa" w:w="5400"/>
          </w:tcPr>
          <w:p>
            <w:pPr>
              <w:spacing w:after="0" w:before="0" w:line="240" w:lineRule="auto"/>
              <w:jc w:val="left"/>
            </w:pPr>
            <w:r>
              <w:t>Describes electrical connections and circuit structure</w:t>
            </w:r>
          </w:p>
        </w:tc>
      </w:tr>
      <w:tr>
        <w:tc>
          <w:tcPr>
            <w:tcW w:type="dxa" w:w="5400"/>
          </w:tcPr>
          <w:p>
            <w:pPr>
              <w:spacing w:after="0" w:before="0" w:line="240" w:lineRule="auto"/>
              <w:jc w:val="left"/>
            </w:pPr>
            <w:r>
              <w:t>Software inventory</w:t>
            </w:r>
          </w:p>
        </w:tc>
        <w:tc>
          <w:tcPr>
            <w:tcW w:type="dxa" w:w="5400"/>
          </w:tcPr>
          <w:p>
            <w:pPr>
              <w:spacing w:after="0" w:before="0" w:line="240" w:lineRule="auto"/>
              <w:jc w:val="left"/>
            </w:pPr>
            <w:r>
              <w:t>Records software, firmware, versions, and relevant configuration details</w:t>
            </w:r>
          </w:p>
        </w:tc>
      </w:tr>
      <w:tr>
        <w:tc>
          <w:tcPr>
            <w:tcW w:type="dxa" w:w="5400"/>
          </w:tcPr>
          <w:p>
            <w:pPr>
              <w:spacing w:after="0" w:before="0" w:line="240" w:lineRule="auto"/>
              <w:jc w:val="left"/>
            </w:pPr>
            <w:r>
              <w:t>Obsolescence register</w:t>
            </w:r>
          </w:p>
        </w:tc>
        <w:tc>
          <w:tcPr>
            <w:tcW w:type="dxa" w:w="5400"/>
          </w:tcPr>
          <w:p>
            <w:pPr>
              <w:spacing w:after="0" w:before="0" w:line="240" w:lineRule="auto"/>
              <w:jc w:val="left"/>
            </w:pPr>
            <w:r>
              <w:t>Tracks lifecycle status and replacement exposure</w:t>
            </w:r>
          </w:p>
        </w:tc>
      </w:tr>
      <w:tr>
        <w:tc>
          <w:tcPr>
            <w:tcW w:type="dxa" w:w="5400"/>
          </w:tcPr>
          <w:p>
            <w:pPr>
              <w:spacing w:after="0" w:before="0" w:line="240" w:lineRule="auto"/>
              <w:jc w:val="left"/>
            </w:pPr>
            <w:r>
              <w:t>Asset register</w:t>
            </w:r>
          </w:p>
        </w:tc>
        <w:tc>
          <w:tcPr>
            <w:tcW w:type="dxa" w:w="5400"/>
          </w:tcPr>
          <w:p>
            <w:pPr>
              <w:spacing w:after="0" w:before="0" w:line="240" w:lineRule="auto"/>
              <w:jc w:val="left"/>
            </w:pPr>
            <w:r>
              <w:t>Provides the organization's structured list of assets</w:t>
            </w:r>
          </w:p>
        </w:tc>
      </w:tr>
      <w:tr>
        <w:tc>
          <w:tcPr>
            <w:tcW w:type="dxa" w:w="5400"/>
          </w:tcPr>
          <w:p>
            <w:pPr>
              <w:spacing w:after="0" w:before="0" w:line="240" w:lineRule="auto"/>
              <w:jc w:val="left"/>
            </w:pPr>
            <w:r>
              <w:t>Network inventory</w:t>
            </w:r>
          </w:p>
        </w:tc>
        <w:tc>
          <w:tcPr>
            <w:tcW w:type="dxa" w:w="5400"/>
          </w:tcPr>
          <w:p>
            <w:pPr>
              <w:spacing w:after="0" w:before="0" w:line="240" w:lineRule="auto"/>
              <w:jc w:val="left"/>
            </w:pPr>
            <w:r>
              <w:t>Records network devices, interfaces, addresses, and connectivity information</w:t>
            </w:r>
          </w:p>
        </w:tc>
      </w:tr>
    </w:tbl>
    <w:p/>
    <w:p>
      <w:r>
        <w:t>These records are complementary. A BOM may describe the intended component structure, while installed-base mapping confirms which component is actually present on a particular machine.</w:t>
      </w:r>
    </w:p>
    <w:p>
      <w:pPr>
        <w:pStyle w:val="Heading2"/>
      </w:pPr>
      <w:r>
        <w:t>4. Scope of Installed-Base Mapping</w:t>
      </w:r>
    </w:p>
    <w:p>
      <w:r>
        <w:t>The scope should be defined before collecting data. Mapping every screw in a factory is technically possible, but not a particularly productive use of human life.</w:t>
      </w:r>
    </w:p>
    <w:p>
      <w:pPr>
        <w:pStyle w:val="Heading3"/>
      </w:pPr>
      <w:r>
        <w:t>4.1 Equipment and machinery</w:t>
      </w:r>
    </w:p>
    <w:p>
      <w:pPr>
        <w:pStyle w:val="ListBullet"/>
      </w:pPr>
      <w:r>
        <w:t>Production machines.</w:t>
      </w:r>
    </w:p>
    <w:p>
      <w:pPr>
        <w:pStyle w:val="ListBullet"/>
      </w:pPr>
      <w:r>
        <w:t>Assembly and testing stations.</w:t>
      </w:r>
    </w:p>
    <w:p>
      <w:pPr>
        <w:pStyle w:val="ListBullet"/>
      </w:pPr>
      <w:r>
        <w:t>CNC machines.</w:t>
      </w:r>
    </w:p>
    <w:p>
      <w:pPr>
        <w:pStyle w:val="ListBullet"/>
      </w:pPr>
      <w:r>
        <w:t>Industrial robots.</w:t>
      </w:r>
    </w:p>
    <w:p>
      <w:pPr>
        <w:pStyle w:val="ListBullet"/>
      </w:pPr>
      <w:r>
        <w:t>Conveyors and material-handling systems.</w:t>
      </w:r>
    </w:p>
    <w:p>
      <w:pPr>
        <w:pStyle w:val="ListBullet"/>
      </w:pPr>
      <w:r>
        <w:t>Hydraulic and pneumatic power units.</w:t>
      </w:r>
    </w:p>
    <w:p>
      <w:pPr>
        <w:pStyle w:val="ListBullet"/>
      </w:pPr>
      <w:r>
        <w:t>Utility equipment.</w:t>
      </w:r>
    </w:p>
    <w:p>
      <w:pPr>
        <w:pStyle w:val="ListBullet"/>
      </w:pPr>
      <w:r>
        <w:t>Inspection and quality-testing equipment.</w:t>
      </w:r>
    </w:p>
    <w:p>
      <w:pPr>
        <w:pStyle w:val="ListBullet"/>
      </w:pPr>
      <w:r>
        <w:t>Maintenance and repair equipment.</w:t>
      </w:r>
    </w:p>
    <w:p>
      <w:pPr>
        <w:pStyle w:val="Heading3"/>
      </w:pPr>
      <w:r>
        <w:t>4.2 Industrial automation</w:t>
      </w:r>
    </w:p>
    <w:p>
      <w:pPr>
        <w:pStyle w:val="ListBullet"/>
      </w:pPr>
      <w:r>
        <w:t>PLC CPUs.</w:t>
      </w:r>
    </w:p>
    <w:p>
      <w:pPr>
        <w:pStyle w:val="ListBullet"/>
      </w:pPr>
      <w:r>
        <w:t>PLC racks and chassis.</w:t>
      </w:r>
    </w:p>
    <w:p>
      <w:pPr>
        <w:pStyle w:val="ListBullet"/>
      </w:pPr>
      <w:r>
        <w:t>Digital and analog I/O modules.</w:t>
      </w:r>
    </w:p>
    <w:p>
      <w:pPr>
        <w:pStyle w:val="ListBullet"/>
      </w:pPr>
      <w:r>
        <w:t>Remote I/O adapters.</w:t>
      </w:r>
    </w:p>
    <w:p>
      <w:pPr>
        <w:pStyle w:val="ListBullet"/>
      </w:pPr>
      <w:r>
        <w:t>HMIs and operator panels.</w:t>
      </w:r>
    </w:p>
    <w:p>
      <w:pPr>
        <w:pStyle w:val="ListBullet"/>
      </w:pPr>
      <w:r>
        <w:t>SCADA servers and clients.</w:t>
      </w:r>
    </w:p>
    <w:p>
      <w:pPr>
        <w:pStyle w:val="ListBullet"/>
      </w:pPr>
      <w:r>
        <w:t>Industrial PCs.</w:t>
      </w:r>
    </w:p>
    <w:p>
      <w:pPr>
        <w:pStyle w:val="ListBullet"/>
      </w:pPr>
      <w:r>
        <w:t>CNC controllers.</w:t>
      </w:r>
    </w:p>
    <w:p>
      <w:pPr>
        <w:pStyle w:val="ListBullet"/>
      </w:pPr>
      <w:r>
        <w:t>Robot controllers.</w:t>
      </w:r>
    </w:p>
    <w:p>
      <w:pPr>
        <w:pStyle w:val="ListBullet"/>
      </w:pPr>
      <w:r>
        <w:t>VFDs and servo drives.</w:t>
      </w:r>
    </w:p>
    <w:p>
      <w:pPr>
        <w:pStyle w:val="ListBullet"/>
      </w:pPr>
      <w:r>
        <w:t>Motion controllers.</w:t>
      </w:r>
    </w:p>
    <w:p>
      <w:pPr>
        <w:pStyle w:val="ListBullet"/>
      </w:pPr>
      <w:r>
        <w:t>Industrial Ethernet switches.</w:t>
      </w:r>
    </w:p>
    <w:p>
      <w:pPr>
        <w:pStyle w:val="ListBullet"/>
      </w:pPr>
      <w:r>
        <w:t>Gateways and protocol converters.</w:t>
      </w:r>
    </w:p>
    <w:p>
      <w:pPr>
        <w:pStyle w:val="ListBullet"/>
      </w:pPr>
      <w:r>
        <w:t>Sensors and measurement devices.</w:t>
      </w:r>
    </w:p>
    <w:p>
      <w:pPr>
        <w:pStyle w:val="ListBullet"/>
      </w:pPr>
      <w:r>
        <w:t>Safety controllers, relays, scanners, and interlocks.</w:t>
      </w:r>
    </w:p>
    <w:p>
      <w:pPr>
        <w:pStyle w:val="Heading3"/>
      </w:pPr>
      <w:r>
        <w:t>4.3 Supporting information</w:t>
      </w:r>
    </w:p>
    <w:p>
      <w:r>
        <w:t>Depending on the mapping objective, the record may also include:</w:t>
      </w:r>
    </w:p>
    <w:p>
      <w:pPr>
        <w:pStyle w:val="ListBullet"/>
      </w:pPr>
      <w:r>
        <w:t>Firmware and software versions.</w:t>
      </w:r>
    </w:p>
    <w:p>
      <w:pPr>
        <w:pStyle w:val="ListBullet"/>
      </w:pPr>
      <w:r>
        <w:t>Hardware revisions.</w:t>
      </w:r>
    </w:p>
    <w:p>
      <w:pPr>
        <w:pStyle w:val="ListBullet"/>
      </w:pPr>
      <w:r>
        <w:t>Engineering software compatibility.</w:t>
      </w:r>
    </w:p>
    <w:p>
      <w:pPr>
        <w:pStyle w:val="ListBullet"/>
      </w:pPr>
      <w:r>
        <w:t>Configuration backup locations.</w:t>
      </w:r>
    </w:p>
    <w:p>
      <w:pPr>
        <w:pStyle w:val="ListBullet"/>
      </w:pPr>
      <w:r>
        <w:t>Communication protocols.</w:t>
      </w:r>
    </w:p>
    <w:p>
      <w:pPr>
        <w:pStyle w:val="ListBullet"/>
      </w:pPr>
      <w:r>
        <w:t>Network identifiers and addresses.</w:t>
      </w:r>
    </w:p>
    <w:p>
      <w:pPr>
        <w:pStyle w:val="ListBullet"/>
      </w:pPr>
      <w:r>
        <w:t>Installed application versions.</w:t>
      </w:r>
    </w:p>
    <w:p>
      <w:pPr>
        <w:pStyle w:val="ListBullet"/>
      </w:pPr>
      <w:r>
        <w:t>Manufacturer support status.</w:t>
      </w:r>
    </w:p>
    <w:p>
      <w:pPr>
        <w:pStyle w:val="ListBullet"/>
      </w:pPr>
      <w:r>
        <w:t>Spare-part availability.</w:t>
      </w:r>
    </w:p>
    <w:p>
      <w:pPr>
        <w:pStyle w:val="ListBullet"/>
      </w:pPr>
      <w:r>
        <w:t>Repairability and repair turnaround time.</w:t>
      </w:r>
    </w:p>
    <w:p>
      <w:pPr>
        <w:pStyle w:val="ListBullet"/>
      </w:pPr>
      <w:r>
        <w:t>Approved alternatives.</w:t>
      </w:r>
    </w:p>
    <w:p>
      <w:pPr>
        <w:pStyle w:val="ListBullet"/>
      </w:pPr>
      <w:r>
        <w:t>Relevant certificates and technical documentation.</w:t>
      </w:r>
    </w:p>
    <w:p>
      <w:r>
        <w:t>Credentials, passwords, private keys, and other secrets should not be stored in a general installed-base spreadsheet. Record the approved reference to a controlled credential-management system instead.</w:t>
      </w:r>
    </w:p>
    <w:p>
      <w:pPr>
        <w:pStyle w:val="Heading2"/>
      </w:pPr>
      <w:r>
        <w:t>5. Installed-Base Hierarchy</w:t>
      </w:r>
    </w:p>
    <w:p>
      <w:r>
        <w:t>A plant-wide installed-base map should follow a consistent hierarchy.</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w:t>
      </w:r>
    </w:p>
    <w:p/>
    <w:p>
      <w:r>
        <w:t>Example:</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Commercial Vehicle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Chassis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CH-105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Automated Test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Modules</w:t>
      </w:r>
    </w:p>
    <w:p/>
    <w:p>
      <w:r>
        <w:t>The hierarchy should match the plant's asset-management structure. The same machine identifier should be used consistently across maintenance records, engineering documents, spare-parts records, and reporting systems.</w:t>
      </w:r>
    </w:p>
    <w:p>
      <w:pPr>
        <w:pStyle w:val="Heading2"/>
      </w:pPr>
      <w:r>
        <w:t>6. Essential Data Fields</w:t>
      </w:r>
    </w:p>
    <w:p>
      <w:r>
        <w:t>A practical installed-base record should contain enough information to identify the component, establish its location, assess its lifecycle, and support maintenance decisions.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Plant</w:t>
            </w:r>
          </w:p>
        </w:tc>
        <w:tc>
          <w:tcPr>
            <w:tcW w:type="dxa" w:w="5400"/>
          </w:tcPr>
          <w:p>
            <w:pPr>
              <w:spacing w:after="0" w:before="0" w:line="240" w:lineRule="auto"/>
              <w:jc w:val="left"/>
            </w:pPr>
            <w:r>
              <w:t>Identifies the plant</w:t>
            </w:r>
          </w:p>
        </w:tc>
      </w:tr>
      <w:tr>
        <w:tc>
          <w:tcPr>
            <w:tcW w:type="dxa" w:w="5400"/>
          </w:tcPr>
          <w:p>
            <w:pPr>
              <w:spacing w:after="0" w:before="0" w:line="240" w:lineRule="auto"/>
              <w:jc w:val="left"/>
            </w:pPr>
            <w:r>
              <w:t>Area</w:t>
            </w:r>
          </w:p>
        </w:tc>
        <w:tc>
          <w:tcPr>
            <w:tcW w:type="dxa" w:w="5400"/>
          </w:tcPr>
          <w:p>
            <w:pPr>
              <w:spacing w:after="0" w:before="0" w:line="240" w:lineRule="auto"/>
              <w:jc w:val="left"/>
            </w:pPr>
            <w:r>
              <w:t>Identifies the production or utility area</w:t>
            </w:r>
          </w:p>
        </w:tc>
      </w:tr>
      <w:tr>
        <w:tc>
          <w:tcPr>
            <w:tcW w:type="dxa" w:w="5400"/>
          </w:tcPr>
          <w:p>
            <w:pPr>
              <w:spacing w:after="0" w:before="0" w:line="240" w:lineRule="auto"/>
              <w:jc w:val="left"/>
            </w:pPr>
            <w:r>
              <w:t>Production Line</w:t>
            </w:r>
          </w:p>
        </w:tc>
        <w:tc>
          <w:tcPr>
            <w:tcW w:type="dxa" w:w="5400"/>
          </w:tcPr>
          <w:p>
            <w:pPr>
              <w:spacing w:after="0" w:before="0" w:line="240" w:lineRule="auto"/>
              <w:jc w:val="left"/>
            </w:pPr>
            <w:r>
              <w:t>Identifies the line</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Identifies the equipment's functional position</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Unique asset identifier</w:t>
            </w:r>
          </w:p>
        </w:tc>
      </w:tr>
      <w:tr>
        <w:tc>
          <w:tcPr>
            <w:tcW w:type="dxa" w:w="5400"/>
          </w:tcPr>
          <w:p>
            <w:pPr>
              <w:spacing w:after="0" w:before="0" w:line="240" w:lineRule="auto"/>
              <w:jc w:val="left"/>
            </w:pPr>
            <w:r>
              <w:t>Equipment Description</w:t>
            </w:r>
          </w:p>
        </w:tc>
        <w:tc>
          <w:tcPr>
            <w:tcW w:type="dxa" w:w="5400"/>
          </w:tcPr>
          <w:p>
            <w:pPr>
              <w:spacing w:after="0" w:before="0" w:line="240" w:lineRule="auto"/>
              <w:jc w:val="left"/>
            </w:pPr>
            <w:r>
              <w:t>Readable equipment name</w:t>
            </w:r>
          </w:p>
        </w:tc>
      </w:tr>
      <w:tr>
        <w:tc>
          <w:tcPr>
            <w:tcW w:type="dxa" w:w="5400"/>
          </w:tcPr>
          <w:p>
            <w:pPr>
              <w:spacing w:after="0" w:before="0" w:line="240" w:lineRule="auto"/>
              <w:jc w:val="left"/>
            </w:pPr>
            <w:r>
              <w:t>Subsystem</w:t>
            </w:r>
          </w:p>
        </w:tc>
        <w:tc>
          <w:tcPr>
            <w:tcW w:type="dxa" w:w="5400"/>
          </w:tcPr>
          <w:p>
            <w:pPr>
              <w:spacing w:after="0" w:before="0" w:line="240" w:lineRule="auto"/>
              <w:jc w:val="left"/>
            </w:pPr>
            <w:r>
              <w:t>Identifies the relevant machine subsystem</w:t>
            </w:r>
          </w:p>
        </w:tc>
      </w:tr>
      <w:tr>
        <w:tc>
          <w:tcPr>
            <w:tcW w:type="dxa" w:w="5400"/>
          </w:tcPr>
          <w:p>
            <w:pPr>
              <w:spacing w:after="0" w:before="0" w:line="240" w:lineRule="auto"/>
              <w:jc w:val="left"/>
            </w:pPr>
            <w:r>
              <w:t>Component Tag</w:t>
            </w:r>
          </w:p>
        </w:tc>
        <w:tc>
          <w:tcPr>
            <w:tcW w:type="dxa" w:w="5400"/>
          </w:tcPr>
          <w:p>
            <w:pPr>
              <w:spacing w:after="0" w:before="0" w:line="240" w:lineRule="auto"/>
              <w:jc w:val="left"/>
            </w:pPr>
            <w:r>
              <w:t>Identifier from drawings or equipment labels</w:t>
            </w:r>
          </w:p>
        </w:tc>
      </w:tr>
      <w:tr>
        <w:tc>
          <w:tcPr>
            <w:tcW w:type="dxa" w:w="5400"/>
          </w:tcPr>
          <w:p>
            <w:pPr>
              <w:spacing w:after="0" w:before="0" w:line="240" w:lineRule="auto"/>
              <w:jc w:val="left"/>
            </w:pPr>
            <w:r>
              <w:t>Component Type</w:t>
            </w:r>
          </w:p>
        </w:tc>
        <w:tc>
          <w:tcPr>
            <w:tcW w:type="dxa" w:w="5400"/>
          </w:tcPr>
          <w:p>
            <w:pPr>
              <w:spacing w:after="0" w:before="0" w:line="240" w:lineRule="auto"/>
              <w:jc w:val="left"/>
            </w:pPr>
            <w:r>
              <w:t>PLC, HMI, VFD, sensor, drive, or other category</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manufacturer</w:t>
            </w:r>
          </w:p>
        </w:tc>
      </w:tr>
      <w:tr>
        <w:tc>
          <w:tcPr>
            <w:tcW w:type="dxa" w:w="5400"/>
          </w:tcPr>
          <w:p>
            <w:pPr>
              <w:spacing w:after="0" w:before="0" w:line="240" w:lineRule="auto"/>
              <w:jc w:val="left"/>
            </w:pPr>
            <w:r>
              <w:t>Model</w:t>
            </w:r>
          </w:p>
        </w:tc>
        <w:tc>
          <w:tcPr>
            <w:tcW w:type="dxa" w:w="5400"/>
          </w:tcPr>
          <w:p>
            <w:pPr>
              <w:spacing w:after="0" w:before="0" w:line="240" w:lineRule="auto"/>
              <w:jc w:val="left"/>
            </w:pPr>
            <w:r>
              <w:t>Identifies the product model</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Identifies the exact product</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Identifies the individual unit, when applicable</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Identifies hardware revision where available</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Records installed firmware where relevant</w:t>
            </w:r>
          </w:p>
        </w:tc>
      </w:tr>
      <w:tr>
        <w:tc>
          <w:tcPr>
            <w:tcW w:type="dxa" w:w="5400"/>
          </w:tcPr>
          <w:p>
            <w:pPr>
              <w:spacing w:after="0" w:before="0" w:line="240" w:lineRule="auto"/>
              <w:jc w:val="left"/>
            </w:pPr>
            <w:r>
              <w:t>Software Version</w:t>
            </w:r>
          </w:p>
        </w:tc>
        <w:tc>
          <w:tcPr>
            <w:tcW w:type="dxa" w:w="5400"/>
          </w:tcPr>
          <w:p>
            <w:pPr>
              <w:spacing w:after="0" w:before="0" w:line="240" w:lineRule="auto"/>
              <w:jc w:val="left"/>
            </w:pPr>
            <w:r>
              <w:t>Records installed application or engineering-related version where relevant</w:t>
            </w:r>
          </w:p>
        </w:tc>
      </w:tr>
      <w:tr>
        <w:tc>
          <w:tcPr>
            <w:tcW w:type="dxa" w:w="5400"/>
          </w:tcPr>
          <w:p>
            <w:pPr>
              <w:spacing w:after="0" w:before="0" w:line="240" w:lineRule="auto"/>
              <w:jc w:val="left"/>
            </w:pPr>
            <w:r>
              <w:t>Installation Date</w:t>
            </w:r>
          </w:p>
        </w:tc>
        <w:tc>
          <w:tcPr>
            <w:tcW w:type="dxa" w:w="5400"/>
          </w:tcPr>
          <w:p>
            <w:pPr>
              <w:spacing w:after="0" w:before="0" w:line="240" w:lineRule="auto"/>
              <w:jc w:val="left"/>
            </w:pPr>
            <w:r>
              <w:t>Records the known installation date</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Active, restricted, obsolete, or unsupported</w:t>
            </w:r>
          </w:p>
        </w:tc>
      </w:tr>
      <w:tr>
        <w:tc>
          <w:tcPr>
            <w:tcW w:type="dxa" w:w="5400"/>
          </w:tcPr>
          <w:p>
            <w:pPr>
              <w:spacing w:after="0" w:before="0" w:line="240" w:lineRule="auto"/>
              <w:jc w:val="left"/>
            </w:pPr>
            <w:r>
              <w:t>Criticality</w:t>
            </w:r>
          </w:p>
        </w:tc>
        <w:tc>
          <w:tcPr>
            <w:tcW w:type="dxa" w:w="5400"/>
          </w:tcPr>
          <w:p>
            <w:pPr>
              <w:spacing w:after="0" w:before="0" w:line="240" w:lineRule="auto"/>
              <w:jc w:val="left"/>
            </w:pPr>
            <w:r>
              <w:t>Indicates operational or safety consequence</w:t>
            </w:r>
          </w:p>
        </w:tc>
      </w:tr>
      <w:tr>
        <w:tc>
          <w:tcPr>
            <w:tcW w:type="dxa" w:w="5400"/>
          </w:tcPr>
          <w:p>
            <w:pPr>
              <w:spacing w:after="0" w:before="0" w:line="240" w:lineRule="auto"/>
              <w:jc w:val="left"/>
            </w:pPr>
            <w:r>
              <w:t>Spare Material Number</w:t>
            </w:r>
          </w:p>
        </w:tc>
        <w:tc>
          <w:tcPr>
            <w:tcW w:type="dxa" w:w="5400"/>
          </w:tcPr>
          <w:p>
            <w:pPr>
              <w:spacing w:after="0" w:before="0" w:line="240" w:lineRule="auto"/>
              <w:jc w:val="left"/>
            </w:pPr>
            <w:r>
              <w:t>Links to the inventory material</w:t>
            </w:r>
          </w:p>
        </w:tc>
      </w:tr>
      <w:tr>
        <w:tc>
          <w:tcPr>
            <w:tcW w:type="dxa" w:w="5400"/>
          </w:tcPr>
          <w:p>
            <w:pPr>
              <w:spacing w:after="0" w:before="0" w:line="240" w:lineRule="auto"/>
              <w:jc w:val="left"/>
            </w:pPr>
            <w:r>
              <w:t>Spare Availability</w:t>
            </w:r>
          </w:p>
        </w:tc>
        <w:tc>
          <w:tcPr>
            <w:tcW w:type="dxa" w:w="5400"/>
          </w:tcPr>
          <w:p>
            <w:pPr>
              <w:spacing w:after="0" w:before="0" w:line="240" w:lineRule="auto"/>
              <w:jc w:val="left"/>
            </w:pPr>
            <w:r>
              <w:t>Records known supply or stock status</w:t>
            </w:r>
          </w:p>
        </w:tc>
      </w:tr>
      <w:tr>
        <w:tc>
          <w:tcPr>
            <w:tcW w:type="dxa" w:w="5400"/>
          </w:tcPr>
          <w:p>
            <w:pPr>
              <w:spacing w:after="0" w:before="0" w:line="240" w:lineRule="auto"/>
              <w:jc w:val="left"/>
            </w:pPr>
            <w:r>
              <w:t>Approved Alternate</w:t>
            </w:r>
          </w:p>
        </w:tc>
        <w:tc>
          <w:tcPr>
            <w:tcW w:type="dxa" w:w="5400"/>
          </w:tcPr>
          <w:p>
            <w:pPr>
              <w:spacing w:after="0" w:before="0" w:line="240" w:lineRule="auto"/>
              <w:jc w:val="left"/>
            </w:pPr>
            <w:r>
              <w:t>Links to the approved replacement record</w:t>
            </w:r>
          </w:p>
        </w:tc>
      </w:tr>
      <w:tr>
        <w:tc>
          <w:tcPr>
            <w:tcW w:type="dxa" w:w="5400"/>
          </w:tcPr>
          <w:p>
            <w:pPr>
              <w:spacing w:after="0" w:before="0" w:line="240" w:lineRule="auto"/>
              <w:jc w:val="left"/>
            </w:pPr>
            <w:r>
              <w:t>Documentation Reference</w:t>
            </w:r>
          </w:p>
        </w:tc>
        <w:tc>
          <w:tcPr>
            <w:tcW w:type="dxa" w:w="5400"/>
          </w:tcPr>
          <w:p>
            <w:pPr>
              <w:spacing w:after="0" w:before="0" w:line="240" w:lineRule="auto"/>
              <w:jc w:val="left"/>
            </w:pPr>
            <w:r>
              <w:t>Links to drawings, manuals, and backups</w:t>
            </w:r>
          </w:p>
        </w:tc>
      </w:tr>
      <w:tr>
        <w:tc>
          <w:tcPr>
            <w:tcW w:type="dxa" w:w="5400"/>
          </w:tcPr>
          <w:p>
            <w:pPr>
              <w:spacing w:after="0" w:before="0" w:line="240" w:lineRule="auto"/>
              <w:jc w:val="left"/>
            </w:pPr>
            <w:r>
              <w:t>Verification Status</w:t>
            </w:r>
          </w:p>
        </w:tc>
        <w:tc>
          <w:tcPr>
            <w:tcW w:type="dxa" w:w="5400"/>
          </w:tcPr>
          <w:p>
            <w:pPr>
              <w:spacing w:after="0" w:before="0" w:line="240" w:lineRule="auto"/>
              <w:jc w:val="left"/>
            </w:pPr>
            <w:r>
              <w:t>Indicates whether the data has been checked</w:t>
            </w:r>
          </w:p>
        </w:tc>
      </w:tr>
      <w:tr>
        <w:tc>
          <w:tcPr>
            <w:tcW w:type="dxa" w:w="5400"/>
          </w:tcPr>
          <w:p>
            <w:pPr>
              <w:spacing w:after="0" w:before="0" w:line="240" w:lineRule="auto"/>
              <w:jc w:val="left"/>
            </w:pPr>
            <w:r>
              <w:t>Last Verified Date</w:t>
            </w:r>
          </w:p>
        </w:tc>
        <w:tc>
          <w:tcPr>
            <w:tcW w:type="dxa" w:w="5400"/>
          </w:tcPr>
          <w:p>
            <w:pPr>
              <w:spacing w:after="0" w:before="0" w:line="240" w:lineRule="auto"/>
              <w:jc w:val="left"/>
            </w:pPr>
            <w:r>
              <w:t>Records the last physical or documentary verification</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Identifies the team accountable for maintaining the record</w:t>
            </w:r>
          </w:p>
        </w:tc>
      </w:tr>
    </w:tbl>
    <w:p/>
    <w:p>
      <w:r>
        <w:t>Use a separate row for each uniquely identifiable component instance. If one PLC model is installed in 15 machines, the installed-base inventory normally contains 15 instance records, even if all 15 reference the same material master.</w:t>
      </w:r>
    </w:p>
    <w:p>
      <w:pPr>
        <w:pStyle w:val="Heading2"/>
      </w:pPr>
      <w:r>
        <w:t>7. Model-Level and Instance-Level Mapping</w:t>
      </w:r>
    </w:p>
    <w:p>
      <w:r>
        <w:t>Two related forms of mapping are needed.</w:t>
      </w:r>
    </w:p>
    <w:p>
      <w:pPr>
        <w:pStyle w:val="Heading3"/>
      </w:pPr>
      <w:r>
        <w:t>7.1 Model-level mapping</w:t>
      </w:r>
    </w:p>
    <w:p>
      <w:r>
        <w:t>Records the technical and lifecycle information common to a product model.</w:t>
      </w:r>
    </w:p>
    <w:p>
      <w:r>
        <w:t>Example:</w:t>
      </w:r>
    </w:p>
    <w:p>
      <w:pPr>
        <w:pStyle w:val="ListBullet"/>
      </w:pPr>
      <w:r>
        <w:t>Manufacturer: Siemens.</w:t>
      </w:r>
    </w:p>
    <w:p>
      <w:pPr>
        <w:pStyle w:val="ListBullet"/>
      </w:pPr>
      <w:r>
        <w:t>Product family: SIMATIC S7-1500.</w:t>
      </w:r>
    </w:p>
    <w:p>
      <w:pPr>
        <w:pStyle w:val="ListBullet"/>
      </w:pPr>
      <w:r>
        <w:t>Model: Exact CPU model.</w:t>
      </w:r>
    </w:p>
    <w:p>
      <w:pPr>
        <w:pStyle w:val="ListBullet"/>
      </w:pPr>
      <w:r>
        <w:t>Supported firmware range: As established from manufacturer documentation.</w:t>
      </w:r>
    </w:p>
    <w:p>
      <w:pPr>
        <w:pStyle w:val="ListBullet"/>
      </w:pPr>
      <w:r>
        <w:t>Engineering software compatibility: Applicable TIA Portal versions.</w:t>
      </w:r>
    </w:p>
    <w:p>
      <w:pPr>
        <w:pStyle w:val="ListBullet"/>
      </w:pPr>
      <w:r>
        <w:t>Lifecycle status: Verified from current manufacturer information.</w:t>
      </w:r>
    </w:p>
    <w:p>
      <w:pPr>
        <w:pStyle w:val="ListBullet"/>
      </w:pPr>
      <w:r>
        <w:t>Approved successor: Where confirmed.</w:t>
      </w:r>
    </w:p>
    <w:p>
      <w:r>
        <w:t>Model-level information can be reused across multiple installed instances, but it must not replace instance-level verification.</w:t>
      </w:r>
    </w:p>
    <w:p>
      <w:pPr>
        <w:pStyle w:val="Heading3"/>
      </w:pPr>
      <w:r>
        <w:t>7.2 Instance-level mapping</w:t>
      </w:r>
    </w:p>
    <w:p>
      <w:r>
        <w:t>Records an individual installed device.</w:t>
      </w:r>
    </w:p>
    <w:p>
      <w:r>
        <w:t>Example:</w:t>
      </w:r>
    </w:p>
    <w:p>
      <w:pPr>
        <w:pStyle w:val="ListBullet"/>
      </w:pPr>
      <w:r>
        <w:t xml:space="preserve">Equipment: </w:t>
      </w:r>
      <w:r>
        <w:rPr>
          <w:rFonts w:ascii="Consolas" w:hAnsi="Consolas"/>
          <w:color w:val="333333"/>
          <w:sz w:val="19"/>
          <w:shd w:val="clear" w:color="auto" w:fill="EFEFEF"/>
        </w:rPr>
        <w:t>CH-105</w:t>
      </w:r>
      <w:r>
        <w:t>.</w:t>
      </w:r>
    </w:p>
    <w:p>
      <w:pPr>
        <w:pStyle w:val="ListBullet"/>
      </w:pPr>
      <w:r>
        <w:t xml:space="preserve">Component tag: </w:t>
      </w:r>
      <w:r>
        <w:rPr>
          <w:rFonts w:ascii="Consolas" w:hAnsi="Consolas"/>
          <w:color w:val="333333"/>
          <w:sz w:val="19"/>
          <w:shd w:val="clear" w:color="auto" w:fill="EFEFEF"/>
        </w:rPr>
        <w:t>PLC-01</w:t>
      </w:r>
      <w:r>
        <w:t>.</w:t>
      </w:r>
    </w:p>
    <w:p>
      <w:pPr>
        <w:pStyle w:val="ListBullet"/>
      </w:pPr>
      <w:r>
        <w:t>Model: Exact CPU model.</w:t>
      </w:r>
    </w:p>
    <w:p>
      <w:pPr>
        <w:pStyle w:val="ListBullet"/>
      </w:pPr>
      <w:r>
        <w:t>Serial number: Verified device serial number.</w:t>
      </w:r>
    </w:p>
    <w:p>
      <w:pPr>
        <w:pStyle w:val="ListBullet"/>
      </w:pPr>
      <w:r>
        <w:t>Firmware: Observed installed version.</w:t>
      </w:r>
    </w:p>
    <w:p>
      <w:pPr>
        <w:pStyle w:val="ListBullet"/>
      </w:pPr>
      <w:r>
        <w:t xml:space="preserve">Installation location: Control cabinet </w:t>
      </w:r>
      <w:r>
        <w:rPr>
          <w:rFonts w:ascii="Consolas" w:hAnsi="Consolas"/>
          <w:color w:val="333333"/>
          <w:sz w:val="19"/>
          <w:shd w:val="clear" w:color="auto" w:fill="EFEFEF"/>
        </w:rPr>
        <w:t>CC-105</w:t>
      </w:r>
      <w:r>
        <w:t>.</w:t>
      </w:r>
    </w:p>
    <w:p>
      <w:pPr>
        <w:pStyle w:val="ListBullet"/>
      </w:pPr>
      <w:r>
        <w:t>Backup reference: Approved repository path or record ID.</w:t>
      </w:r>
    </w:p>
    <w:p>
      <w:pPr>
        <w:pStyle w:val="ListBullet"/>
      </w:pPr>
      <w:r>
        <w:t>Verification date: Actual inspection date.</w:t>
      </w:r>
    </w:p>
    <w:p>
      <w:r>
        <w:t>Two devices with the same model may have different firmware, revisions, configurations, or application dependencies. This is why model-level and instance-level data should not be collapsed into one record.</w:t>
      </w:r>
    </w:p>
    <w:p>
      <w:pPr>
        <w:pStyle w:val="Heading2"/>
      </w:pPr>
      <w:r>
        <w:t>8. Installed-Base Data Collection Process</w:t>
      </w:r>
    </w:p>
    <w:p>
      <w:pPr>
        <w:shd w:val="clear" w:color="auto" w:fill="F4F4F4"/>
        <w:spacing w:before="0" w:after="0" w:line="240" w:lineRule="auto"/>
        <w:ind w:left="216" w:right="216"/>
        <w:jc w:val="left"/>
      </w:pPr>
      <w:r>
        <w:rPr>
          <w:rFonts w:ascii="Consolas" w:hAnsi="Consolas"/>
          <w:color w:val="202020"/>
          <w:sz w:val="18"/>
        </w:rPr>
        <w:t>Define Mapping Scope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Existing Asset Registers and Drawings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Equipment and Component Instances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Nameplates, Labels, and Installed Hardware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Model, Part Number, Serial Number, and Versions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Actual Installation Against Existing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Resolve Missing Data and Configuration Differences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Criticality, Lifecycle, and Spare Availability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Link BOMs, Drawings, Backups, and Spare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and Approve the Installed-Base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Establish Periodic and Change-Triggered Updates</w:t>
      </w:r>
    </w:p>
    <w:p/>
    <w:p>
      <w:r>
        <w:t>Data collection should use a defined method. Otherwise, different technicians may record the same component differently, turning the register into a collection of personal interpretations.</w:t>
      </w:r>
    </w:p>
    <w:p>
      <w:pPr>
        <w:pStyle w:val="Heading2"/>
      </w:pPr>
      <w:r>
        <w:t>9. Sources of Installed-Base Information</w:t>
      </w:r>
    </w:p>
    <w:p>
      <w:r>
        <w:t>Use several sources and establish which source is authoritative for each field.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Source</w:t>
            </w:r>
          </w:p>
        </w:tc>
        <w:tc>
          <w:tcPr>
            <w:tcW w:type="dxa" w:w="3600"/>
            <w:shd w:val="clear" w:color="auto" w:fill="EEF2F7"/>
          </w:tcPr>
          <w:p>
            <w:pPr>
              <w:spacing w:after="0" w:before="0" w:line="240" w:lineRule="auto"/>
              <w:jc w:val="left"/>
            </w:pPr>
            <w:r>
              <w:rPr>
                <w:b/>
                <w:color w:val="1A2E4A"/>
              </w:rPr>
              <w:t>Best use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Physical nameplate</w:t>
            </w:r>
          </w:p>
        </w:tc>
        <w:tc>
          <w:tcPr>
            <w:tcW w:type="dxa" w:w="3600"/>
          </w:tcPr>
          <w:p>
            <w:pPr>
              <w:spacing w:after="0" w:before="0" w:line="240" w:lineRule="auto"/>
              <w:jc w:val="left"/>
            </w:pPr>
            <w:r>
              <w:t>Manufacturer, model, serial number</w:t>
            </w:r>
          </w:p>
        </w:tc>
        <w:tc>
          <w:tcPr>
            <w:tcW w:type="dxa" w:w="3600"/>
          </w:tcPr>
          <w:p>
            <w:pPr>
              <w:spacing w:after="0" w:before="0" w:line="240" w:lineRule="auto"/>
              <w:jc w:val="left"/>
            </w:pPr>
            <w:r>
              <w:t>May be inaccessible or damaged</w:t>
            </w:r>
          </w:p>
        </w:tc>
      </w:tr>
      <w:tr>
        <w:tc>
          <w:tcPr>
            <w:tcW w:type="dxa" w:w="3600"/>
          </w:tcPr>
          <w:p>
            <w:pPr>
              <w:spacing w:after="0" w:before="0" w:line="240" w:lineRule="auto"/>
              <w:jc w:val="left"/>
            </w:pPr>
            <w:r>
              <w:t>Hardware labels</w:t>
            </w:r>
          </w:p>
        </w:tc>
        <w:tc>
          <w:tcPr>
            <w:tcW w:type="dxa" w:w="3600"/>
          </w:tcPr>
          <w:p>
            <w:pPr>
              <w:spacing w:after="0" w:before="0" w:line="240" w:lineRule="auto"/>
              <w:jc w:val="left"/>
            </w:pPr>
            <w:r>
              <w:t>Part number and hardware identification</w:t>
            </w:r>
          </w:p>
        </w:tc>
        <w:tc>
          <w:tcPr>
            <w:tcW w:type="dxa" w:w="3600"/>
          </w:tcPr>
          <w:p>
            <w:pPr>
              <w:spacing w:after="0" w:before="0" w:line="240" w:lineRule="auto"/>
              <w:jc w:val="left"/>
            </w:pPr>
            <w:r>
              <w:t>Labels may be incomplete or outdated</w:t>
            </w:r>
          </w:p>
        </w:tc>
      </w:tr>
      <w:tr>
        <w:tc>
          <w:tcPr>
            <w:tcW w:type="dxa" w:w="3600"/>
          </w:tcPr>
          <w:p>
            <w:pPr>
              <w:spacing w:after="0" w:before="0" w:line="240" w:lineRule="auto"/>
              <w:jc w:val="left"/>
            </w:pPr>
            <w:r>
              <w:t>PLC engineering software</w:t>
            </w:r>
          </w:p>
        </w:tc>
        <w:tc>
          <w:tcPr>
            <w:tcW w:type="dxa" w:w="3600"/>
          </w:tcPr>
          <w:p>
            <w:pPr>
              <w:spacing w:after="0" w:before="0" w:line="240" w:lineRule="auto"/>
              <w:jc w:val="left"/>
            </w:pPr>
            <w:r>
              <w:t>Controller configuration and supported diagnostic information</w:t>
            </w:r>
          </w:p>
        </w:tc>
        <w:tc>
          <w:tcPr>
            <w:tcW w:type="dxa" w:w="3600"/>
          </w:tcPr>
          <w:p>
            <w:pPr>
              <w:spacing w:after="0" w:before="0" w:line="240" w:lineRule="auto"/>
              <w:jc w:val="left"/>
            </w:pPr>
            <w:r>
              <w:t>Online access and permissions may be required</w:t>
            </w:r>
          </w:p>
        </w:tc>
      </w:tr>
      <w:tr>
        <w:tc>
          <w:tcPr>
            <w:tcW w:type="dxa" w:w="3600"/>
          </w:tcPr>
          <w:p>
            <w:pPr>
              <w:spacing w:after="0" w:before="0" w:line="240" w:lineRule="auto"/>
              <w:jc w:val="left"/>
            </w:pPr>
            <w:r>
              <w:t>HMI or CNC diagnostics</w:t>
            </w:r>
          </w:p>
        </w:tc>
        <w:tc>
          <w:tcPr>
            <w:tcW w:type="dxa" w:w="3600"/>
          </w:tcPr>
          <w:p>
            <w:pPr>
              <w:spacing w:after="0" w:before="0" w:line="240" w:lineRule="auto"/>
              <w:jc w:val="left"/>
            </w:pPr>
            <w:r>
              <w:t>Version and configuration information</w:t>
            </w:r>
          </w:p>
        </w:tc>
        <w:tc>
          <w:tcPr>
            <w:tcW w:type="dxa" w:w="3600"/>
          </w:tcPr>
          <w:p>
            <w:pPr>
              <w:spacing w:after="0" w:before="0" w:line="240" w:lineRule="auto"/>
              <w:jc w:val="left"/>
            </w:pPr>
            <w:r>
              <w:t>Information availability varies by product</w:t>
            </w:r>
          </w:p>
        </w:tc>
      </w:tr>
      <w:tr>
        <w:tc>
          <w:tcPr>
            <w:tcW w:type="dxa" w:w="3600"/>
          </w:tcPr>
          <w:p>
            <w:pPr>
              <w:spacing w:after="0" w:before="0" w:line="240" w:lineRule="auto"/>
              <w:jc w:val="left"/>
            </w:pPr>
            <w:r>
              <w:t>Drive parameter tools</w:t>
            </w:r>
          </w:p>
        </w:tc>
        <w:tc>
          <w:tcPr>
            <w:tcW w:type="dxa" w:w="3600"/>
          </w:tcPr>
          <w:p>
            <w:pPr>
              <w:spacing w:after="0" w:before="0" w:line="240" w:lineRule="auto"/>
              <w:jc w:val="left"/>
            </w:pPr>
            <w:r>
              <w:t>Model and configured operating parameters</w:t>
            </w:r>
          </w:p>
        </w:tc>
        <w:tc>
          <w:tcPr>
            <w:tcW w:type="dxa" w:w="3600"/>
          </w:tcPr>
          <w:p>
            <w:pPr>
              <w:spacing w:after="0" w:before="0" w:line="240" w:lineRule="auto"/>
              <w:jc w:val="left"/>
            </w:pPr>
            <w:r>
              <w:t>Must follow approved access procedures</w:t>
            </w:r>
          </w:p>
        </w:tc>
      </w:tr>
      <w:tr>
        <w:tc>
          <w:tcPr>
            <w:tcW w:type="dxa" w:w="3600"/>
          </w:tcPr>
          <w:p>
            <w:pPr>
              <w:spacing w:after="0" w:before="0" w:line="240" w:lineRule="auto"/>
              <w:jc w:val="left"/>
            </w:pPr>
            <w:r>
              <w:t>OEM manuals</w:t>
            </w:r>
          </w:p>
        </w:tc>
        <w:tc>
          <w:tcPr>
            <w:tcW w:type="dxa" w:w="3600"/>
          </w:tcPr>
          <w:p>
            <w:pPr>
              <w:spacing w:after="0" w:before="0" w:line="240" w:lineRule="auto"/>
              <w:jc w:val="left"/>
            </w:pPr>
            <w:r>
              <w:t>Original design and product specifications</w:t>
            </w:r>
          </w:p>
        </w:tc>
        <w:tc>
          <w:tcPr>
            <w:tcW w:type="dxa" w:w="3600"/>
          </w:tcPr>
          <w:p>
            <w:pPr>
              <w:spacing w:after="0" w:before="0" w:line="240" w:lineRule="auto"/>
              <w:jc w:val="left"/>
            </w:pPr>
            <w:r>
              <w:t>May not reflect later modifications</w:t>
            </w:r>
          </w:p>
        </w:tc>
      </w:tr>
      <w:tr>
        <w:tc>
          <w:tcPr>
            <w:tcW w:type="dxa" w:w="3600"/>
          </w:tcPr>
          <w:p>
            <w:pPr>
              <w:spacing w:after="0" w:before="0" w:line="240" w:lineRule="auto"/>
              <w:jc w:val="left"/>
            </w:pPr>
            <w:r>
              <w:t>Electrical drawings</w:t>
            </w:r>
          </w:p>
        </w:tc>
        <w:tc>
          <w:tcPr>
            <w:tcW w:type="dxa" w:w="3600"/>
          </w:tcPr>
          <w:p>
            <w:pPr>
              <w:spacing w:after="0" w:before="0" w:line="240" w:lineRule="auto"/>
              <w:jc w:val="left"/>
            </w:pPr>
            <w:r>
              <w:t>Intended wiring and component relationships</w:t>
            </w:r>
          </w:p>
        </w:tc>
        <w:tc>
          <w:tcPr>
            <w:tcW w:type="dxa" w:w="3600"/>
          </w:tcPr>
          <w:p>
            <w:pPr>
              <w:spacing w:after="0" w:before="0" w:line="240" w:lineRule="auto"/>
              <w:jc w:val="left"/>
            </w:pPr>
            <w:r>
              <w:t>Drawings may be outdated</w:t>
            </w:r>
          </w:p>
        </w:tc>
      </w:tr>
      <w:tr>
        <w:tc>
          <w:tcPr>
            <w:tcW w:type="dxa" w:w="3600"/>
          </w:tcPr>
          <w:p>
            <w:pPr>
              <w:spacing w:after="0" w:before="0" w:line="240" w:lineRule="auto"/>
              <w:jc w:val="left"/>
            </w:pPr>
            <w:r>
              <w:t>SAP or asset register</w:t>
            </w:r>
          </w:p>
        </w:tc>
        <w:tc>
          <w:tcPr>
            <w:tcW w:type="dxa" w:w="3600"/>
          </w:tcPr>
          <w:p>
            <w:pPr>
              <w:spacing w:after="0" w:before="0" w:line="240" w:lineRule="auto"/>
              <w:jc w:val="left"/>
            </w:pPr>
            <w:r>
              <w:t>Existing equipment and material records</w:t>
            </w:r>
          </w:p>
        </w:tc>
        <w:tc>
          <w:tcPr>
            <w:tcW w:type="dxa" w:w="3600"/>
          </w:tcPr>
          <w:p>
            <w:pPr>
              <w:spacing w:after="0" w:before="0" w:line="240" w:lineRule="auto"/>
              <w:jc w:val="left"/>
            </w:pPr>
            <w:r>
              <w:t>Data may be incomplete or inaccurate</w:t>
            </w:r>
          </w:p>
        </w:tc>
      </w:tr>
      <w:tr>
        <w:tc>
          <w:tcPr>
            <w:tcW w:type="dxa" w:w="3600"/>
          </w:tcPr>
          <w:p>
            <w:pPr>
              <w:spacing w:after="0" w:before="0" w:line="240" w:lineRule="auto"/>
              <w:jc w:val="left"/>
            </w:pPr>
            <w:r>
              <w:t>Purchase and installation records</w:t>
            </w:r>
          </w:p>
        </w:tc>
        <w:tc>
          <w:tcPr>
            <w:tcW w:type="dxa" w:w="3600"/>
          </w:tcPr>
          <w:p>
            <w:pPr>
              <w:spacing w:after="0" w:before="0" w:line="240" w:lineRule="auto"/>
              <w:jc w:val="left"/>
            </w:pPr>
            <w:r>
              <w:t>Original supplied equipment</w:t>
            </w:r>
          </w:p>
        </w:tc>
        <w:tc>
          <w:tcPr>
            <w:tcW w:type="dxa" w:w="3600"/>
          </w:tcPr>
          <w:p>
            <w:pPr>
              <w:spacing w:after="0" w:before="0" w:line="240" w:lineRule="auto"/>
              <w:jc w:val="left"/>
            </w:pPr>
            <w:r>
              <w:t>May not reflect subsequent changes</w:t>
            </w:r>
          </w:p>
        </w:tc>
      </w:tr>
      <w:tr>
        <w:tc>
          <w:tcPr>
            <w:tcW w:type="dxa" w:w="3600"/>
          </w:tcPr>
          <w:p>
            <w:pPr>
              <w:spacing w:after="0" w:before="0" w:line="240" w:lineRule="auto"/>
              <w:jc w:val="left"/>
            </w:pPr>
            <w:r>
              <w:t>Maintenance history</w:t>
            </w:r>
          </w:p>
        </w:tc>
        <w:tc>
          <w:tcPr>
            <w:tcW w:type="dxa" w:w="3600"/>
          </w:tcPr>
          <w:p>
            <w:pPr>
              <w:spacing w:after="0" w:before="0" w:line="240" w:lineRule="auto"/>
              <w:jc w:val="left"/>
            </w:pPr>
            <w:r>
              <w:t>Replacements, failures, and modifications</w:t>
            </w:r>
          </w:p>
        </w:tc>
        <w:tc>
          <w:tcPr>
            <w:tcW w:type="dxa" w:w="3600"/>
          </w:tcPr>
          <w:p>
            <w:pPr>
              <w:spacing w:after="0" w:before="0" w:line="240" w:lineRule="auto"/>
              <w:jc w:val="left"/>
            </w:pPr>
            <w:r>
              <w:t>Free-text records may be ambiguous</w:t>
            </w:r>
          </w:p>
        </w:tc>
      </w:tr>
      <w:tr>
        <w:tc>
          <w:tcPr>
            <w:tcW w:type="dxa" w:w="3600"/>
          </w:tcPr>
          <w:p>
            <w:pPr>
              <w:spacing w:after="0" w:before="0" w:line="240" w:lineRule="auto"/>
              <w:jc w:val="left"/>
            </w:pPr>
            <w:r>
              <w:t>Approved change records</w:t>
            </w:r>
          </w:p>
        </w:tc>
        <w:tc>
          <w:tcPr>
            <w:tcW w:type="dxa" w:w="3600"/>
          </w:tcPr>
          <w:p>
            <w:pPr>
              <w:spacing w:after="0" w:before="0" w:line="240" w:lineRule="auto"/>
              <w:jc w:val="left"/>
            </w:pPr>
            <w:r>
              <w:t>Authoritative record of engineering changes</w:t>
            </w:r>
          </w:p>
        </w:tc>
        <w:tc>
          <w:tcPr>
            <w:tcW w:type="dxa" w:w="3600"/>
          </w:tcPr>
          <w:p>
            <w:pPr>
              <w:spacing w:after="0" w:before="0" w:line="240" w:lineRule="auto"/>
              <w:jc w:val="left"/>
            </w:pPr>
            <w:r>
              <w:t>Historical changes may be missing</w:t>
            </w:r>
          </w:p>
        </w:tc>
      </w:tr>
    </w:tbl>
    <w:p/>
    <w:p>
      <w:r>
        <w:t>For conflicting records, retain the discrepancy, identify the evidence used to resolve it, and update the authoritative system through the approved process.</w:t>
      </w:r>
    </w:p>
    <w:p>
      <w:pPr>
        <w:pStyle w:val="Heading2"/>
      </w:pPr>
      <w:r>
        <w:t>10. Installed-Base Mapping for PLC Systems</w:t>
      </w:r>
    </w:p>
    <w:p>
      <w:r>
        <w:t>For each PLC-controlled machine, record the installed controller architecture sufficiently to support maintenance and lifecycle decisions.</w:t>
      </w:r>
    </w:p>
    <w:p>
      <w:r>
        <w:t>Relevant details include:</w:t>
      </w:r>
    </w:p>
    <w:p>
      <w:pPr>
        <w:pStyle w:val="ListBullet"/>
      </w:pPr>
      <w:r>
        <w:t>PLC manufacturer and family.</w:t>
      </w:r>
    </w:p>
    <w:p>
      <w:pPr>
        <w:pStyle w:val="ListBullet"/>
      </w:pPr>
      <w:r>
        <w:t>CPU model and serial number where available.</w:t>
      </w:r>
    </w:p>
    <w:p>
      <w:pPr>
        <w:pStyle w:val="ListBullet"/>
      </w:pPr>
      <w:r>
        <w:t>Hardware revision.</w:t>
      </w:r>
    </w:p>
    <w:p>
      <w:pPr>
        <w:pStyle w:val="ListBullet"/>
      </w:pPr>
      <w:r>
        <w:t>Firmware version.</w:t>
      </w:r>
    </w:p>
    <w:p>
      <w:pPr>
        <w:pStyle w:val="ListBullet"/>
      </w:pPr>
      <w:r>
        <w:t>Rack or chassis configuration.</w:t>
      </w:r>
    </w:p>
    <w:p>
      <w:pPr>
        <w:pStyle w:val="ListBullet"/>
      </w:pPr>
      <w:r>
        <w:t>Power supply.</w:t>
      </w:r>
    </w:p>
    <w:p>
      <w:pPr>
        <w:pStyle w:val="ListBullet"/>
      </w:pPr>
      <w:r>
        <w:t>Communication modules.</w:t>
      </w:r>
    </w:p>
    <w:p>
      <w:pPr>
        <w:pStyle w:val="ListBullet"/>
      </w:pPr>
      <w:r>
        <w:t>Digital and analog I/O modules.</w:t>
      </w:r>
    </w:p>
    <w:p>
      <w:pPr>
        <w:pStyle w:val="ListBullet"/>
      </w:pPr>
      <w:r>
        <w:t>Remote I/O adapters and stations.</w:t>
      </w:r>
    </w:p>
    <w:p>
      <w:pPr>
        <w:pStyle w:val="ListBullet"/>
      </w:pPr>
      <w:r>
        <w:t>Network interface details.</w:t>
      </w:r>
    </w:p>
    <w:p>
      <w:pPr>
        <w:pStyle w:val="ListBullet"/>
      </w:pPr>
      <w:r>
        <w:t>Engineering software compatibility.</w:t>
      </w:r>
    </w:p>
    <w:p>
      <w:pPr>
        <w:pStyle w:val="ListBullet"/>
      </w:pPr>
      <w:r>
        <w:t>Relevant project and configuration backup references.</w:t>
      </w:r>
    </w:p>
    <w:p>
      <w:pPr>
        <w:pStyle w:val="ListBullet"/>
      </w:pPr>
      <w:r>
        <w:t>Installed expansion modules.</w:t>
      </w:r>
    </w:p>
    <w:p>
      <w:pPr>
        <w:pStyle w:val="ListBullet"/>
      </w:pPr>
      <w:r>
        <w:t>Approved replacement or migration path.</w:t>
      </w:r>
    </w:p>
    <w:p>
      <w:r>
        <w:t>For example, two machines may both be described as using an Allen-Bradley PLC, but one may use a MicroLogix controller and the other a CompactLogix or ControlLogix system. Their spare parts, engineering tools, communication requirements, and migration strategies may differ substantially.</w:t>
      </w:r>
    </w:p>
    <w:p>
      <w:r>
        <w:t>Do not treat the manufacturer name alone as useful installed-base identification.</w:t>
      </w:r>
    </w:p>
    <w:p>
      <w:pPr>
        <w:pStyle w:val="Heading2"/>
      </w:pPr>
      <w:r>
        <w:t>11. Installed-Base Mapping for CNC Machines</w:t>
      </w:r>
    </w:p>
    <w:p>
      <w:r>
        <w:t>A CNC machine's installed base includes the CNC control and its supporting hardware, not just the controller model displayed on the operator panel.</w:t>
      </w:r>
    </w:p>
    <w:p>
      <w:r>
        <w:t>Record, where applicable:</w:t>
      </w:r>
    </w:p>
    <w:p>
      <w:pPr>
        <w:pStyle w:val="ListBullet"/>
      </w:pPr>
      <w:r>
        <w:t>CNC control family and exact model.</w:t>
      </w:r>
    </w:p>
    <w:p>
      <w:pPr>
        <w:pStyle w:val="ListBullet"/>
      </w:pPr>
      <w:r>
        <w:t>CNC software or system version.</w:t>
      </w:r>
    </w:p>
    <w:p>
      <w:pPr>
        <w:pStyle w:val="ListBullet"/>
      </w:pPr>
      <w:r>
        <w:t>Servo drive models.</w:t>
      </w:r>
    </w:p>
    <w:p>
      <w:pPr>
        <w:pStyle w:val="ListBullet"/>
      </w:pPr>
      <w:r>
        <w:t>Spindle drive and motor models.</w:t>
      </w:r>
    </w:p>
    <w:p>
      <w:pPr>
        <w:pStyle w:val="ListBullet"/>
      </w:pPr>
      <w:r>
        <w:t>Servo motors and feedback devices.</w:t>
      </w:r>
    </w:p>
    <w:p>
      <w:pPr>
        <w:pStyle w:val="ListBullet"/>
      </w:pPr>
      <w:r>
        <w:t>Operator panel and display.</w:t>
      </w:r>
    </w:p>
    <w:p>
      <w:pPr>
        <w:pStyle w:val="ListBullet"/>
      </w:pPr>
      <w:r>
        <w:t>PLC or machine-builder control hardware.</w:t>
      </w:r>
    </w:p>
    <w:p>
      <w:pPr>
        <w:pStyle w:val="ListBullet"/>
      </w:pPr>
      <w:r>
        <w:t>I/O modules.</w:t>
      </w:r>
    </w:p>
    <w:p>
      <w:pPr>
        <w:pStyle w:val="ListBullet"/>
      </w:pPr>
      <w:r>
        <w:t>Communication interfaces.</w:t>
      </w:r>
    </w:p>
    <w:p>
      <w:pPr>
        <w:pStyle w:val="ListBullet"/>
      </w:pPr>
      <w:r>
        <w:t>Machine-builder-specific interface boards.</w:t>
      </w:r>
    </w:p>
    <w:p>
      <w:pPr>
        <w:pStyle w:val="ListBullet"/>
      </w:pPr>
      <w:r>
        <w:t>Cooling units and critical cabinet components.</w:t>
      </w:r>
    </w:p>
    <w:p>
      <w:pPr>
        <w:pStyle w:val="ListBullet"/>
      </w:pPr>
      <w:r>
        <w:t>Parameter and software backup references.</w:t>
      </w:r>
    </w:p>
    <w:p>
      <w:pPr>
        <w:pStyle w:val="ListBullet"/>
      </w:pPr>
      <w:r>
        <w:t>Machine serial number and build configuration.</w:t>
      </w:r>
    </w:p>
    <w:p>
      <w:r>
        <w:t>A CNC control from a known family may be surrounded by machine-builder-specific hardware. Mapping only the CNC controller can therefore leave major restoration risks undocumented.</w:t>
      </w:r>
    </w:p>
    <w:p>
      <w:pPr>
        <w:pStyle w:val="Heading2"/>
      </w:pPr>
      <w:r>
        <w:t>12. Installed-Base Mapping for Robots</w:t>
      </w:r>
    </w:p>
    <w:p>
      <w:r>
        <w:t>Record the complete robot system relevant to maintenance.</w:t>
      </w:r>
    </w:p>
    <w:p>
      <w:pPr>
        <w:pStyle w:val="ListBullet"/>
      </w:pPr>
      <w:r>
        <w:t>Robot manufacturer and manipulator model.</w:t>
      </w:r>
    </w:p>
    <w:p>
      <w:pPr>
        <w:pStyle w:val="ListBullet"/>
      </w:pPr>
      <w:r>
        <w:t>Robot serial number.</w:t>
      </w:r>
    </w:p>
    <w:p>
      <w:pPr>
        <w:pStyle w:val="ListBullet"/>
      </w:pPr>
      <w:r>
        <w:t>Controller family and model.</w:t>
      </w:r>
    </w:p>
    <w:p>
      <w:pPr>
        <w:pStyle w:val="ListBullet"/>
      </w:pPr>
      <w:r>
        <w:t>Controller hardware revision.</w:t>
      </w:r>
    </w:p>
    <w:p>
      <w:pPr>
        <w:pStyle w:val="ListBullet"/>
      </w:pPr>
      <w:r>
        <w:t>Software version.</w:t>
      </w:r>
    </w:p>
    <w:p>
      <w:pPr>
        <w:pStyle w:val="ListBullet"/>
      </w:pPr>
      <w:r>
        <w:t>Servo amplifier and motor models where relevant.</w:t>
      </w:r>
    </w:p>
    <w:p>
      <w:pPr>
        <w:pStyle w:val="ListBullet"/>
      </w:pPr>
      <w:r>
        <w:t>Teach pendant model.</w:t>
      </w:r>
    </w:p>
    <w:p>
      <w:pPr>
        <w:pStyle w:val="ListBullet"/>
      </w:pPr>
      <w:r>
        <w:t>Safety interface hardware.</w:t>
      </w:r>
    </w:p>
    <w:p>
      <w:pPr>
        <w:pStyle w:val="ListBullet"/>
      </w:pPr>
      <w:r>
        <w:t>Network and communication interfaces.</w:t>
      </w:r>
    </w:p>
    <w:p>
      <w:pPr>
        <w:pStyle w:val="ListBullet"/>
      </w:pPr>
      <w:r>
        <w:t>End-of-arm tooling.</w:t>
      </w:r>
    </w:p>
    <w:p>
      <w:pPr>
        <w:pStyle w:val="ListBullet"/>
      </w:pPr>
      <w:r>
        <w:t>Dress-pack and robot cable types.</w:t>
      </w:r>
    </w:p>
    <w:p>
      <w:pPr>
        <w:pStyle w:val="ListBullet"/>
      </w:pPr>
      <w:r>
        <w:t>Approved backup references.</w:t>
      </w:r>
    </w:p>
    <w:p>
      <w:pPr>
        <w:pStyle w:val="ListBullet"/>
      </w:pPr>
      <w:r>
        <w:t>Applicable spare-part and repair references.</w:t>
      </w:r>
    </w:p>
    <w:p>
      <w:r>
        <w:t>The manipulator and controller must be identified separately because they are distinct assets with different replacement and lifecycle requirements.</w:t>
      </w:r>
    </w:p>
    <w:p>
      <w:r>
        <w:t>Safety-related changes, controller migrations, and motion-component replacements require appropriate engineering validation.</w:t>
      </w:r>
    </w:p>
    <w:p>
      <w:pPr>
        <w:pStyle w:val="Heading2"/>
      </w:pPr>
      <w:r>
        <w:t>13. Installed-Base Mapping for VFDs and Servo Drives</w:t>
      </w:r>
    </w:p>
    <w:p>
      <w:r>
        <w:t>For each drive, record:</w:t>
      </w:r>
    </w:p>
    <w:p>
      <w:pPr>
        <w:pStyle w:val="ListBullet"/>
      </w:pPr>
      <w:r>
        <w:t>Manufacturer and exact model.</w:t>
      </w:r>
    </w:p>
    <w:p>
      <w:pPr>
        <w:pStyle w:val="ListBullet"/>
      </w:pPr>
      <w:r>
        <w:t>Serial number where available.</w:t>
      </w:r>
    </w:p>
    <w:p>
      <w:pPr>
        <w:pStyle w:val="ListBullet"/>
      </w:pPr>
      <w:r>
        <w:t>Rated input supply.</w:t>
      </w:r>
    </w:p>
    <w:p>
      <w:pPr>
        <w:pStyle w:val="ListBullet"/>
      </w:pPr>
      <w:r>
        <w:t>Rated output current and power.</w:t>
      </w:r>
    </w:p>
    <w:p>
      <w:pPr>
        <w:pStyle w:val="ListBullet"/>
      </w:pPr>
      <w:r>
        <w:t>Firmware or software version where relevant.</w:t>
      </w:r>
    </w:p>
    <w:p>
      <w:pPr>
        <w:pStyle w:val="ListBullet"/>
      </w:pPr>
      <w:r>
        <w:t>Motor application and associated equipment.</w:t>
      </w:r>
    </w:p>
    <w:p>
      <w:pPr>
        <w:pStyle w:val="ListBullet"/>
      </w:pPr>
      <w:r>
        <w:t>Control mode.</w:t>
      </w:r>
    </w:p>
    <w:p>
      <w:pPr>
        <w:pStyle w:val="ListBullet"/>
      </w:pPr>
      <w:r>
        <w:t>Communication option or interface.</w:t>
      </w:r>
    </w:p>
    <w:p>
      <w:pPr>
        <w:pStyle w:val="ListBullet"/>
      </w:pPr>
      <w:r>
        <w:t>Encoder or feedback compatibility.</w:t>
      </w:r>
    </w:p>
    <w:p>
      <w:pPr>
        <w:pStyle w:val="ListBullet"/>
      </w:pPr>
      <w:r>
        <w:t>Braking hardware and associated components.</w:t>
      </w:r>
    </w:p>
    <w:p>
      <w:pPr>
        <w:pStyle w:val="ListBullet"/>
      </w:pPr>
      <w:r>
        <w:t>Relevant parameter backup reference.</w:t>
      </w:r>
    </w:p>
    <w:p>
      <w:pPr>
        <w:pStyle w:val="ListBullet"/>
      </w:pPr>
      <w:r>
        <w:t>Lifecycle status.</w:t>
      </w:r>
    </w:p>
    <w:p>
      <w:pPr>
        <w:pStyle w:val="ListBullet"/>
      </w:pPr>
      <w:r>
        <w:t>Approved replacement model or migration strategy.</w:t>
      </w:r>
    </w:p>
    <w:p>
      <w:r>
        <w:t>A drive's power rating alone does not establish interchangeability. Motor current, duty, braking, communication, control behavior, feedback, safety functions, and cabinet requirements may all affect the replacement decision.</w:t>
      </w:r>
    </w:p>
    <w:p>
      <w:pPr>
        <w:pStyle w:val="Heading2"/>
      </w:pPr>
      <w:r>
        <w:t>14. Installed-Base Mapping and Obsolescence</w:t>
      </w:r>
    </w:p>
    <w:p>
      <w:r>
        <w:t>Installed-base mapping makes obsolescence visible at plant scale.</w:t>
      </w:r>
    </w:p>
    <w:p>
      <w:r>
        <w:t>A lifecycle assessment should consider:</w:t>
      </w:r>
    </w:p>
    <w:p>
      <w:pPr>
        <w:pStyle w:val="ListBullet"/>
      </w:pPr>
      <w:r>
        <w:t>Product availability.</w:t>
      </w:r>
    </w:p>
    <w:p>
      <w:pPr>
        <w:pStyle w:val="ListBullet"/>
      </w:pPr>
      <w:r>
        <w:t>Manufacturer support status.</w:t>
      </w:r>
    </w:p>
    <w:p>
      <w:pPr>
        <w:pStyle w:val="ListBullet"/>
      </w:pPr>
      <w:r>
        <w:t>Firmware and software support.</w:t>
      </w:r>
    </w:p>
    <w:p>
      <w:pPr>
        <w:pStyle w:val="ListBullet"/>
      </w:pPr>
      <w:r>
        <w:t>Spare availability.</w:t>
      </w:r>
    </w:p>
    <w:p>
      <w:pPr>
        <w:pStyle w:val="ListBullet"/>
      </w:pPr>
      <w:r>
        <w:t>Repair service availability.</w:t>
      </w:r>
    </w:p>
    <w:p>
      <w:pPr>
        <w:pStyle w:val="ListBullet"/>
      </w:pPr>
      <w:r>
        <w:t>Lead time.</w:t>
      </w:r>
    </w:p>
    <w:p>
      <w:pPr>
        <w:pStyle w:val="ListBullet"/>
      </w:pPr>
      <w:r>
        <w:t>Availability of approved replacements.</w:t>
      </w:r>
    </w:p>
    <w:p>
      <w:pPr>
        <w:pStyle w:val="ListBullet"/>
      </w:pPr>
      <w:r>
        <w:t>Required engineering tools.</w:t>
      </w:r>
    </w:p>
    <w:p>
      <w:pPr>
        <w:pStyle w:val="ListBullet"/>
      </w:pPr>
      <w:r>
        <w:t>Cybersecurity and network support implications.</w:t>
      </w:r>
    </w:p>
    <w:p>
      <w:pPr>
        <w:pStyle w:val="ListBullet"/>
      </w:pPr>
      <w:r>
        <w:t>Number of installed instances.</w:t>
      </w:r>
    </w:p>
    <w:p>
      <w:pPr>
        <w:pStyle w:val="ListBullet"/>
      </w:pPr>
      <w:r>
        <w:t>Consequence of a failure.</w:t>
      </w:r>
    </w:p>
    <w:p>
      <w:pPr>
        <w:pStyle w:val="ListBullet"/>
      </w:pPr>
      <w:r>
        <w:t>Migration complexity and cost.</w:t>
      </w:r>
    </w:p>
    <w:p>
      <w:r>
        <w:t>Use verified manufacturer information for lifecycle status. A product should not be marked obsolete merely because a supplier has no stock, and a product still listed online should not automatically be considered fully supported.</w:t>
      </w:r>
    </w:p>
    <w:p>
      <w:r>
        <w:t>Useful lifecycle categories include:</w:t>
      </w:r>
    </w:p>
    <w:p>
      <w:pPr>
        <w:pStyle w:val="ListBullet"/>
      </w:pPr>
      <w:r>
        <w:t>Active: Product is currently available and supported according to verified information.</w:t>
      </w:r>
    </w:p>
    <w:p>
      <w:pPr>
        <w:pStyle w:val="ListBullet"/>
      </w:pPr>
      <w:r>
        <w:t>Restricted: Availability or support has limitations.</w:t>
      </w:r>
    </w:p>
    <w:p>
      <w:pPr>
        <w:pStyle w:val="ListBullet"/>
      </w:pPr>
      <w:r>
        <w:t>Discontinued: Manufacturer has stopped normal production or sales.</w:t>
      </w:r>
    </w:p>
    <w:p>
      <w:pPr>
        <w:pStyle w:val="ListBullet"/>
      </w:pPr>
      <w:r>
        <w:t>Unsupported: Relevant technical support is no longer available.</w:t>
      </w:r>
    </w:p>
    <w:p>
      <w:pPr>
        <w:pStyle w:val="ListBullet"/>
      </w:pPr>
      <w:r>
        <w:t>Obsolescence risk: Future availability or support presents a documented risk.</w:t>
      </w:r>
    </w:p>
    <w:p>
      <w:pPr>
        <w:pStyle w:val="ListBullet"/>
      </w:pPr>
      <w:r>
        <w:t>Unknown: Evidence is insufficient to establish status.</w:t>
      </w:r>
    </w:p>
    <w:p>
      <w:r>
        <w:t>The exact categories should be defined consistently within the plant.</w:t>
      </w:r>
    </w:p>
    <w:p>
      <w:pPr>
        <w:pStyle w:val="Heading2"/>
      </w:pPr>
      <w:r>
        <w:t>15. Installed-Base Criticality and Risk Prioritization</w:t>
      </w:r>
    </w:p>
    <w:p>
      <w:r>
        <w:t>Not every installed component deserves equal attention. Prioritize mapping and review effort according to consequence and uncertainty.</w:t>
      </w:r>
    </w:p>
    <w:p>
      <w:r>
        <w:t>Important factors include:</w:t>
      </w:r>
    </w:p>
    <w:p>
      <w:pPr>
        <w:pStyle w:val="ListBullet"/>
      </w:pPr>
      <w:r>
        <w:t>Safety impact.</w:t>
      </w:r>
    </w:p>
    <w:p>
      <w:pPr>
        <w:pStyle w:val="ListBullet"/>
      </w:pPr>
      <w:r>
        <w:t>Production downtime consequence.</w:t>
      </w:r>
    </w:p>
    <w:p>
      <w:pPr>
        <w:pStyle w:val="ListBullet"/>
      </w:pPr>
      <w:r>
        <w:t>Quality impact.</w:t>
      </w:r>
    </w:p>
    <w:p>
      <w:pPr>
        <w:pStyle w:val="ListBullet"/>
      </w:pPr>
      <w:r>
        <w:t>Environmental or regulatory impact.</w:t>
      </w:r>
    </w:p>
    <w:p>
      <w:pPr>
        <w:pStyle w:val="ListBullet"/>
      </w:pPr>
      <w:r>
        <w:t>Repairability.</w:t>
      </w:r>
    </w:p>
    <w:p>
      <w:pPr>
        <w:pStyle w:val="ListBullet"/>
      </w:pPr>
      <w:r>
        <w:t>Supplier lead time.</w:t>
      </w:r>
    </w:p>
    <w:p>
      <w:pPr>
        <w:pStyle w:val="ListBullet"/>
      </w:pPr>
      <w:r>
        <w:t>Number of installed units.</w:t>
      </w:r>
    </w:p>
    <w:p>
      <w:pPr>
        <w:pStyle w:val="ListBullet"/>
      </w:pPr>
      <w:r>
        <w:t>Availability of compatible alternatives.</w:t>
      </w:r>
    </w:p>
    <w:p>
      <w:pPr>
        <w:pStyle w:val="ListBullet"/>
      </w:pPr>
      <w:r>
        <w:t>Product lifecycle.</w:t>
      </w:r>
    </w:p>
    <w:p>
      <w:pPr>
        <w:pStyle w:val="ListBullet"/>
      </w:pPr>
      <w:r>
        <w:t>Dependency on proprietary software or hardware.</w:t>
      </w:r>
    </w:p>
    <w:p>
      <w:pPr>
        <w:pStyle w:val="ListBullet"/>
      </w:pPr>
      <w:r>
        <w:t>Common-cause failure exposure.</w:t>
      </w:r>
    </w:p>
    <w:p>
      <w:pPr>
        <w:pStyle w:val="ListBullet"/>
      </w:pPr>
      <w:r>
        <w:t>Availability of tested backups and recovery procedures.</w:t>
      </w:r>
    </w:p>
    <w:p>
      <w:r>
        <w:t>A useful conceptual prioritization model is:</w:t>
      </w:r>
    </w:p>
    <w:p>
      <w:pPr>
        <w:spacing w:before="120" w:after="160"/>
        <w:jc w:val="center"/>
      </w:pPr>
      <m:oMathPara>
        <m:oMath>
          <m:r>
            <m:t>R=C×L×U</m:t>
          </m:r>
        </m:oMath>
      </m:oMathPara>
    </w:p>
    <w:p>
      <w:r>
        <w:t>Where:</w:t>
      </w:r>
    </w:p>
    <w:p>
      <w:pPr>
        <w:pStyle w:val="ListBullet"/>
      </w:pPr>
      <m:oMath>
        <m:r>
          <m:t>R</m:t>
        </m:r>
      </m:oMath>
      <w:r>
        <w:t xml:space="preserve"> = prioritization score.</w:t>
      </w:r>
    </w:p>
    <w:p>
      <w:pPr>
        <w:pStyle w:val="ListBullet"/>
      </w:pPr>
      <m:oMath>
        <m:r>
          <m:t>C</m:t>
        </m:r>
      </m:oMath>
      <w:r>
        <w:t xml:space="preserve"> = consequence or criticality score.</w:t>
      </w:r>
    </w:p>
    <w:p>
      <w:pPr>
        <w:pStyle w:val="ListBullet"/>
      </w:pPr>
      <m:oMath>
        <m:r>
          <m:t>L</m:t>
        </m:r>
      </m:oMath>
      <w:r>
        <w:t xml:space="preserve"> = lifecycle or supply-risk score.</w:t>
      </w:r>
    </w:p>
    <w:p>
      <w:pPr>
        <w:pStyle w:val="ListBullet"/>
      </w:pPr>
      <m:oMath>
        <m:r>
          <m:t>U</m:t>
        </m:r>
      </m:oMath>
      <w:r>
        <w:t xml:space="preserve"> = uncertainty or data-quality score.</w:t>
      </w:r>
    </w:p>
    <w:p>
      <w:r>
        <w:t>This is a simple screening model, not a universally standardized risk formula. The organization must define the scoring scales and thresholds before using the result to rank equipment.</w:t>
      </w:r>
    </w:p>
    <w:p>
      <w:r>
        <w:t>A safety-critical component should still follow mandatory safety requirements regardless of its numerical score.</w:t>
      </w:r>
    </w:p>
    <w:p>
      <w:pPr>
        <w:pStyle w:val="Heading2"/>
      </w:pPr>
      <w:r>
        <w:t>16. Installed Population and Commonality Analysis</w:t>
      </w:r>
    </w:p>
    <w:p>
      <w:r>
        <w:t>Installed-base mapping helps identify how many machines depend on a specific component or product family.</w:t>
      </w:r>
    </w:p>
    <w:p>
      <w:r>
        <w:t>Suppose a plant has:</w:t>
      </w:r>
    </w:p>
    <w:p>
      <w:pPr>
        <w:pStyle w:val="ListBullet"/>
      </w:pPr>
      <w:r>
        <w:t>12 machines using one PLC CPU family.</w:t>
      </w:r>
    </w:p>
    <w:p>
      <w:pPr>
        <w:pStyle w:val="ListBullet"/>
      </w:pPr>
      <w:r>
        <w:t>8 machines using a different CPU family.</w:t>
      </w:r>
    </w:p>
    <w:p>
      <w:pPr>
        <w:pStyle w:val="ListBullet"/>
      </w:pPr>
      <w:r>
        <w:t>20 machines using the same remote I/O adapter.</w:t>
      </w:r>
    </w:p>
    <w:p>
      <w:pPr>
        <w:pStyle w:val="ListBullet"/>
      </w:pPr>
      <w:r>
        <w:t>15 drives of one discontinued model.</w:t>
      </w:r>
    </w:p>
    <w:p>
      <w:r>
        <w:t>This information can support:</w:t>
      </w:r>
    </w:p>
    <w:p>
      <w:pPr>
        <w:pStyle w:val="ListBullet"/>
      </w:pPr>
      <w:r>
        <w:t>Shared-spare planning.</w:t>
      </w:r>
    </w:p>
    <w:p>
      <w:pPr>
        <w:pStyle w:val="ListBullet"/>
      </w:pPr>
      <w:r>
        <w:t>Commonality-based standardization.</w:t>
      </w:r>
    </w:p>
    <w:p>
      <w:pPr>
        <w:pStyle w:val="ListBullet"/>
      </w:pPr>
      <w:r>
        <w:t>Vendor negotiation.</w:t>
      </w:r>
    </w:p>
    <w:p>
      <w:pPr>
        <w:pStyle w:val="ListBullet"/>
      </w:pPr>
      <w:r>
        <w:t>Obsolescence prioritization.</w:t>
      </w:r>
    </w:p>
    <w:p>
      <w:pPr>
        <w:pStyle w:val="ListBullet"/>
      </w:pPr>
      <w:r>
        <w:t>Migration planning.</w:t>
      </w:r>
    </w:p>
    <w:p>
      <w:pPr>
        <w:pStyle w:val="ListBullet"/>
      </w:pPr>
      <w:r>
        <w:t>Identification of plant-wide exposure to a component shortage.</w:t>
      </w:r>
    </w:p>
    <w:p>
      <w:r>
        <w:t>However, commonality must be established at the level of actual compatibility. Similar product names or connector types do not establish that a single spare can serve every installed machine.</w:t>
      </w:r>
    </w:p>
    <w:p>
      <w:pPr>
        <w:pStyle w:val="Heading2"/>
      </w:pPr>
      <w:r>
        <w:t>17. Installed-Base Mapping and Spare-Parts Planning</w:t>
      </w:r>
    </w:p>
    <w:p>
      <w:r>
        <w:t>The installed-base register supports spare planning by connecting the component's identity and location to its supply and maintenance requirements.</w:t>
      </w:r>
    </w:p>
    <w:p>
      <w:r>
        <w:t>For each critical component, establish:</w:t>
      </w:r>
    </w:p>
    <w:p>
      <w:pPr>
        <w:pStyle w:val="ListBullet"/>
      </w:pPr>
      <w:r>
        <w:t>Total installed population.</w:t>
      </w:r>
    </w:p>
    <w:p>
      <w:pPr>
        <w:pStyle w:val="ListBullet"/>
      </w:pPr>
      <w:r>
        <w:t>Number of compatible machines.</w:t>
      </w:r>
    </w:p>
    <w:p>
      <w:pPr>
        <w:pStyle w:val="ListBullet"/>
      </w:pPr>
      <w:r>
        <w:t>Current stock and storage location.</w:t>
      </w:r>
    </w:p>
    <w:p>
      <w:pPr>
        <w:pStyle w:val="ListBullet"/>
      </w:pPr>
      <w:r>
        <w:t>Open purchase orders and expected receipts.</w:t>
      </w:r>
    </w:p>
    <w:p>
      <w:pPr>
        <w:pStyle w:val="ListBullet"/>
      </w:pPr>
      <w:r>
        <w:t>Consumption and failure history.</w:t>
      </w:r>
    </w:p>
    <w:p>
      <w:pPr>
        <w:pStyle w:val="ListBullet"/>
      </w:pPr>
      <w:r>
        <w:t>Supplier lead time.</w:t>
      </w:r>
    </w:p>
    <w:p>
      <w:pPr>
        <w:pStyle w:val="ListBullet"/>
      </w:pPr>
      <w:r>
        <w:t>Repair turnaround time.</w:t>
      </w:r>
    </w:p>
    <w:p>
      <w:pPr>
        <w:pStyle w:val="ListBullet"/>
      </w:pPr>
      <w:r>
        <w:t>Obsolescence status.</w:t>
      </w:r>
    </w:p>
    <w:p>
      <w:pPr>
        <w:pStyle w:val="ListBullet"/>
      </w:pPr>
      <w:r>
        <w:t>Approved alternate parts.</w:t>
      </w:r>
    </w:p>
    <w:p>
      <w:pPr>
        <w:pStyle w:val="ListBullet"/>
      </w:pPr>
      <w:r>
        <w:t>Consequence of stockout.</w:t>
      </w:r>
    </w:p>
    <w:p>
      <w:pPr>
        <w:pStyle w:val="ListBullet"/>
      </w:pPr>
      <w:r>
        <w:t>Required stock strategy.</w:t>
      </w:r>
    </w:p>
    <w:p>
      <w:r>
        <w:t>For repairable components, also distinguish the installed population from the repairable spare pool. A failed drive awaiting repair may not be available for immediate use even though it remains physically present in the plant.</w:t>
      </w:r>
    </w:p>
    <w:p>
      <w:r>
        <w:t>Installed-base mapping therefore provides an input to Min/Max stock, critical-spares strategy, and spare-to-machine mapping. It does not independently calculate the correct spare quantity.</w:t>
      </w:r>
    </w:p>
    <w:p>
      <w:pPr>
        <w:pStyle w:val="Heading2"/>
      </w:pPr>
      <w:r>
        <w:t>18. Installed-Base Mapping in SAP and Other Asset Systems</w:t>
      </w:r>
    </w:p>
    <w:p>
      <w:r>
        <w:t>Depending on the system and local configuration, installed-base information may be represented across:</w:t>
      </w:r>
    </w:p>
    <w:p>
      <w:pPr>
        <w:pStyle w:val="ListBullet"/>
      </w:pPr>
      <w:r>
        <w:t>Equipment master records.</w:t>
      </w:r>
    </w:p>
    <w:p>
      <w:pPr>
        <w:pStyle w:val="ListBullet"/>
      </w:pPr>
      <w:r>
        <w:t>Functional locations.</w:t>
      </w:r>
    </w:p>
    <w:p>
      <w:pPr>
        <w:pStyle w:val="ListBullet"/>
      </w:pPr>
      <w:r>
        <w:t>Equipment BOMs.</w:t>
      </w:r>
    </w:p>
    <w:p>
      <w:pPr>
        <w:pStyle w:val="ListBullet"/>
      </w:pPr>
      <w:r>
        <w:t>Functional-location BOMs.</w:t>
      </w:r>
    </w:p>
    <w:p>
      <w:pPr>
        <w:pStyle w:val="ListBullet"/>
      </w:pPr>
      <w:r>
        <w:t>Material master records.</w:t>
      </w:r>
    </w:p>
    <w:p>
      <w:pPr>
        <w:pStyle w:val="ListBullet"/>
      </w:pPr>
      <w:r>
        <w:t>Serial-number or equipment records.</w:t>
      </w:r>
    </w:p>
    <w:p>
      <w:pPr>
        <w:pStyle w:val="ListBullet"/>
      </w:pPr>
      <w:r>
        <w:t>Maintenance plans and task lists.</w:t>
      </w:r>
    </w:p>
    <w:p>
      <w:pPr>
        <w:pStyle w:val="ListBullet"/>
      </w:pPr>
      <w:r>
        <w:t>Maintenance orders and history.</w:t>
      </w:r>
    </w:p>
    <w:p>
      <w:pPr>
        <w:pStyle w:val="ListBullet"/>
      </w:pPr>
      <w:r>
        <w:t>Engineering change records.</w:t>
      </w:r>
    </w:p>
    <w:p>
      <w:pPr>
        <w:pStyle w:val="ListBullet"/>
      </w:pPr>
      <w:r>
        <w:t>Linked drawings and technical documents.</w:t>
      </w:r>
    </w:p>
    <w:p>
      <w:r>
        <w:t>Avoid storing the same uncontrolled dataset independently in several systems. Repeated manual copies tend to drift apart.</w:t>
      </w:r>
    </w:p>
    <w:p>
      <w:r>
        <w:t>Define the authoritative system for each type of data. For example, SAP may be authoritative for equipment IDs and material numbers, while an approved engineering configuration database may hold detailed PLC firmware and project-backup references.</w:t>
      </w:r>
    </w:p>
    <w:p>
      <w:r>
        <w:t>The relationship between systems should be maintained through stable identifiers, controlled links, and change processes.</w:t>
      </w:r>
    </w:p>
    <w:p>
      <w:pPr>
        <w:pStyle w:val="Heading2"/>
      </w:pPr>
      <w:r>
        <w:t>19. Excel and Power BI Implementation</w:t>
      </w:r>
    </w:p>
    <w:p>
      <w:r>
        <w:t>Excel can be used for initial data collection and controlled mapping. Power BI can then provide reporting and prioritization once the underlying records are consistent.</w:t>
      </w:r>
    </w:p>
    <w:p>
      <w:pPr>
        <w:pStyle w:val="Heading3"/>
      </w:pPr>
      <w:r>
        <w:t>19.1 Recommended workbook structure</w:t>
      </w:r>
    </w:p>
    <w:p>
      <w:r>
        <w:t>Use separate tables for different types of information rather than combining everything into one extremely wide spreadsheet.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Table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w:t>
            </w:r>
          </w:p>
        </w:tc>
        <w:tc>
          <w:tcPr>
            <w:tcW w:type="dxa" w:w="5400"/>
          </w:tcPr>
          <w:p>
            <w:pPr>
              <w:spacing w:after="0" w:before="0" w:line="240" w:lineRule="auto"/>
              <w:jc w:val="left"/>
            </w:pPr>
            <w:r>
              <w:t>Equipment ID, description, location, criticality</w:t>
            </w:r>
          </w:p>
        </w:tc>
      </w:tr>
      <w:tr>
        <w:tc>
          <w:tcPr>
            <w:tcW w:type="dxa" w:w="5400"/>
          </w:tcPr>
          <w:p>
            <w:pPr>
              <w:spacing w:after="0" w:before="0" w:line="240" w:lineRule="auto"/>
              <w:jc w:val="left"/>
            </w:pPr>
            <w:r>
              <w:t>Installed Components</w:t>
            </w:r>
          </w:p>
        </w:tc>
        <w:tc>
          <w:tcPr>
            <w:tcW w:type="dxa" w:w="5400"/>
          </w:tcPr>
          <w:p>
            <w:pPr>
              <w:spacing w:after="0" w:before="0" w:line="240" w:lineRule="auto"/>
              <w:jc w:val="left"/>
            </w:pPr>
            <w:r>
              <w:t>Component instance, equipment ID, model, serial number, revision</w:t>
            </w:r>
          </w:p>
        </w:tc>
      </w:tr>
      <w:tr>
        <w:tc>
          <w:tcPr>
            <w:tcW w:type="dxa" w:w="5400"/>
          </w:tcPr>
          <w:p>
            <w:pPr>
              <w:spacing w:after="0" w:before="0" w:line="240" w:lineRule="auto"/>
              <w:jc w:val="left"/>
            </w:pPr>
            <w:r>
              <w:t>Product Catalogue</w:t>
            </w:r>
          </w:p>
        </w:tc>
        <w:tc>
          <w:tcPr>
            <w:tcW w:type="dxa" w:w="5400"/>
          </w:tcPr>
          <w:p>
            <w:pPr>
              <w:spacing w:after="0" w:before="0" w:line="240" w:lineRule="auto"/>
              <w:jc w:val="left"/>
            </w:pPr>
            <w:r>
              <w:t>Manufacturer, model, specifications, lifecycle status</w:t>
            </w:r>
          </w:p>
        </w:tc>
      </w:tr>
      <w:tr>
        <w:tc>
          <w:tcPr>
            <w:tcW w:type="dxa" w:w="5400"/>
          </w:tcPr>
          <w:p>
            <w:pPr>
              <w:spacing w:after="0" w:before="0" w:line="240" w:lineRule="auto"/>
              <w:jc w:val="left"/>
            </w:pPr>
            <w:r>
              <w:t>Spare Mapping</w:t>
            </w:r>
          </w:p>
        </w:tc>
        <w:tc>
          <w:tcPr>
            <w:tcW w:type="dxa" w:w="5400"/>
          </w:tcPr>
          <w:p>
            <w:pPr>
              <w:spacing w:after="0" w:before="0" w:line="240" w:lineRule="auto"/>
              <w:jc w:val="left"/>
            </w:pPr>
            <w:r>
              <w:t>Spare material number, compatible component or equipment IDs</w:t>
            </w:r>
          </w:p>
        </w:tc>
      </w:tr>
      <w:tr>
        <w:tc>
          <w:tcPr>
            <w:tcW w:type="dxa" w:w="5400"/>
          </w:tcPr>
          <w:p>
            <w:pPr>
              <w:spacing w:after="0" w:before="0" w:line="240" w:lineRule="auto"/>
              <w:jc w:val="left"/>
            </w:pPr>
            <w:r>
              <w:t>Lifecycle Register</w:t>
            </w:r>
          </w:p>
        </w:tc>
        <w:tc>
          <w:tcPr>
            <w:tcW w:type="dxa" w:w="5400"/>
          </w:tcPr>
          <w:p>
            <w:pPr>
              <w:spacing w:after="0" w:before="0" w:line="240" w:lineRule="auto"/>
              <w:jc w:val="left"/>
            </w:pPr>
            <w:r>
              <w:t>Support status, end-of-sale information, replacement strategy</w:t>
            </w:r>
          </w:p>
        </w:tc>
      </w:tr>
      <w:tr>
        <w:tc>
          <w:tcPr>
            <w:tcW w:type="dxa" w:w="5400"/>
          </w:tcPr>
          <w:p>
            <w:pPr>
              <w:spacing w:after="0" w:before="0" w:line="240" w:lineRule="auto"/>
              <w:jc w:val="left"/>
            </w:pPr>
            <w:r>
              <w:t>Documents</w:t>
            </w:r>
          </w:p>
        </w:tc>
        <w:tc>
          <w:tcPr>
            <w:tcW w:type="dxa" w:w="5400"/>
          </w:tcPr>
          <w:p>
            <w:pPr>
              <w:spacing w:after="0" w:before="0" w:line="240" w:lineRule="auto"/>
              <w:jc w:val="left"/>
            </w:pPr>
            <w:r>
              <w:t>Drawing, manual, backup, and approval references</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Previous values, new values, reason, approval, effective date</w:t>
            </w:r>
          </w:p>
        </w:tc>
      </w:tr>
    </w:tbl>
    <w:p/>
    <w:p>
      <w:r>
        <w:t>Use stable identifiers to link these tables. Manufacturer model names are not reliable primary keys because naming conventions can change and similar names may refer to different products.</w:t>
      </w:r>
    </w:p>
    <w:p>
      <w:pPr>
        <w:pStyle w:val="Heading3"/>
      </w:pPr>
      <w:r>
        <w:t>19.2 Useful Power BI indicators</w:t>
      </w:r>
    </w:p>
    <w:p>
      <w:pPr>
        <w:pStyle w:val="ListBullet"/>
      </w:pPr>
      <w:r>
        <w:t>Total mapped equipment.</w:t>
      </w:r>
    </w:p>
    <w:p>
      <w:pPr>
        <w:pStyle w:val="ListBullet"/>
      </w:pPr>
      <w:r>
        <w:t>Percentage of equipment physically verified.</w:t>
      </w:r>
    </w:p>
    <w:p>
      <w:pPr>
        <w:pStyle w:val="ListBullet"/>
      </w:pPr>
      <w:r>
        <w:t>Components with unknown model or part number.</w:t>
      </w:r>
    </w:p>
    <w:p>
      <w:pPr>
        <w:pStyle w:val="ListBullet"/>
      </w:pPr>
      <w:r>
        <w:t>Obsolete components by production area.</w:t>
      </w:r>
    </w:p>
    <w:p>
      <w:pPr>
        <w:pStyle w:val="ListBullet"/>
      </w:pPr>
      <w:r>
        <w:t>Installed population by manufacturer and product family.</w:t>
      </w:r>
    </w:p>
    <w:p>
      <w:pPr>
        <w:pStyle w:val="ListBullet"/>
      </w:pPr>
      <w:r>
        <w:t>Critical components without approved replacements.</w:t>
      </w:r>
    </w:p>
    <w:p>
      <w:pPr>
        <w:pStyle w:val="ListBullet"/>
      </w:pPr>
      <w:r>
        <w:t>Components with no available spare.</w:t>
      </w:r>
    </w:p>
    <w:p>
      <w:pPr>
        <w:pStyle w:val="ListBullet"/>
      </w:pPr>
      <w:r>
        <w:t>Equipment with outdated configuration records.</w:t>
      </w:r>
    </w:p>
    <w:p>
      <w:pPr>
        <w:pStyle w:val="ListBullet"/>
      </w:pPr>
      <w:r>
        <w:t>Records overdue for verification.</w:t>
      </w:r>
    </w:p>
    <w:p>
      <w:pPr>
        <w:pStyle w:val="ListBullet"/>
      </w:pPr>
      <w:r>
        <w:t>Equipment affected by a proposed migration.</w:t>
      </w:r>
    </w:p>
    <w:p>
      <w:pPr>
        <w:pStyle w:val="ListBullet"/>
      </w:pPr>
      <w:r>
        <w:t>Common components shared across multiple lines.</w:t>
      </w:r>
    </w:p>
    <w:p>
      <w:r>
        <w:t>A simple mapping-completeness metric is:</w:t>
      </w:r>
    </w:p>
    <w:p>
      <w:pPr>
        <w:spacing w:before="120" w:after="160"/>
        <w:jc w:val="center"/>
      </w:pPr>
      <m:oMathPara>
        <m:oMath>
          <m:r>
            <m:rPr>
              <m:nor/>
            </m:rPr>
            <m:t>Mapping completeness</m:t>
          </m:r>
          <m:r>
            <m:t>=</m:t>
          </m:r>
          <m:f>
            <m:fPr>
              <m:type m:val="bar"/>
            </m:fPr>
            <m:num>
              <m:r>
                <m:rPr>
                  <m:nor/>
                </m:rPr>
                <m:t>Verified required records</m:t>
              </m:r>
            </m:num>
            <m:den>
              <m:r>
                <m:rPr>
                  <m:nor/>
                </m:rPr>
                <m:t>Total required records</m:t>
              </m:r>
            </m:den>
          </m:f>
          <m:r>
            <m:t>×100</m:t>
          </m:r>
        </m:oMath>
      </m:oMathPara>
    </w:p>
    <w:p>
      <w:r>
        <w:t>Define what constitutes a verified record. A row with a model name but no equipment location or physical verification may not meet the plant's completeness criteria.</w:t>
      </w:r>
    </w:p>
    <w:p>
      <w:pPr>
        <w:pStyle w:val="Heading2"/>
      </w:pPr>
      <w:r>
        <w:t>20. Data Governance and Update Control</w:t>
      </w:r>
    </w:p>
    <w:p>
      <w:r>
        <w:t>Installed-base mapping must remain accurate after the initial survey.</w:t>
      </w:r>
    </w:p>
    <w:p>
      <w:r>
        <w:t>Update the register after:</w:t>
      </w:r>
    </w:p>
    <w:p>
      <w:pPr>
        <w:pStyle w:val="ListBullet"/>
      </w:pPr>
      <w:r>
        <w:t>Component replacement.</w:t>
      </w:r>
    </w:p>
    <w:p>
      <w:pPr>
        <w:pStyle w:val="ListBullet"/>
      </w:pPr>
      <w:r>
        <w:t>Machine retrofit.</w:t>
      </w:r>
    </w:p>
    <w:p>
      <w:pPr>
        <w:pStyle w:val="ListBullet"/>
      </w:pPr>
      <w:r>
        <w:t>PLC, HMI, CNC, or robot migration.</w:t>
      </w:r>
    </w:p>
    <w:p>
      <w:pPr>
        <w:pStyle w:val="ListBullet"/>
      </w:pPr>
      <w:r>
        <w:t>Firmware or software change where relevant.</w:t>
      </w:r>
    </w:p>
    <w:p>
      <w:pPr>
        <w:pStyle w:val="ListBullet"/>
      </w:pPr>
      <w:r>
        <w:t>Control-panel modification.</w:t>
      </w:r>
    </w:p>
    <w:p>
      <w:pPr>
        <w:pStyle w:val="ListBullet"/>
      </w:pPr>
      <w:r>
        <w:t>Equipment relocation.</w:t>
      </w:r>
    </w:p>
    <w:p>
      <w:pPr>
        <w:pStyle w:val="ListBullet"/>
      </w:pPr>
      <w:r>
        <w:t>Approved safety-system modification.</w:t>
      </w:r>
    </w:p>
    <w:p>
      <w:pPr>
        <w:pStyle w:val="ListBullet"/>
      </w:pPr>
      <w:r>
        <w:t>Commissioning or handover.</w:t>
      </w:r>
    </w:p>
    <w:p>
      <w:pPr>
        <w:pStyle w:val="ListBullet"/>
      </w:pPr>
      <w:r>
        <w:t>Obsolescence-driven substitution.</w:t>
      </w:r>
    </w:p>
    <w:p>
      <w:pPr>
        <w:pStyle w:val="ListBullet"/>
      </w:pPr>
      <w:r>
        <w:t>Major overhaul.</w:t>
      </w:r>
    </w:p>
    <w:p>
      <w:r>
        <w:t>Assign clear responsibility:</w:t>
      </w:r>
    </w:p>
    <w:p>
      <w:pPr>
        <w:pStyle w:val="ListBullet"/>
      </w:pPr>
      <w:r>
        <w:t>Maintenance: Records replacements and relevant field changes.</w:t>
      </w:r>
    </w:p>
    <w:p>
      <w:pPr>
        <w:pStyle w:val="ListBullet"/>
      </w:pPr>
      <w:r>
        <w:t>Engineering: Approves technical configuration changes.</w:t>
      </w:r>
    </w:p>
    <w:p>
      <w:pPr>
        <w:pStyle w:val="ListBullet"/>
      </w:pPr>
      <w:r>
        <w:t>Stores and procurement: Maintain material and supply-related records.</w:t>
      </w:r>
    </w:p>
    <w:p>
      <w:pPr>
        <w:pStyle w:val="ListBullet"/>
      </w:pPr>
      <w:r>
        <w:t>IT/OT or controls engineering: Maintain relevant software, firmware, and network configuration records.</w:t>
      </w:r>
    </w:p>
    <w:p>
      <w:pPr>
        <w:pStyle w:val="ListBullet"/>
      </w:pPr>
      <w:r>
        <w:t>Asset management: Maintains equipment identity and lifecycle governance.</w:t>
      </w:r>
    </w:p>
    <w:p>
      <w:pPr>
        <w:pStyle w:val="ListBullet"/>
      </w:pPr>
      <w:r>
        <w:t>Quality and safety functions: Review changes where their requirements apply.</w:t>
      </w:r>
    </w:p>
    <w:p>
      <w:r>
        <w:t>The specific ownership model may differ, but no important field should be left without an accountable owner.</w:t>
      </w:r>
    </w:p>
    <w:p>
      <w:pPr>
        <w:pStyle w:val="Heading2"/>
      </w:pPr>
      <w:r>
        <w:t>21. Common Mistakes</w:t>
      </w:r>
    </w:p>
    <w:p>
      <w:pPr>
        <w:pStyle w:val="ListBullet"/>
      </w:pPr>
      <w:r>
        <w:t>Recording only the machine model and ignoring installed components.</w:t>
      </w:r>
    </w:p>
    <w:p>
      <w:pPr>
        <w:pStyle w:val="ListBullet"/>
      </w:pPr>
      <w:r>
        <w:t>Assuming OEM documentation matches the present installation.</w:t>
      </w:r>
    </w:p>
    <w:p>
      <w:pPr>
        <w:pStyle w:val="ListBullet"/>
      </w:pPr>
      <w:r>
        <w:t>Confusing a product family with an exact part number.</w:t>
      </w:r>
    </w:p>
    <w:p>
      <w:pPr>
        <w:pStyle w:val="ListBullet"/>
      </w:pPr>
      <w:r>
        <w:t>Recording firmware without identifying the associated hardware instance.</w:t>
      </w:r>
    </w:p>
    <w:p>
      <w:pPr>
        <w:pStyle w:val="ListBullet"/>
      </w:pPr>
      <w:r>
        <w:t>Using inconsistent equipment IDs across records.</w:t>
      </w:r>
    </w:p>
    <w:p>
      <w:pPr>
        <w:pStyle w:val="ListBullet"/>
      </w:pPr>
      <w:r>
        <w:t>Failing to record machine-builder-specific components.</w:t>
      </w:r>
    </w:p>
    <w:p>
      <w:pPr>
        <w:pStyle w:val="ListBullet"/>
      </w:pPr>
      <w:r>
        <w:t>Ignoring undocumented modifications.</w:t>
      </w:r>
    </w:p>
    <w:p>
      <w:pPr>
        <w:pStyle w:val="ListBullet"/>
      </w:pPr>
      <w:r>
        <w:t>Treating all components with similar names as compatible.</w:t>
      </w:r>
    </w:p>
    <w:p>
      <w:pPr>
        <w:pStyle w:val="ListBullet"/>
      </w:pPr>
      <w:r>
        <w:t>Recording an alternate without approval status or application scope.</w:t>
      </w:r>
    </w:p>
    <w:p>
      <w:pPr>
        <w:pStyle w:val="ListBullet"/>
      </w:pPr>
      <w:r>
        <w:t>Marking a product obsolete without verified evidence.</w:t>
      </w:r>
    </w:p>
    <w:p>
      <w:pPr>
        <w:pStyle w:val="ListBullet"/>
      </w:pPr>
      <w:r>
        <w:t>Storing passwords or sensitive access credentials in ordinary spreadsheets.</w:t>
      </w:r>
    </w:p>
    <w:p>
      <w:pPr>
        <w:pStyle w:val="ListBullet"/>
      </w:pPr>
      <w:r>
        <w:t>Failing to update the installed-base record after a breakdown replacement.</w:t>
      </w:r>
    </w:p>
    <w:p>
      <w:pPr>
        <w:pStyle w:val="ListBullet"/>
      </w:pPr>
      <w:r>
        <w:t>Reporting high mapping completeness without checking the accuracy of the underlying records.</w:t>
      </w:r>
    </w:p>
    <w:p>
      <w:pPr>
        <w:pStyle w:val="Heading2"/>
      </w:pPr>
      <w:r>
        <w:t>22. Practical Installed-Base Audit Checklist</w:t>
      </w:r>
    </w:p>
    <w:p>
      <w:pPr>
        <w:pStyle w:val="ListBullet"/>
      </w:pPr>
      <w:r>
        <w:t>Define the plant, line, machine, and component scope.</w:t>
      </w:r>
    </w:p>
    <w:p>
      <w:pPr>
        <w:pStyle w:val="ListBullet"/>
      </w:pPr>
      <w:r>
        <w:t>Establish consistent plant, equipment, and functional-location identifiers.</w:t>
      </w:r>
    </w:p>
    <w:p>
      <w:pPr>
        <w:pStyle w:val="ListBullet"/>
      </w:pPr>
      <w:r>
        <w:t>Collect existing asset registers, drawings, BOMs, and handover documents.</w:t>
      </w:r>
    </w:p>
    <w:p>
      <w:pPr>
        <w:pStyle w:val="ListBullet"/>
      </w:pPr>
      <w:r>
        <w:t>Physically verify critical installed components.</w:t>
      </w:r>
    </w:p>
    <w:p>
      <w:pPr>
        <w:pStyle w:val="ListBullet"/>
      </w:pPr>
      <w:r>
        <w:t>Record exact manufacturer, model, part number, and serial number where available.</w:t>
      </w:r>
    </w:p>
    <w:p>
      <w:pPr>
        <w:pStyle w:val="ListBullet"/>
      </w:pPr>
      <w:r>
        <w:t>Capture relevant hardware, firmware, and software versions.</w:t>
      </w:r>
    </w:p>
    <w:p>
      <w:pPr>
        <w:pStyle w:val="ListBullet"/>
      </w:pPr>
      <w:r>
        <w:t>Identify undocumented differences from the original design.</w:t>
      </w:r>
    </w:p>
    <w:p>
      <w:pPr>
        <w:pStyle w:val="ListBullet"/>
      </w:pPr>
      <w:r>
        <w:t>Record spare availability, repairability, and lifecycle status.</w:t>
      </w:r>
    </w:p>
    <w:p>
      <w:pPr>
        <w:pStyle w:val="ListBullet"/>
      </w:pPr>
      <w:r>
        <w:t>Link approved alternates and replacement strategies.</w:t>
      </w:r>
    </w:p>
    <w:p>
      <w:pPr>
        <w:pStyle w:val="ListBullet"/>
      </w:pPr>
      <w:r>
        <w:t>Link relevant drawings, backups, and technical documents.</w:t>
      </w:r>
    </w:p>
    <w:p>
      <w:pPr>
        <w:pStyle w:val="ListBullet"/>
      </w:pPr>
      <w:r>
        <w:t>Record the evidence and date of verification.</w:t>
      </w:r>
    </w:p>
    <w:p>
      <w:pPr>
        <w:pStyle w:val="ListBullet"/>
      </w:pPr>
      <w:r>
        <w:t>Resolve discrepancies through engineering change control.</w:t>
      </w:r>
    </w:p>
    <w:p>
      <w:pPr>
        <w:pStyle w:val="ListBullet"/>
      </w:pPr>
      <w:r>
        <w:t>Identify critical components with long lead times or no approved replacement.</w:t>
      </w:r>
    </w:p>
    <w:p>
      <w:pPr>
        <w:pStyle w:val="ListBullet"/>
      </w:pPr>
      <w:r>
        <w:t>Connect installed-base records with BOM and spare-to-machine mapping.</w:t>
      </w:r>
    </w:p>
    <w:p>
      <w:pPr>
        <w:pStyle w:val="ListBullet"/>
      </w:pPr>
      <w:r>
        <w:t>Establish ownership, review intervals, and change-triggered updates.</w:t>
      </w:r>
    </w:p>
    <w:p>
      <w:pPr>
        <w:pStyle w:val="Heading2"/>
      </w:pPr>
      <w:r>
        <w:t>23. Interview Questions and Answers</w:t>
      </w:r>
    </w:p>
    <w:p>
      <w:r>
        <w:t>Q1. What is installed-base mapping?</w:t>
      </w:r>
    </w:p>
    <w:p>
      <w:r>
        <w:t>It is the systematic recording of equipment and component instances actually installed across a plant, including their location, identification, configuration, lifecycle status, and relevant maintenance information.</w:t>
      </w:r>
    </w:p>
    <w:p>
      <w:r>
        <w:t>Q2. What is the difference between a BOM and installed-base mapping?</w:t>
      </w:r>
    </w:p>
    <w:p>
      <w:r>
        <w:t>A BOM describes the components associated with an assembly or equipment structure. Installed-base mapping identifies the actual installed instances and their locations, configurations, and status.</w:t>
      </w:r>
    </w:p>
    <w:p>
      <w:r>
        <w:t>Q3. Why is installed-base mapping important for obsolete PLCs?</w:t>
      </w:r>
    </w:p>
    <w:p>
      <w:r>
        <w:t>It identifies every machine using the affected PLC family, including model and firmware differences. This helps prioritize spares, verify replacement compatibility, plan migration, and estimate the scope of engineering work.</w:t>
      </w:r>
    </w:p>
    <w:p>
      <w:r>
        <w:t>Q4. Why is model-level mapping insufficient?</w:t>
      </w:r>
    </w:p>
    <w:p>
      <w:r>
        <w:t>Multiple installed devices with the same model may have different serial numbers, firmware versions, configurations, or application dependencies. Instance-level records are needed for accurate maintenance and change control.</w:t>
      </w:r>
    </w:p>
    <w:p>
      <w:r>
        <w:t>Q5. How does installed-base mapping improve spare-parts planning?</w:t>
      </w:r>
    </w:p>
    <w:p>
      <w:r>
        <w:t>It establishes how many machines use a component, which machines can use a common spare, and where supply or obsolescence risks exist. Stock quantity must still be determined through demand, criticality, lead-time, and repairability analysis.</w:t>
      </w:r>
    </w:p>
    <w:p>
      <w:r>
        <w:t>Q6. How should a mismatch between the drawing and installed equipment be handled?</w:t>
      </w:r>
    </w:p>
    <w:p>
      <w:r>
        <w:t>Record the discrepancy, verify the physical installation and available change history, assess the technical implications, and resolve it through the approved engineering process. Do not silently modify the record to make the discrepancy disappear.</w:t>
      </w:r>
    </w:p>
    <w:p>
      <w:r>
        <w:t>Q7. How frequently should the installed-base map be updated?</w:t>
      </w:r>
    </w:p>
    <w:p>
      <w:r>
        <w:t>Update it whenever a relevant installation or configuration change occurs. Periodic physical audits should supplement change-triggered updates, especially for critical or poorly documented equipment.</w:t>
      </w:r>
    </w:p>
    <w:p>
      <w:r>
        <w:t>Q8. What is the difference between installed-base mapping and spare-to-machine mapping?</w:t>
      </w:r>
    </w:p>
    <w:p>
      <w:r>
        <w:t>Installed-base mapping records what equipment and components are installed and where. Spare-to-machine mapping records which spare parts are compatible with which machines. The first provides essential information for building the second.</w:t>
      </w:r>
    </w:p>
    <w:p>
      <w:pPr>
        <w:pStyle w:val="Heading2"/>
      </w:pPr>
      <w:r>
        <w:t>24. Expected Outcome</w:t>
      </w:r>
    </w:p>
    <w:p>
      <w:r>
        <w:t>A reliable installed-base map provides a verified view of the plant's actual equipment and automation configuration. It supports maintenance troubleshooting, spare-parts planning, lifecycle risk assessment, engineering changes, and future modernization.</w:t>
      </w:r>
    </w:p>
    <w:p>
      <w:r>
        <w:t>For industrial automation, the most useful result is not merely a list of PLCs, drives, CNCs, robots, and HMIs. It is a traceable relationship between each installed component, its equipment, its configuration, its maintenance requirements, and its approved replacement options.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02_PLAN_WISE_2026\02_INDUSTRY3_0\23_Spares\01_Strategy\13_Spare_Machine_Mapping - Spare-to-machine mapping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Installed-Base Mapping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