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Spare-to-Machine Mapping in Industrial Maintenance</w:t>
      </w:r>
    </w:p>
    <w:p>
      <w:pPr>
        <w:pStyle w:val="Heading2"/>
      </w:pPr>
      <w:r>
        <w:t>1. Definition</w:t>
      </w:r>
    </w:p>
    <w:p>
      <w:r>
        <w:t>Spare-to-machine mapping is the systematic identification of spare parts that can be used on specific machines, equipment, subsystems, or installed components.</w:t>
      </w:r>
    </w:p>
    <w:p>
      <w:r>
        <w:t>It establishes a verified relationship between a spare part and the equipment on which it can be used, including any compatibility conditions, configuration restrictions, and approval requirements.</w:t>
      </w:r>
    </w:p>
    <w:p>
      <w:r>
        <w:t>It answers five practical questions:</w:t>
      </w:r>
    </w:p>
    <w:p>
      <w:pPr>
        <w:pStyle w:val="ListBullet"/>
      </w:pPr>
      <w:r>
        <w:t>Which machine uses this spare?</w:t>
      </w:r>
    </w:p>
    <w:p>
      <w:pPr>
        <w:pStyle w:val="ListBullet"/>
      </w:pPr>
      <w:r>
        <w:t>Which spare can replace a failed component on this machine?</w:t>
      </w:r>
    </w:p>
    <w:p>
      <w:pPr>
        <w:pStyle w:val="ListBullet"/>
      </w:pPr>
      <w:r>
        <w:t>Is the spare technically compatible with the installed system?</w:t>
      </w:r>
    </w:p>
    <w:p>
      <w:pPr>
        <w:pStyle w:val="ListBullet"/>
      </w:pPr>
      <w:r>
        <w:t>Where is the spare available, and how quickly can it be obtained?</w:t>
      </w:r>
    </w:p>
    <w:p>
      <w:pPr>
        <w:pStyle w:val="ListBullet"/>
      </w:pPr>
      <w:r>
        <w:t>Can one spare support multiple machines without introducing unacceptable risk?</w:t>
      </w:r>
    </w:p>
    <w:p>
      <w:r>
        <w:t>For example, if a plant operates 15 machines using the same exact PLC output module, spare-to-machine mapping identifies all 15 compatible applications. However, if another machine uses a similar-looking module with a different electrical rating or communication architecture, it must not automatically be included in the same compatibility group.</w:t>
      </w:r>
    </w:p>
    <w:p>
      <w:r>
        <w:t>The objective is to make spare selection accurate, traceable, and fast during breakdowns.</w:t>
      </w:r>
    </w:p>
    <w:p>
      <w:pPr>
        <w:pStyle w:val="Heading2"/>
      </w:pPr>
      <w:r>
        <w:t>2. Why Spare-to-Machine Mapping Is Important</w:t>
      </w:r>
    </w:p>
    <w:p>
      <w:r>
        <w:t>Industrial plants frequently maintain hundreds or thousands of spare materials across electrical, electronic, mechanical, hydraulic, pneumatic, and automation systems.</w:t>
      </w:r>
    </w:p>
    <w:p>
      <w:r>
        <w:t>Without mapping, technicians may know that a spare exists in stores but not know whether it is suitable for the failed machine.</w:t>
      </w:r>
    </w:p>
    <w:p>
      <w:r>
        <w:t>Spare-to-machine mapping helps to:</w:t>
      </w:r>
    </w:p>
    <w:p>
      <w:pPr>
        <w:pStyle w:val="ListBullet"/>
      </w:pPr>
      <w:r>
        <w:t>Reduce breakdown restoration time.</w:t>
      </w:r>
    </w:p>
    <w:p>
      <w:pPr>
        <w:pStyle w:val="ListBullet"/>
      </w:pPr>
      <w:r>
        <w:t>Prevent incorrect spare selection.</w:t>
      </w:r>
    </w:p>
    <w:p>
      <w:pPr>
        <w:pStyle w:val="ListBullet"/>
      </w:pPr>
      <w:r>
        <w:t>Identify common spare parts across production lines.</w:t>
      </w:r>
    </w:p>
    <w:p>
      <w:pPr>
        <w:pStyle w:val="ListBullet"/>
      </w:pPr>
      <w:r>
        <w:t>Improve spare-parts stock utilization.</w:t>
      </w:r>
    </w:p>
    <w:p>
      <w:pPr>
        <w:pStyle w:val="ListBullet"/>
      </w:pPr>
      <w:r>
        <w:t>Reduce duplicate and unnecessary inventory.</w:t>
      </w:r>
    </w:p>
    <w:p>
      <w:pPr>
        <w:pStyle w:val="ListBullet"/>
      </w:pPr>
      <w:r>
        <w:t>Identify machines without an available compatible spare.</w:t>
      </w:r>
    </w:p>
    <w:p>
      <w:pPr>
        <w:pStyle w:val="ListBullet"/>
      </w:pPr>
      <w:r>
        <w:t>Improve obsolete-component replacement planning.</w:t>
      </w:r>
    </w:p>
    <w:p>
      <w:pPr>
        <w:pStyle w:val="ListBullet"/>
      </w:pPr>
      <w:r>
        <w:t>Support procurement and vendor coordination.</w:t>
      </w:r>
    </w:p>
    <w:p>
      <w:pPr>
        <w:pStyle w:val="ListBullet"/>
      </w:pPr>
      <w:r>
        <w:t>Reduce emergency purchases.</w:t>
      </w:r>
    </w:p>
    <w:p>
      <w:pPr>
        <w:pStyle w:val="ListBullet"/>
      </w:pPr>
      <w:r>
        <w:t>Improve repair-versus-replacement decisions.</w:t>
      </w:r>
    </w:p>
    <w:p>
      <w:pPr>
        <w:pStyle w:val="ListBullet"/>
      </w:pPr>
      <w:r>
        <w:t>Support standardization and engineering changes.</w:t>
      </w:r>
    </w:p>
    <w:p>
      <w:pPr>
        <w:pStyle w:val="ListBullet"/>
      </w:pPr>
      <w:r>
        <w:t>Improve maintenance audit traceability.</w:t>
      </w:r>
    </w:p>
    <w:p>
      <w:r>
        <w:t>Key principle: A spare being available in inventory does not prove that it is suitable for the machine requiring it.</w:t>
      </w:r>
    </w:p>
    <w:p>
      <w:pPr>
        <w:pStyle w:val="Heading2"/>
      </w:pPr>
      <w:r>
        <w:t>3. Spare-to-Machine Mapping Versus Related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Installed-base map</w:t>
            </w:r>
          </w:p>
        </w:tc>
        <w:tc>
          <w:tcPr>
            <w:tcW w:type="dxa" w:w="5400"/>
          </w:tcPr>
          <w:p>
            <w:pPr>
              <w:spacing w:after="0" w:before="0" w:line="240" w:lineRule="auto"/>
              <w:jc w:val="left"/>
            </w:pPr>
            <w:r>
              <w:t>Records components actually installed on each machine</w:t>
            </w:r>
          </w:p>
        </w:tc>
      </w:tr>
      <w:tr>
        <w:tc>
          <w:tcPr>
            <w:tcW w:type="dxa" w:w="5400"/>
          </w:tcPr>
          <w:p>
            <w:pPr>
              <w:spacing w:after="0" w:before="0" w:line="240" w:lineRule="auto"/>
              <w:jc w:val="left"/>
            </w:pPr>
            <w:r>
              <w:t>BOM</w:t>
            </w:r>
          </w:p>
        </w:tc>
        <w:tc>
          <w:tcPr>
            <w:tcW w:type="dxa" w:w="5400"/>
          </w:tcPr>
          <w:p>
            <w:pPr>
              <w:spacing w:after="0" w:before="0" w:line="240" w:lineRule="auto"/>
              <w:jc w:val="left"/>
            </w:pPr>
            <w:r>
              <w:t>Describes the component structure of an assembly</w:t>
            </w:r>
          </w:p>
        </w:tc>
      </w:tr>
      <w:tr>
        <w:tc>
          <w:tcPr>
            <w:tcW w:type="dxa" w:w="5400"/>
          </w:tcPr>
          <w:p>
            <w:pPr>
              <w:spacing w:after="0" w:before="0" w:line="240" w:lineRule="auto"/>
              <w:jc w:val="left"/>
            </w:pPr>
            <w:r>
              <w:t>Spare-to-machine map</w:t>
            </w:r>
          </w:p>
        </w:tc>
        <w:tc>
          <w:tcPr>
            <w:tcW w:type="dxa" w:w="5400"/>
          </w:tcPr>
          <w:p>
            <w:pPr>
              <w:spacing w:after="0" w:before="0" w:line="240" w:lineRule="auto"/>
              <w:jc w:val="left"/>
            </w:pPr>
            <w:r>
              <w:t>Connects spare materials to compatible machine applications</w:t>
            </w:r>
          </w:p>
        </w:tc>
      </w:tr>
      <w:tr>
        <w:tc>
          <w:tcPr>
            <w:tcW w:type="dxa" w:w="5400"/>
          </w:tcPr>
          <w:p>
            <w:pPr>
              <w:spacing w:after="0" w:before="0" w:line="240" w:lineRule="auto"/>
              <w:jc w:val="left"/>
            </w:pPr>
            <w:r>
              <w:t>Material master</w:t>
            </w:r>
          </w:p>
        </w:tc>
        <w:tc>
          <w:tcPr>
            <w:tcW w:type="dxa" w:w="5400"/>
          </w:tcPr>
          <w:p>
            <w:pPr>
              <w:spacing w:after="0" w:before="0" w:line="240" w:lineRule="auto"/>
              <w:jc w:val="left"/>
            </w:pPr>
            <w:r>
              <w:t>Identifies the spare part and its inventory-management attributes</w:t>
            </w:r>
          </w:p>
        </w:tc>
      </w:tr>
      <w:tr>
        <w:tc>
          <w:tcPr>
            <w:tcW w:type="dxa" w:w="5400"/>
          </w:tcPr>
          <w:p>
            <w:pPr>
              <w:spacing w:after="0" w:before="0" w:line="240" w:lineRule="auto"/>
              <w:jc w:val="left"/>
            </w:pPr>
            <w:r>
              <w:t>Equipment master</w:t>
            </w:r>
          </w:p>
        </w:tc>
        <w:tc>
          <w:tcPr>
            <w:tcW w:type="dxa" w:w="5400"/>
          </w:tcPr>
          <w:p>
            <w:pPr>
              <w:spacing w:after="0" w:before="0" w:line="240" w:lineRule="auto"/>
              <w:jc w:val="left"/>
            </w:pPr>
            <w:r>
              <w:t>Identifies the machine or maintainable asset</w:t>
            </w:r>
          </w:p>
        </w:tc>
      </w:tr>
      <w:tr>
        <w:tc>
          <w:tcPr>
            <w:tcW w:type="dxa" w:w="5400"/>
          </w:tcPr>
          <w:p>
            <w:pPr>
              <w:spacing w:after="0" w:before="0" w:line="240" w:lineRule="auto"/>
              <w:jc w:val="left"/>
            </w:pPr>
            <w:r>
              <w:t>Approved alternate register</w:t>
            </w:r>
          </w:p>
        </w:tc>
        <w:tc>
          <w:tcPr>
            <w:tcW w:type="dxa" w:w="5400"/>
          </w:tcPr>
          <w:p>
            <w:pPr>
              <w:spacing w:after="0" w:before="0" w:line="240" w:lineRule="auto"/>
              <w:jc w:val="left"/>
            </w:pPr>
            <w:r>
              <w:t>Documents validated replacement options and restrictions</w:t>
            </w:r>
          </w:p>
        </w:tc>
      </w:tr>
      <w:tr>
        <w:tc>
          <w:tcPr>
            <w:tcW w:type="dxa" w:w="5400"/>
          </w:tcPr>
          <w:p>
            <w:pPr>
              <w:spacing w:after="0" w:before="0" w:line="240" w:lineRule="auto"/>
              <w:jc w:val="left"/>
            </w:pPr>
            <w:r>
              <w:t>Critical-spares register</w:t>
            </w:r>
          </w:p>
        </w:tc>
        <w:tc>
          <w:tcPr>
            <w:tcW w:type="dxa" w:w="5400"/>
          </w:tcPr>
          <w:p>
            <w:pPr>
              <w:spacing w:after="0" w:before="0" w:line="240" w:lineRule="auto"/>
              <w:jc w:val="left"/>
            </w:pPr>
            <w:r>
              <w:t>Identifies spares requiring special availability planning</w:t>
            </w:r>
          </w:p>
        </w:tc>
      </w:tr>
      <w:tr>
        <w:tc>
          <w:tcPr>
            <w:tcW w:type="dxa" w:w="5400"/>
          </w:tcPr>
          <w:p>
            <w:pPr>
              <w:spacing w:after="0" w:before="0" w:line="240" w:lineRule="auto"/>
              <w:jc w:val="left"/>
            </w:pPr>
            <w:r>
              <w:t>Min/Max stock register</w:t>
            </w:r>
          </w:p>
        </w:tc>
        <w:tc>
          <w:tcPr>
            <w:tcW w:type="dxa" w:w="5400"/>
          </w:tcPr>
          <w:p>
            <w:pPr>
              <w:spacing w:after="0" w:before="0" w:line="240" w:lineRule="auto"/>
              <w:jc w:val="left"/>
            </w:pPr>
            <w:r>
              <w:t>Defines inventory replenishment limits</w:t>
            </w:r>
          </w:p>
        </w:tc>
      </w:tr>
      <w:tr>
        <w:tc>
          <w:tcPr>
            <w:tcW w:type="dxa" w:w="5400"/>
          </w:tcPr>
          <w:p>
            <w:pPr>
              <w:spacing w:after="0" w:before="0" w:line="240" w:lineRule="auto"/>
              <w:jc w:val="left"/>
            </w:pPr>
            <w:r>
              <w:t>Obsolescence register</w:t>
            </w:r>
          </w:p>
        </w:tc>
        <w:tc>
          <w:tcPr>
            <w:tcW w:type="dxa" w:w="5400"/>
          </w:tcPr>
          <w:p>
            <w:pPr>
              <w:spacing w:after="0" w:before="0" w:line="240" w:lineRule="auto"/>
              <w:jc w:val="left"/>
            </w:pPr>
            <w:r>
              <w:t>Tracks lifecycle risks and replacement needs</w:t>
            </w:r>
          </w:p>
        </w:tc>
      </w:tr>
      <w:tr>
        <w:tc>
          <w:tcPr>
            <w:tcW w:type="dxa" w:w="5400"/>
          </w:tcPr>
          <w:p>
            <w:pPr>
              <w:spacing w:after="0" w:before="0" w:line="240" w:lineRule="auto"/>
              <w:jc w:val="left"/>
            </w:pPr>
            <w:r>
              <w:t>Repair history</w:t>
            </w:r>
          </w:p>
        </w:tc>
        <w:tc>
          <w:tcPr>
            <w:tcW w:type="dxa" w:w="5400"/>
          </w:tcPr>
          <w:p>
            <w:pPr>
              <w:spacing w:after="0" w:before="0" w:line="240" w:lineRule="auto"/>
              <w:jc w:val="left"/>
            </w:pPr>
            <w:r>
              <w:t>Records failures, repairs, and component replacement events</w:t>
            </w:r>
          </w:p>
        </w:tc>
      </w:tr>
    </w:tbl>
    <w:p/>
    <w:p>
      <w:r>
        <w:t>These records serve different purposes but should share consistent equipment IDs, material numbers, and technical identifiers.</w:t>
      </w:r>
    </w:p>
    <w:p>
      <w:pPr>
        <w:pStyle w:val="Heading2"/>
      </w:pPr>
      <w:r>
        <w:t>4. Mapping Hierarchy</w:t>
      </w:r>
    </w:p>
    <w:p>
      <w:r>
        <w:t>A practical mapping hierarchy connects each spare to the exact component, subsystem, and machine where it is applicable.</w:t>
      </w:r>
    </w:p>
    <w:p>
      <w:pPr>
        <w:shd w:val="clear" w:color="auto" w:fill="F4F4F4"/>
        <w:spacing w:before="0" w:after="0" w:line="240" w:lineRule="auto"/>
        <w:ind w:left="216" w:right="216"/>
        <w:jc w:val="left"/>
      </w:pPr>
      <w:r>
        <w:rPr>
          <w:rFonts w:ascii="Consolas" w:hAnsi="Consolas"/>
          <w:color w:val="202020"/>
          <w:sz w:val="18"/>
        </w:rPr>
        <w:t>Plant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 Equipment 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Installed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Spare Material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Compatibility and Approval Conditions</w:t>
      </w:r>
    </w:p>
    <w:p/>
    <w:p>
      <w:r>
        <w:t>Example:</w:t>
      </w:r>
    </w:p>
    <w:p>
      <w:pPr>
        <w:shd w:val="clear" w:color="auto" w:fill="F4F4F4"/>
        <w:spacing w:before="0" w:after="0" w:line="240" w:lineRule="auto"/>
        <w:ind w:left="216" w:right="216"/>
        <w:jc w:val="left"/>
      </w:pPr>
      <w:r>
        <w:rPr>
          <w:rFonts w:ascii="Consolas" w:hAnsi="Consolas"/>
          <w:color w:val="202020"/>
          <w:sz w:val="18"/>
        </w:rPr>
        <w:t>Plant: Vehicle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Line: Chassis 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CH-105</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Subsystem: PLC Control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Installed Component: PLC Digital Output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Spare: Verified Matching Material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Status: Approved for CH-105</w:t>
      </w:r>
    </w:p>
    <w:p/>
    <w:p>
      <w:r>
        <w:t>The spare may be linked to several machines if compatibility has been established for each application.</w:t>
      </w:r>
    </w:p>
    <w:p>
      <w:pPr>
        <w:pStyle w:val="Heading2"/>
      </w:pPr>
      <w:r>
        <w:t>5. Types of Spare-to-Machine Relationships</w:t>
      </w:r>
    </w:p>
    <w:p>
      <w:pPr>
        <w:pStyle w:val="Heading3"/>
      </w:pPr>
      <w:r>
        <w:t>5.1 One spare to one machine</w:t>
      </w:r>
    </w:p>
    <w:p>
      <w:r>
        <w:t>A spare is applicable to only one machine or one specific installation.</w:t>
      </w:r>
    </w:p>
    <w:p>
      <w:r>
        <w:t>Examples include:</w:t>
      </w:r>
    </w:p>
    <w:p>
      <w:pPr>
        <w:pStyle w:val="ListBullet"/>
      </w:pPr>
      <w:r>
        <w:t>A machine-builder-specific interface board.</w:t>
      </w:r>
    </w:p>
    <w:p>
      <w:pPr>
        <w:pStyle w:val="ListBullet"/>
      </w:pPr>
      <w:r>
        <w:t>A custom-designed control PCB.</w:t>
      </w:r>
    </w:p>
    <w:p>
      <w:pPr>
        <w:pStyle w:val="ListBullet"/>
      </w:pPr>
      <w:r>
        <w:t>A proprietary CNC interface module.</w:t>
      </w:r>
    </w:p>
    <w:p>
      <w:pPr>
        <w:pStyle w:val="ListBullet"/>
      </w:pPr>
      <w:r>
        <w:t>A machine-specific mechanical fixture.</w:t>
      </w:r>
    </w:p>
    <w:p>
      <w:r>
        <w:t>This relationship can create a high supply risk if the machine is critical and the spare has a long lead time.</w:t>
      </w:r>
    </w:p>
    <w:p>
      <w:pPr>
        <w:pStyle w:val="Heading3"/>
      </w:pPr>
      <w:r>
        <w:t>5.2 One spare to multiple machines</w:t>
      </w:r>
    </w:p>
    <w:p>
      <w:r>
        <w:t>A spare can be used on several machines after compatibility has been verified.</w:t>
      </w:r>
    </w:p>
    <w:p>
      <w:r>
        <w:t>Examples include:</w:t>
      </w:r>
    </w:p>
    <w:p>
      <w:pPr>
        <w:pStyle w:val="ListBullet"/>
      </w:pPr>
      <w:r>
        <w:t>Identical PLC modules installed across several machines.</w:t>
      </w:r>
    </w:p>
    <w:p>
      <w:pPr>
        <w:pStyle w:val="ListBullet"/>
      </w:pPr>
      <w:r>
        <w:t>The same approved sensor model used on multiple stations.</w:t>
      </w:r>
    </w:p>
    <w:p>
      <w:pPr>
        <w:pStyle w:val="ListBullet"/>
      </w:pPr>
      <w:r>
        <w:t>A common industrial network switch.</w:t>
      </w:r>
    </w:p>
    <w:p>
      <w:pPr>
        <w:pStyle w:val="ListBullet"/>
      </w:pPr>
      <w:r>
        <w:t>Identical contactors with matching electrical and application ratings.</w:t>
      </w:r>
    </w:p>
    <w:p>
      <w:r>
        <w:t>This relationship may improve inventory utilization because one stock item can support multiple applications.</w:t>
      </w:r>
    </w:p>
    <w:p>
      <w:pPr>
        <w:pStyle w:val="Heading3"/>
      </w:pPr>
      <w:r>
        <w:t>5.3 Multiple spares to one machine</w:t>
      </w:r>
    </w:p>
    <w:p>
      <w:r>
        <w:t>Several different spare materials may be suitable for the same machine, but they may not necessarily be interchangeable.</w:t>
      </w:r>
    </w:p>
    <w:p>
      <w:r>
        <w:t>Examples include:</w:t>
      </w:r>
    </w:p>
    <w:p>
      <w:pPr>
        <w:pStyle w:val="ListBullet"/>
      </w:pPr>
      <w:r>
        <w:t>An original drive and a validated successor drive.</w:t>
      </w:r>
    </w:p>
    <w:p>
      <w:pPr>
        <w:pStyle w:val="ListBullet"/>
      </w:pPr>
      <w:r>
        <w:t>An approved replacement sensor with a different output interface.</w:t>
      </w:r>
    </w:p>
    <w:p>
      <w:pPr>
        <w:pStyle w:val="ListBullet"/>
      </w:pPr>
      <w:r>
        <w:t>A legacy PLC module and a validated migration solution.</w:t>
      </w:r>
    </w:p>
    <w:p>
      <w:r>
        <w:t>Record the exact conditions under which each alternative is permitted.</w:t>
      </w:r>
    </w:p>
    <w:p>
      <w:pPr>
        <w:pStyle w:val="Heading3"/>
      </w:pPr>
      <w:r>
        <w:t>5.4 Conditional compatibility</w:t>
      </w:r>
    </w:p>
    <w:p>
      <w:r>
        <w:t>A spare is suitable only when specified conditions are satisfied.</w:t>
      </w:r>
    </w:p>
    <w:p>
      <w:r>
        <w:t>Conditions may include:</w:t>
      </w:r>
    </w:p>
    <w:p>
      <w:pPr>
        <w:pStyle w:val="ListBullet"/>
      </w:pPr>
      <w:r>
        <w:t>Firmware compatibility.</w:t>
      </w:r>
    </w:p>
    <w:p>
      <w:pPr>
        <w:pStyle w:val="ListBullet"/>
      </w:pPr>
      <w:r>
        <w:t>Hardware revision.</w:t>
      </w:r>
    </w:p>
    <w:p>
      <w:pPr>
        <w:pStyle w:val="ListBullet"/>
      </w:pPr>
      <w:r>
        <w:t>Supply voltage.</w:t>
      </w:r>
    </w:p>
    <w:p>
      <w:pPr>
        <w:pStyle w:val="ListBullet"/>
      </w:pPr>
      <w:r>
        <w:t>Current rating.</w:t>
      </w:r>
    </w:p>
    <w:p>
      <w:pPr>
        <w:pStyle w:val="ListBullet"/>
      </w:pPr>
      <w:r>
        <w:t>Communication protocol.</w:t>
      </w:r>
    </w:p>
    <w:p>
      <w:pPr>
        <w:pStyle w:val="ListBullet"/>
      </w:pPr>
      <w:r>
        <w:t>Connector and pinout.</w:t>
      </w:r>
    </w:p>
    <w:p>
      <w:pPr>
        <w:pStyle w:val="ListBullet"/>
      </w:pPr>
      <w:r>
        <w:t>Mounting dimensions.</w:t>
      </w:r>
    </w:p>
    <w:p>
      <w:pPr>
        <w:pStyle w:val="ListBullet"/>
      </w:pPr>
      <w:r>
        <w:t>Parameter configuration.</w:t>
      </w:r>
    </w:p>
    <w:p>
      <w:pPr>
        <w:pStyle w:val="ListBullet"/>
      </w:pPr>
      <w:r>
        <w:t>Engineering software version.</w:t>
      </w:r>
    </w:p>
    <w:p>
      <w:pPr>
        <w:pStyle w:val="ListBullet"/>
      </w:pPr>
      <w:r>
        <w:t>Machine-builder approval.</w:t>
      </w:r>
    </w:p>
    <w:p>
      <w:pPr>
        <w:pStyle w:val="ListBullet"/>
      </w:pPr>
      <w:r>
        <w:t>Safety certification.</w:t>
      </w:r>
    </w:p>
    <w:p>
      <w:pPr>
        <w:pStyle w:val="ListBullet"/>
      </w:pPr>
      <w:r>
        <w:t>Required engineering modifications.</w:t>
      </w:r>
    </w:p>
    <w:p>
      <w:r>
        <w:t>Conditional compatibility must be explicitly recorded rather than left in a technician's memory, which is a notoriously unreliable database.</w:t>
      </w:r>
    </w:p>
    <w:p>
      <w:pPr>
        <w:pStyle w:val="Heading2"/>
      </w:pPr>
      <w:r>
        <w:t>6. Essential Data Fields</w:t>
      </w:r>
    </w:p>
    <w:p>
      <w:r>
        <w:t>A useful mapping register should include the following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Plant</w:t>
            </w:r>
          </w:p>
        </w:tc>
        <w:tc>
          <w:tcPr>
            <w:tcW w:type="dxa" w:w="5400"/>
          </w:tcPr>
          <w:p>
            <w:pPr>
              <w:spacing w:after="0" w:before="0" w:line="240" w:lineRule="auto"/>
              <w:jc w:val="left"/>
            </w:pPr>
            <w:r>
              <w:t>Identifies the plant</w:t>
            </w:r>
          </w:p>
        </w:tc>
      </w:tr>
      <w:tr>
        <w:tc>
          <w:tcPr>
            <w:tcW w:type="dxa" w:w="5400"/>
          </w:tcPr>
          <w:p>
            <w:pPr>
              <w:spacing w:after="0" w:before="0" w:line="240" w:lineRule="auto"/>
              <w:jc w:val="left"/>
            </w:pPr>
            <w:r>
              <w:t>Production Line</w:t>
            </w:r>
          </w:p>
        </w:tc>
        <w:tc>
          <w:tcPr>
            <w:tcW w:type="dxa" w:w="5400"/>
          </w:tcPr>
          <w:p>
            <w:pPr>
              <w:spacing w:after="0" w:before="0" w:line="240" w:lineRule="auto"/>
              <w:jc w:val="left"/>
            </w:pPr>
            <w:r>
              <w:t>Identifies the line</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Unique machine identifier</w:t>
            </w:r>
          </w:p>
        </w:tc>
      </w:tr>
      <w:tr>
        <w:tc>
          <w:tcPr>
            <w:tcW w:type="dxa" w:w="5400"/>
          </w:tcPr>
          <w:p>
            <w:pPr>
              <w:spacing w:after="0" w:before="0" w:line="240" w:lineRule="auto"/>
              <w:jc w:val="left"/>
            </w:pPr>
            <w:r>
              <w:t>Equipment Description</w:t>
            </w:r>
          </w:p>
        </w:tc>
        <w:tc>
          <w:tcPr>
            <w:tcW w:type="dxa" w:w="5400"/>
          </w:tcPr>
          <w:p>
            <w:pPr>
              <w:spacing w:after="0" w:before="0" w:line="240" w:lineRule="auto"/>
              <w:jc w:val="left"/>
            </w:pPr>
            <w:r>
              <w:t>Readable machine name</w:t>
            </w:r>
          </w:p>
        </w:tc>
      </w:tr>
      <w:tr>
        <w:tc>
          <w:tcPr>
            <w:tcW w:type="dxa" w:w="5400"/>
          </w:tcPr>
          <w:p>
            <w:pPr>
              <w:spacing w:after="0" w:before="0" w:line="240" w:lineRule="auto"/>
              <w:jc w:val="left"/>
            </w:pPr>
            <w:r>
              <w:t>Functional Location</w:t>
            </w:r>
          </w:p>
        </w:tc>
        <w:tc>
          <w:tcPr>
            <w:tcW w:type="dxa" w:w="5400"/>
          </w:tcPr>
          <w:p>
            <w:pPr>
              <w:spacing w:after="0" w:before="0" w:line="240" w:lineRule="auto"/>
              <w:jc w:val="left"/>
            </w:pPr>
            <w:r>
              <w:t>Identifies the machine's plant location</w:t>
            </w:r>
          </w:p>
        </w:tc>
      </w:tr>
      <w:tr>
        <w:tc>
          <w:tcPr>
            <w:tcW w:type="dxa" w:w="5400"/>
          </w:tcPr>
          <w:p>
            <w:pPr>
              <w:spacing w:after="0" w:before="0" w:line="240" w:lineRule="auto"/>
              <w:jc w:val="left"/>
            </w:pPr>
            <w:r>
              <w:t>Subsystem</w:t>
            </w:r>
          </w:p>
        </w:tc>
        <w:tc>
          <w:tcPr>
            <w:tcW w:type="dxa" w:w="5400"/>
          </w:tcPr>
          <w:p>
            <w:pPr>
              <w:spacing w:after="0" w:before="0" w:line="240" w:lineRule="auto"/>
              <w:jc w:val="left"/>
            </w:pPr>
            <w:r>
              <w:t>Identifies the applicable machine section</w:t>
            </w:r>
          </w:p>
        </w:tc>
      </w:tr>
      <w:tr>
        <w:tc>
          <w:tcPr>
            <w:tcW w:type="dxa" w:w="5400"/>
          </w:tcPr>
          <w:p>
            <w:pPr>
              <w:spacing w:after="0" w:before="0" w:line="240" w:lineRule="auto"/>
              <w:jc w:val="left"/>
            </w:pPr>
            <w:r>
              <w:t>Component Tag</w:t>
            </w:r>
          </w:p>
        </w:tc>
        <w:tc>
          <w:tcPr>
            <w:tcW w:type="dxa" w:w="5400"/>
          </w:tcPr>
          <w:p>
            <w:pPr>
              <w:spacing w:after="0" w:before="0" w:line="240" w:lineRule="auto"/>
              <w:jc w:val="left"/>
            </w:pPr>
            <w:r>
              <w:t>Identifies the installed component</w:t>
            </w:r>
          </w:p>
        </w:tc>
      </w:tr>
      <w:tr>
        <w:tc>
          <w:tcPr>
            <w:tcW w:type="dxa" w:w="5400"/>
          </w:tcPr>
          <w:p>
            <w:pPr>
              <w:spacing w:after="0" w:before="0" w:line="240" w:lineRule="auto"/>
              <w:jc w:val="left"/>
            </w:pPr>
            <w:r>
              <w:t>Installed Manufacturer</w:t>
            </w:r>
          </w:p>
        </w:tc>
        <w:tc>
          <w:tcPr>
            <w:tcW w:type="dxa" w:w="5400"/>
          </w:tcPr>
          <w:p>
            <w:pPr>
              <w:spacing w:after="0" w:before="0" w:line="240" w:lineRule="auto"/>
              <w:jc w:val="left"/>
            </w:pPr>
            <w:r>
              <w:t>Identifies the original manufacturer</w:t>
            </w:r>
          </w:p>
        </w:tc>
      </w:tr>
      <w:tr>
        <w:tc>
          <w:tcPr>
            <w:tcW w:type="dxa" w:w="5400"/>
          </w:tcPr>
          <w:p>
            <w:pPr>
              <w:spacing w:after="0" w:before="0" w:line="240" w:lineRule="auto"/>
              <w:jc w:val="left"/>
            </w:pPr>
            <w:r>
              <w:t>Installed Model</w:t>
            </w:r>
          </w:p>
        </w:tc>
        <w:tc>
          <w:tcPr>
            <w:tcW w:type="dxa" w:w="5400"/>
          </w:tcPr>
          <w:p>
            <w:pPr>
              <w:spacing w:after="0" w:before="0" w:line="240" w:lineRule="auto"/>
              <w:jc w:val="left"/>
            </w:pPr>
            <w:r>
              <w:t>Identifies the installed model</w:t>
            </w:r>
          </w:p>
        </w:tc>
      </w:tr>
      <w:tr>
        <w:tc>
          <w:tcPr>
            <w:tcW w:type="dxa" w:w="5400"/>
          </w:tcPr>
          <w:p>
            <w:pPr>
              <w:spacing w:after="0" w:before="0" w:line="240" w:lineRule="auto"/>
              <w:jc w:val="left"/>
            </w:pPr>
            <w:r>
              <w:t>Installed Part Number</w:t>
            </w:r>
          </w:p>
        </w:tc>
        <w:tc>
          <w:tcPr>
            <w:tcW w:type="dxa" w:w="5400"/>
          </w:tcPr>
          <w:p>
            <w:pPr>
              <w:spacing w:after="0" w:before="0" w:line="240" w:lineRule="auto"/>
              <w:jc w:val="left"/>
            </w:pPr>
            <w:r>
              <w:t>Identifies the installed component</w:t>
            </w:r>
          </w:p>
        </w:tc>
      </w:tr>
      <w:tr>
        <w:tc>
          <w:tcPr>
            <w:tcW w:type="dxa" w:w="5400"/>
          </w:tcPr>
          <w:p>
            <w:pPr>
              <w:spacing w:after="0" w:before="0" w:line="240" w:lineRule="auto"/>
              <w:jc w:val="left"/>
            </w:pPr>
            <w:r>
              <w:t>Spare Material Number</w:t>
            </w:r>
          </w:p>
        </w:tc>
        <w:tc>
          <w:tcPr>
            <w:tcW w:type="dxa" w:w="5400"/>
          </w:tcPr>
          <w:p>
            <w:pPr>
              <w:spacing w:after="0" w:before="0" w:line="240" w:lineRule="auto"/>
              <w:jc w:val="left"/>
            </w:pPr>
            <w:r>
              <w:t>Links to the inventory material</w:t>
            </w:r>
          </w:p>
        </w:tc>
      </w:tr>
      <w:tr>
        <w:tc>
          <w:tcPr>
            <w:tcW w:type="dxa" w:w="5400"/>
          </w:tcPr>
          <w:p>
            <w:pPr>
              <w:spacing w:after="0" w:before="0" w:line="240" w:lineRule="auto"/>
              <w:jc w:val="left"/>
            </w:pPr>
            <w:r>
              <w:t>Spare Description</w:t>
            </w:r>
          </w:p>
        </w:tc>
        <w:tc>
          <w:tcPr>
            <w:tcW w:type="dxa" w:w="5400"/>
          </w:tcPr>
          <w:p>
            <w:pPr>
              <w:spacing w:after="0" w:before="0" w:line="240" w:lineRule="auto"/>
              <w:jc w:val="left"/>
            </w:pPr>
            <w:r>
              <w:t>Describes the spare</w:t>
            </w:r>
          </w:p>
        </w:tc>
      </w:tr>
      <w:tr>
        <w:tc>
          <w:tcPr>
            <w:tcW w:type="dxa" w:w="5400"/>
          </w:tcPr>
          <w:p>
            <w:pPr>
              <w:spacing w:after="0" w:before="0" w:line="240" w:lineRule="auto"/>
              <w:jc w:val="left"/>
            </w:pPr>
            <w:r>
              <w:t>Spare Manufacturer</w:t>
            </w:r>
          </w:p>
        </w:tc>
        <w:tc>
          <w:tcPr>
            <w:tcW w:type="dxa" w:w="5400"/>
          </w:tcPr>
          <w:p>
            <w:pPr>
              <w:spacing w:after="0" w:before="0" w:line="240" w:lineRule="auto"/>
              <w:jc w:val="left"/>
            </w:pPr>
            <w:r>
              <w:t>Identifies the spare manufacturer</w:t>
            </w:r>
          </w:p>
        </w:tc>
      </w:tr>
      <w:tr>
        <w:tc>
          <w:tcPr>
            <w:tcW w:type="dxa" w:w="5400"/>
          </w:tcPr>
          <w:p>
            <w:pPr>
              <w:spacing w:after="0" w:before="0" w:line="240" w:lineRule="auto"/>
              <w:jc w:val="left"/>
            </w:pPr>
            <w:r>
              <w:t>Spare Part Number</w:t>
            </w:r>
          </w:p>
        </w:tc>
        <w:tc>
          <w:tcPr>
            <w:tcW w:type="dxa" w:w="5400"/>
          </w:tcPr>
          <w:p>
            <w:pPr>
              <w:spacing w:after="0" w:before="0" w:line="240" w:lineRule="auto"/>
              <w:jc w:val="left"/>
            </w:pPr>
            <w:r>
              <w:t>Identifies the exact spare</w:t>
            </w:r>
          </w:p>
        </w:tc>
      </w:tr>
      <w:tr>
        <w:tc>
          <w:tcPr>
            <w:tcW w:type="dxa" w:w="5400"/>
          </w:tcPr>
          <w:p>
            <w:pPr>
              <w:spacing w:after="0" w:before="0" w:line="240" w:lineRule="auto"/>
              <w:jc w:val="left"/>
            </w:pPr>
            <w:r>
              <w:t>Relationship Type</w:t>
            </w:r>
          </w:p>
        </w:tc>
        <w:tc>
          <w:tcPr>
            <w:tcW w:type="dxa" w:w="5400"/>
          </w:tcPr>
          <w:p>
            <w:pPr>
              <w:spacing w:after="0" w:before="0" w:line="240" w:lineRule="auto"/>
              <w:jc w:val="left"/>
            </w:pPr>
            <w:r>
              <w:t>Direct replacement, approved alternate, conditional, or other defined type</w:t>
            </w:r>
          </w:p>
        </w:tc>
      </w:tr>
      <w:tr>
        <w:tc>
          <w:tcPr>
            <w:tcW w:type="dxa" w:w="5400"/>
          </w:tcPr>
          <w:p>
            <w:pPr>
              <w:spacing w:after="0" w:before="0" w:line="240" w:lineRule="auto"/>
              <w:jc w:val="left"/>
            </w:pPr>
            <w:r>
              <w:t>Compatibility Status</w:t>
            </w:r>
          </w:p>
        </w:tc>
        <w:tc>
          <w:tcPr>
            <w:tcW w:type="dxa" w:w="5400"/>
          </w:tcPr>
          <w:p>
            <w:pPr>
              <w:spacing w:after="0" w:before="0" w:line="240" w:lineRule="auto"/>
              <w:jc w:val="left"/>
            </w:pPr>
            <w:r>
              <w:t>Approved, conditional, rejected, or unverified</w:t>
            </w:r>
          </w:p>
        </w:tc>
      </w:tr>
      <w:tr>
        <w:tc>
          <w:tcPr>
            <w:tcW w:type="dxa" w:w="5400"/>
          </w:tcPr>
          <w:p>
            <w:pPr>
              <w:spacing w:after="0" w:before="0" w:line="240" w:lineRule="auto"/>
              <w:jc w:val="left"/>
            </w:pPr>
            <w:r>
              <w:t>Compatibility Conditions</w:t>
            </w:r>
          </w:p>
        </w:tc>
        <w:tc>
          <w:tcPr>
            <w:tcW w:type="dxa" w:w="5400"/>
          </w:tcPr>
          <w:p>
            <w:pPr>
              <w:spacing w:after="0" w:before="0" w:line="240" w:lineRule="auto"/>
              <w:jc w:val="left"/>
            </w:pPr>
            <w:r>
              <w:t>Documents technical restrictions</w:t>
            </w:r>
          </w:p>
        </w:tc>
      </w:tr>
      <w:tr>
        <w:tc>
          <w:tcPr>
            <w:tcW w:type="dxa" w:w="5400"/>
          </w:tcPr>
          <w:p>
            <w:pPr>
              <w:spacing w:after="0" w:before="0" w:line="240" w:lineRule="auto"/>
              <w:jc w:val="left"/>
            </w:pPr>
            <w:r>
              <w:t>Approved By</w:t>
            </w:r>
          </w:p>
        </w:tc>
        <w:tc>
          <w:tcPr>
            <w:tcW w:type="dxa" w:w="5400"/>
          </w:tcPr>
          <w:p>
            <w:pPr>
              <w:spacing w:after="0" w:before="0" w:line="240" w:lineRule="auto"/>
              <w:jc w:val="left"/>
            </w:pPr>
            <w:r>
              <w:t>Records the responsible approval authority</w:t>
            </w:r>
          </w:p>
        </w:tc>
      </w:tr>
      <w:tr>
        <w:tc>
          <w:tcPr>
            <w:tcW w:type="dxa" w:w="5400"/>
          </w:tcPr>
          <w:p>
            <w:pPr>
              <w:spacing w:after="0" w:before="0" w:line="240" w:lineRule="auto"/>
              <w:jc w:val="left"/>
            </w:pPr>
            <w:r>
              <w:t>Approval Reference</w:t>
            </w:r>
          </w:p>
        </w:tc>
        <w:tc>
          <w:tcPr>
            <w:tcW w:type="dxa" w:w="5400"/>
          </w:tcPr>
          <w:p>
            <w:pPr>
              <w:spacing w:after="0" w:before="0" w:line="240" w:lineRule="auto"/>
              <w:jc w:val="left"/>
            </w:pPr>
            <w:r>
              <w:t>Links to the validation or engineering-change record</w:t>
            </w:r>
          </w:p>
        </w:tc>
      </w:tr>
      <w:tr>
        <w:tc>
          <w:tcPr>
            <w:tcW w:type="dxa" w:w="5400"/>
          </w:tcPr>
          <w:p>
            <w:pPr>
              <w:spacing w:after="0" w:before="0" w:line="240" w:lineRule="auto"/>
              <w:jc w:val="left"/>
            </w:pPr>
            <w:r>
              <w:t>Criticality</w:t>
            </w:r>
          </w:p>
        </w:tc>
        <w:tc>
          <w:tcPr>
            <w:tcW w:type="dxa" w:w="5400"/>
          </w:tcPr>
          <w:p>
            <w:pPr>
              <w:spacing w:after="0" w:before="0" w:line="240" w:lineRule="auto"/>
              <w:jc w:val="left"/>
            </w:pPr>
            <w:r>
              <w:t>Indicates the consequence of spare unavailability</w:t>
            </w:r>
          </w:p>
        </w:tc>
      </w:tr>
      <w:tr>
        <w:tc>
          <w:tcPr>
            <w:tcW w:type="dxa" w:w="5400"/>
          </w:tcPr>
          <w:p>
            <w:pPr>
              <w:spacing w:after="0" w:before="0" w:line="240" w:lineRule="auto"/>
              <w:jc w:val="left"/>
            </w:pPr>
            <w:r>
              <w:t>Stock Location</w:t>
            </w:r>
          </w:p>
        </w:tc>
        <w:tc>
          <w:tcPr>
            <w:tcW w:type="dxa" w:w="5400"/>
          </w:tcPr>
          <w:p>
            <w:pPr>
              <w:spacing w:after="0" w:before="0" w:line="240" w:lineRule="auto"/>
              <w:jc w:val="left"/>
            </w:pPr>
            <w:r>
              <w:t>Identifies the storage location</w:t>
            </w:r>
          </w:p>
        </w:tc>
      </w:tr>
      <w:tr>
        <w:tc>
          <w:tcPr>
            <w:tcW w:type="dxa" w:w="5400"/>
          </w:tcPr>
          <w:p>
            <w:pPr>
              <w:spacing w:after="0" w:before="0" w:line="240" w:lineRule="auto"/>
              <w:jc w:val="left"/>
            </w:pPr>
            <w:r>
              <w:t>Available Quantity</w:t>
            </w:r>
          </w:p>
        </w:tc>
        <w:tc>
          <w:tcPr>
            <w:tcW w:type="dxa" w:w="5400"/>
          </w:tcPr>
          <w:p>
            <w:pPr>
              <w:spacing w:after="0" w:before="0" w:line="240" w:lineRule="auto"/>
              <w:jc w:val="left"/>
            </w:pPr>
            <w:r>
              <w:t>Records the relevant available stock</w:t>
            </w:r>
          </w:p>
        </w:tc>
      </w:tr>
      <w:tr>
        <w:tc>
          <w:tcPr>
            <w:tcW w:type="dxa" w:w="5400"/>
          </w:tcPr>
          <w:p>
            <w:pPr>
              <w:spacing w:after="0" w:before="0" w:line="240" w:lineRule="auto"/>
              <w:jc w:val="left"/>
            </w:pPr>
            <w:r>
              <w:t>Lead Time</w:t>
            </w:r>
          </w:p>
        </w:tc>
        <w:tc>
          <w:tcPr>
            <w:tcW w:type="dxa" w:w="5400"/>
          </w:tcPr>
          <w:p>
            <w:pPr>
              <w:spacing w:after="0" w:before="0" w:line="240" w:lineRule="auto"/>
              <w:jc w:val="left"/>
            </w:pPr>
            <w:r>
              <w:t>Records expected procurement time</w:t>
            </w:r>
          </w:p>
        </w:tc>
      </w:tr>
      <w:tr>
        <w:tc>
          <w:tcPr>
            <w:tcW w:type="dxa" w:w="5400"/>
          </w:tcPr>
          <w:p>
            <w:pPr>
              <w:spacing w:after="0" w:before="0" w:line="240" w:lineRule="auto"/>
              <w:jc w:val="left"/>
            </w:pPr>
            <w:r>
              <w:t>Verification Date</w:t>
            </w:r>
          </w:p>
        </w:tc>
        <w:tc>
          <w:tcPr>
            <w:tcW w:type="dxa" w:w="5400"/>
          </w:tcPr>
          <w:p>
            <w:pPr>
              <w:spacing w:after="0" w:before="0" w:line="240" w:lineRule="auto"/>
              <w:jc w:val="left"/>
            </w:pPr>
            <w:r>
              <w:t>Records the last compatibility review</w:t>
            </w:r>
          </w:p>
        </w:tc>
      </w:tr>
    </w:tbl>
    <w:p/>
    <w:p>
      <w:r>
        <w:t>Maintain compatibility records separately from changing stock quantities where possible. The technical relationship between a spare and a machine may remain valid for years, while stock availability can change every day.</w:t>
      </w:r>
    </w:p>
    <w:p>
      <w:pPr>
        <w:pStyle w:val="Heading2"/>
      </w:pPr>
      <w:r>
        <w:t>7. Establishing Technical Compatibility</w:t>
      </w:r>
    </w:p>
    <w:p>
      <w:r>
        <w:t>Spare-to-machine mapping requires engineering validation. Similar appearance, matching connector shapes, or a vendor statement that two products are equivalent may be insufficient.</w:t>
      </w:r>
    </w:p>
    <w:p>
      <w:pPr>
        <w:pStyle w:val="Heading3"/>
      </w:pPr>
      <w:r>
        <w:t>7.1 Electrical compatibility</w:t>
      </w:r>
    </w:p>
    <w:p>
      <w:r>
        <w:t>Check:</w:t>
      </w:r>
    </w:p>
    <w:p>
      <w:pPr>
        <w:pStyle w:val="ListBullet"/>
      </w:pPr>
      <w:r>
        <w:t>Supply voltage and frequency.</w:t>
      </w:r>
    </w:p>
    <w:p>
      <w:pPr>
        <w:pStyle w:val="ListBullet"/>
      </w:pPr>
      <w:r>
        <w:t>AC or DC operation.</w:t>
      </w:r>
    </w:p>
    <w:p>
      <w:pPr>
        <w:pStyle w:val="ListBullet"/>
      </w:pPr>
      <w:r>
        <w:t>Rated current and power.</w:t>
      </w:r>
    </w:p>
    <w:p>
      <w:pPr>
        <w:pStyle w:val="ListBullet"/>
      </w:pPr>
      <w:r>
        <w:t>Input and output signal types.</w:t>
      </w:r>
    </w:p>
    <w:p>
      <w:pPr>
        <w:pStyle w:val="ListBullet"/>
      </w:pPr>
      <w:r>
        <w:t>Voltage and current ranges.</w:t>
      </w:r>
    </w:p>
    <w:p>
      <w:pPr>
        <w:pStyle w:val="ListBullet"/>
      </w:pPr>
      <w:r>
        <w:t>Switching characteristics.</w:t>
      </w:r>
    </w:p>
    <w:p>
      <w:pPr>
        <w:pStyle w:val="ListBullet"/>
      </w:pPr>
      <w:r>
        <w:t>Isolation requirements.</w:t>
      </w:r>
    </w:p>
    <w:p>
      <w:pPr>
        <w:pStyle w:val="ListBullet"/>
      </w:pPr>
      <w:r>
        <w:t>Earthing and shielding requirements.</w:t>
      </w:r>
    </w:p>
    <w:p>
      <w:pPr>
        <w:pStyle w:val="ListBullet"/>
      </w:pPr>
      <w:r>
        <w:t>Protection ratings.</w:t>
      </w:r>
    </w:p>
    <w:p>
      <w:pPr>
        <w:pStyle w:val="ListBullet"/>
      </w:pPr>
      <w:r>
        <w:t>Electrical connection and pinout.</w:t>
      </w:r>
    </w:p>
    <w:p>
      <w:pPr>
        <w:pStyle w:val="Heading3"/>
      </w:pPr>
      <w:r>
        <w:t>7.2 Mechanical compatibility</w:t>
      </w:r>
    </w:p>
    <w:p>
      <w:r>
        <w:t>Check:</w:t>
      </w:r>
    </w:p>
    <w:p>
      <w:pPr>
        <w:pStyle w:val="ListBullet"/>
      </w:pPr>
      <w:r>
        <w:t>Dimensions.</w:t>
      </w:r>
    </w:p>
    <w:p>
      <w:pPr>
        <w:pStyle w:val="ListBullet"/>
      </w:pPr>
      <w:r>
        <w:t>Mounting pattern.</w:t>
      </w:r>
    </w:p>
    <w:p>
      <w:pPr>
        <w:pStyle w:val="ListBullet"/>
      </w:pPr>
      <w:r>
        <w:t>Connector arrangement.</w:t>
      </w:r>
    </w:p>
    <w:p>
      <w:pPr>
        <w:pStyle w:val="ListBullet"/>
      </w:pPr>
      <w:r>
        <w:t>Shaft or coupling dimensions.</w:t>
      </w:r>
    </w:p>
    <w:p>
      <w:pPr>
        <w:pStyle w:val="ListBullet"/>
      </w:pPr>
      <w:r>
        <w:t>Cooling requirements.</w:t>
      </w:r>
    </w:p>
    <w:p>
      <w:pPr>
        <w:pStyle w:val="ListBullet"/>
      </w:pPr>
      <w:r>
        <w:t>Enclosure and ingress-protection ratings.</w:t>
      </w:r>
    </w:p>
    <w:p>
      <w:pPr>
        <w:pStyle w:val="ListBullet"/>
      </w:pPr>
      <w:r>
        <w:t>Environmental suitability.</w:t>
      </w:r>
    </w:p>
    <w:p>
      <w:pPr>
        <w:pStyle w:val="ListBullet"/>
      </w:pPr>
      <w:r>
        <w:t>Cable length and routing restrictions.</w:t>
      </w:r>
    </w:p>
    <w:p>
      <w:pPr>
        <w:pStyle w:val="Heading3"/>
      </w:pPr>
      <w:r>
        <w:t>7.3 Automation compatibility</w:t>
      </w:r>
    </w:p>
    <w:p>
      <w:r>
        <w:t>Check:</w:t>
      </w:r>
    </w:p>
    <w:p>
      <w:pPr>
        <w:pStyle w:val="ListBullet"/>
      </w:pPr>
      <w:r>
        <w:t>PLC family and supported module type.</w:t>
      </w:r>
    </w:p>
    <w:p>
      <w:pPr>
        <w:pStyle w:val="ListBullet"/>
      </w:pPr>
      <w:r>
        <w:t>Rack, chassis, or bus compatibility.</w:t>
      </w:r>
    </w:p>
    <w:p>
      <w:pPr>
        <w:pStyle w:val="ListBullet"/>
      </w:pPr>
      <w:r>
        <w:t>Firmware compatibility.</w:t>
      </w:r>
    </w:p>
    <w:p>
      <w:pPr>
        <w:pStyle w:val="ListBullet"/>
      </w:pPr>
      <w:r>
        <w:t>Communication protocol.</w:t>
      </w:r>
    </w:p>
    <w:p>
      <w:pPr>
        <w:pStyle w:val="ListBullet"/>
      </w:pPr>
      <w:r>
        <w:t>I/O data format.</w:t>
      </w:r>
    </w:p>
    <w:p>
      <w:pPr>
        <w:pStyle w:val="ListBullet"/>
      </w:pPr>
      <w:r>
        <w:t>Configuration requirements.</w:t>
      </w:r>
    </w:p>
    <w:p>
      <w:pPr>
        <w:pStyle w:val="ListBullet"/>
      </w:pPr>
      <w:r>
        <w:t>Engineering software support.</w:t>
      </w:r>
    </w:p>
    <w:p>
      <w:pPr>
        <w:pStyle w:val="ListBullet"/>
      </w:pPr>
      <w:r>
        <w:t>Device-description files or integration packages where applicable.</w:t>
      </w:r>
    </w:p>
    <w:p>
      <w:pPr>
        <w:pStyle w:val="ListBullet"/>
      </w:pPr>
      <w:r>
        <w:t>Parameter and backup compatibility.</w:t>
      </w:r>
    </w:p>
    <w:p>
      <w:pPr>
        <w:pStyle w:val="Heading3"/>
      </w:pPr>
      <w:r>
        <w:t>7.4 Functional compatibility</w:t>
      </w:r>
    </w:p>
    <w:p>
      <w:r>
        <w:t>Check whether the replacement performs the required function under actual operating conditions.</w:t>
      </w:r>
    </w:p>
    <w:p>
      <w:r>
        <w:t>For example, a sensor may have the correct supply voltage but the wrong output type. A PNP sensor cannot automatically replace an NPN sensor without confirming the input circuit and control logic.</w:t>
      </w:r>
    </w:p>
    <w:p>
      <w:pPr>
        <w:pStyle w:val="Heading3"/>
      </w:pPr>
      <w:r>
        <w:t>7.5 Safety compatibility</w:t>
      </w:r>
    </w:p>
    <w:p>
      <w:r>
        <w:t>For safety-related components, verify the required safety function, architecture, performance level or safety integrity requirements where applicable, diagnostics, certification, and system validation requirements.</w:t>
      </w:r>
    </w:p>
    <w:p>
      <w:r>
        <w:t>An ordinary relay is not an acceptable substitute for a safety relay merely because both fit in the panel.</w:t>
      </w:r>
    </w:p>
    <w:p>
      <w:pPr>
        <w:pStyle w:val="Heading2"/>
      </w:pPr>
      <w:r>
        <w:t>8. Compatibility Classification</w:t>
      </w:r>
    </w:p>
    <w:p>
      <w:r>
        <w:t>Use standardized statuses so that stores personnel and maintenance technicians do not have to interpret vague comments.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Permitted use</w:t>
            </w:r>
          </w:p>
        </w:tc>
      </w:tr>
      <w:tr>
        <w:tc>
          <w:tcPr>
            <w:tcW w:type="dxa" w:w="3600"/>
          </w:tcPr>
          <w:p>
            <w:pPr>
              <w:spacing w:after="0" w:before="0" w:line="240" w:lineRule="auto"/>
              <w:jc w:val="left"/>
            </w:pPr>
            <w:r>
              <w:t>Approved direct replacement</w:t>
            </w:r>
          </w:p>
        </w:tc>
        <w:tc>
          <w:tcPr>
            <w:tcW w:type="dxa" w:w="3600"/>
          </w:tcPr>
          <w:p>
            <w:pPr>
              <w:spacing w:after="0" w:before="0" w:line="240" w:lineRule="auto"/>
              <w:jc w:val="left"/>
            </w:pPr>
            <w:r>
              <w:t>Verified compatible for the defined application</w:t>
            </w:r>
          </w:p>
        </w:tc>
        <w:tc>
          <w:tcPr>
            <w:tcW w:type="dxa" w:w="3600"/>
          </w:tcPr>
          <w:p>
            <w:pPr>
              <w:spacing w:after="0" w:before="0" w:line="240" w:lineRule="auto"/>
              <w:jc w:val="left"/>
            </w:pPr>
            <w:r>
              <w:t>Use within the approved scope</w:t>
            </w:r>
          </w:p>
        </w:tc>
      </w:tr>
      <w:tr>
        <w:tc>
          <w:tcPr>
            <w:tcW w:type="dxa" w:w="3600"/>
          </w:tcPr>
          <w:p>
            <w:pPr>
              <w:spacing w:after="0" w:before="0" w:line="240" w:lineRule="auto"/>
              <w:jc w:val="left"/>
            </w:pPr>
            <w:r>
              <w:t>Approved alternate</w:t>
            </w:r>
          </w:p>
        </w:tc>
        <w:tc>
          <w:tcPr>
            <w:tcW w:type="dxa" w:w="3600"/>
          </w:tcPr>
          <w:p>
            <w:pPr>
              <w:spacing w:after="0" w:before="0" w:line="240" w:lineRule="auto"/>
              <w:jc w:val="left"/>
            </w:pPr>
            <w:r>
              <w:t>Validated alternative with documented conditions</w:t>
            </w:r>
          </w:p>
        </w:tc>
        <w:tc>
          <w:tcPr>
            <w:tcW w:type="dxa" w:w="3600"/>
          </w:tcPr>
          <w:p>
            <w:pPr>
              <w:spacing w:after="0" w:before="0" w:line="240" w:lineRule="auto"/>
              <w:jc w:val="left"/>
            </w:pPr>
            <w:r>
              <w:t>Use within the approved scope</w:t>
            </w:r>
          </w:p>
        </w:tc>
      </w:tr>
      <w:tr>
        <w:tc>
          <w:tcPr>
            <w:tcW w:type="dxa" w:w="3600"/>
          </w:tcPr>
          <w:p>
            <w:pPr>
              <w:spacing w:after="0" w:before="0" w:line="240" w:lineRule="auto"/>
              <w:jc w:val="left"/>
            </w:pPr>
            <w:r>
              <w:t>Conditional</w:t>
            </w:r>
          </w:p>
        </w:tc>
        <w:tc>
          <w:tcPr>
            <w:tcW w:type="dxa" w:w="3600"/>
          </w:tcPr>
          <w:p>
            <w:pPr>
              <w:spacing w:after="0" w:before="0" w:line="240" w:lineRule="auto"/>
              <w:jc w:val="left"/>
            </w:pPr>
            <w:r>
              <w:t>Requires specified checks or modifications</w:t>
            </w:r>
          </w:p>
        </w:tc>
        <w:tc>
          <w:tcPr>
            <w:tcW w:type="dxa" w:w="3600"/>
          </w:tcPr>
          <w:p>
            <w:pPr>
              <w:spacing w:after="0" w:before="0" w:line="240" w:lineRule="auto"/>
              <w:jc w:val="left"/>
            </w:pPr>
            <w:r>
              <w:t>Use only after conditions are met</w:t>
            </w:r>
          </w:p>
        </w:tc>
      </w:tr>
      <w:tr>
        <w:tc>
          <w:tcPr>
            <w:tcW w:type="dxa" w:w="3600"/>
          </w:tcPr>
          <w:p>
            <w:pPr>
              <w:spacing w:after="0" w:before="0" w:line="240" w:lineRule="auto"/>
              <w:jc w:val="left"/>
            </w:pPr>
            <w:r>
              <w:t>Under evaluation</w:t>
            </w:r>
          </w:p>
        </w:tc>
        <w:tc>
          <w:tcPr>
            <w:tcW w:type="dxa" w:w="3600"/>
          </w:tcPr>
          <w:p>
            <w:pPr>
              <w:spacing w:after="0" w:before="0" w:line="240" w:lineRule="auto"/>
              <w:jc w:val="left"/>
            </w:pPr>
            <w:r>
              <w:t>Compatibility assessment is incomplete</w:t>
            </w:r>
          </w:p>
        </w:tc>
        <w:tc>
          <w:tcPr>
            <w:tcW w:type="dxa" w:w="3600"/>
          </w:tcPr>
          <w:p>
            <w:pPr>
              <w:spacing w:after="0" w:before="0" w:line="240" w:lineRule="auto"/>
              <w:jc w:val="left"/>
            </w:pPr>
            <w:r>
              <w:t>Do not treat as approved</w:t>
            </w:r>
          </w:p>
        </w:tc>
      </w:tr>
      <w:tr>
        <w:tc>
          <w:tcPr>
            <w:tcW w:type="dxa" w:w="3600"/>
          </w:tcPr>
          <w:p>
            <w:pPr>
              <w:spacing w:after="0" w:before="0" w:line="240" w:lineRule="auto"/>
              <w:jc w:val="left"/>
            </w:pPr>
            <w:r>
              <w:t>Rejected</w:t>
            </w:r>
          </w:p>
        </w:tc>
        <w:tc>
          <w:tcPr>
            <w:tcW w:type="dxa" w:w="3600"/>
          </w:tcPr>
          <w:p>
            <w:pPr>
              <w:spacing w:after="0" w:before="0" w:line="240" w:lineRule="auto"/>
              <w:jc w:val="left"/>
            </w:pPr>
            <w:r>
              <w:t>Known incompatibility or unacceptable risk</w:t>
            </w:r>
          </w:p>
        </w:tc>
        <w:tc>
          <w:tcPr>
            <w:tcW w:type="dxa" w:w="3600"/>
          </w:tcPr>
          <w:p>
            <w:pPr>
              <w:spacing w:after="0" w:before="0" w:line="240" w:lineRule="auto"/>
              <w:jc w:val="left"/>
            </w:pPr>
            <w:r>
              <w:t>Do not use</w:t>
            </w:r>
          </w:p>
        </w:tc>
      </w:tr>
      <w:tr>
        <w:tc>
          <w:tcPr>
            <w:tcW w:type="dxa" w:w="3600"/>
          </w:tcPr>
          <w:p>
            <w:pPr>
              <w:spacing w:after="0" w:before="0" w:line="240" w:lineRule="auto"/>
              <w:jc w:val="left"/>
            </w:pPr>
            <w:r>
              <w:t>Unverified</w:t>
            </w:r>
          </w:p>
        </w:tc>
        <w:tc>
          <w:tcPr>
            <w:tcW w:type="dxa" w:w="3600"/>
          </w:tcPr>
          <w:p>
            <w:pPr>
              <w:spacing w:after="0" w:before="0" w:line="240" w:lineRule="auto"/>
              <w:jc w:val="left"/>
            </w:pPr>
            <w:r>
              <w:t>Evidence is insufficient</w:t>
            </w:r>
          </w:p>
        </w:tc>
        <w:tc>
          <w:tcPr>
            <w:tcW w:type="dxa" w:w="3600"/>
          </w:tcPr>
          <w:p>
            <w:pPr>
              <w:spacing w:after="0" w:before="0" w:line="240" w:lineRule="auto"/>
              <w:jc w:val="left"/>
            </w:pPr>
            <w:r>
              <w:t>Do not assume compatibility</w:t>
            </w:r>
          </w:p>
        </w:tc>
      </w:tr>
    </w:tbl>
    <w:p/>
    <w:p>
      <w:r>
        <w:t>A product can be approved for one machine and conditional or rejected for another. Approval must be tied to the relevant application, not just the product model.</w:t>
      </w:r>
    </w:p>
    <w:p>
      <w:pPr>
        <w:pStyle w:val="Heading2"/>
      </w:pPr>
      <w:r>
        <w:t>9. Mapping PLC Spares to Machines</w:t>
      </w:r>
    </w:p>
    <w:p>
      <w:r>
        <w:t>PLC spares require particular attention because apparently minor differences can affect system operation.</w:t>
      </w:r>
    </w:p>
    <w:p>
      <w:r>
        <w:t>Record:</w:t>
      </w:r>
    </w:p>
    <w:p>
      <w:pPr>
        <w:pStyle w:val="ListBullet"/>
      </w:pPr>
      <w:r>
        <w:t>PLC manufacturer and family.</w:t>
      </w:r>
    </w:p>
    <w:p>
      <w:pPr>
        <w:pStyle w:val="ListBullet"/>
      </w:pPr>
      <w:r>
        <w:t>Exact CPU or module part number.</w:t>
      </w:r>
    </w:p>
    <w:p>
      <w:pPr>
        <w:pStyle w:val="ListBullet"/>
      </w:pPr>
      <w:r>
        <w:t>Installed hardware revision where relevant.</w:t>
      </w:r>
    </w:p>
    <w:p>
      <w:pPr>
        <w:pStyle w:val="ListBullet"/>
      </w:pPr>
      <w:r>
        <w:t>Firmware requirements.</w:t>
      </w:r>
    </w:p>
    <w:p>
      <w:pPr>
        <w:pStyle w:val="ListBullet"/>
      </w:pPr>
      <w:r>
        <w:t>Chassis or rack compatibility.</w:t>
      </w:r>
    </w:p>
    <w:p>
      <w:pPr>
        <w:pStyle w:val="ListBullet"/>
      </w:pPr>
      <w:r>
        <w:t>Communication interface.</w:t>
      </w:r>
    </w:p>
    <w:p>
      <w:pPr>
        <w:pStyle w:val="ListBullet"/>
      </w:pPr>
      <w:r>
        <w:t>I/O type and electrical characteristics.</w:t>
      </w:r>
    </w:p>
    <w:p>
      <w:pPr>
        <w:pStyle w:val="ListBullet"/>
      </w:pPr>
      <w:r>
        <w:t>Engineering software compatibility.</w:t>
      </w:r>
    </w:p>
    <w:p>
      <w:pPr>
        <w:pStyle w:val="ListBullet"/>
      </w:pPr>
      <w:r>
        <w:t>Program and configuration requirements.</w:t>
      </w:r>
    </w:p>
    <w:p>
      <w:pPr>
        <w:pStyle w:val="ListBullet"/>
      </w:pPr>
      <w:r>
        <w:t>Licensing or activation requirements where applicable.</w:t>
      </w:r>
    </w:p>
    <w:p>
      <w:pPr>
        <w:pStyle w:val="ListBullet"/>
      </w:pPr>
      <w:r>
        <w:t>Approved replacement and migration restrictions.</w:t>
      </w:r>
    </w:p>
    <w:p>
      <w:r>
        <w:t>For example, a digital output module must be checked for the correct output technology, voltage, current, isolation, and load compatibility. Physical fit alone does not establish interchangeability.</w:t>
      </w:r>
    </w:p>
    <w:p>
      <w:r>
        <w:t>For CPUs, also consider application compatibility, communication requirements, memory, firmware, software tools, and the approved recovery procedure.</w:t>
      </w:r>
    </w:p>
    <w:p>
      <w:pPr>
        <w:pStyle w:val="Heading2"/>
      </w:pPr>
      <w:r>
        <w:t>10. Mapping VFD and Servo-Drive Spares</w:t>
      </w:r>
    </w:p>
    <w:p>
      <w:r>
        <w:t>A drive replacement must be assessed against the complete motor-control application.</w:t>
      </w:r>
    </w:p>
    <w:p>
      <w:r>
        <w:t>Check:</w:t>
      </w:r>
    </w:p>
    <w:p>
      <w:pPr>
        <w:pStyle w:val="ListBullet"/>
      </w:pPr>
      <w:r>
        <w:t>Input supply and phase requirements.</w:t>
      </w:r>
    </w:p>
    <w:p>
      <w:pPr>
        <w:pStyle w:val="ListBullet"/>
      </w:pPr>
      <w:r>
        <w:t>Rated motor current and power.</w:t>
      </w:r>
    </w:p>
    <w:p>
      <w:pPr>
        <w:pStyle w:val="ListBullet"/>
      </w:pPr>
      <w:r>
        <w:t>Overload and duty requirements.</w:t>
      </w:r>
    </w:p>
    <w:p>
      <w:pPr>
        <w:pStyle w:val="ListBullet"/>
      </w:pPr>
      <w:r>
        <w:t>Motor type and operating characteristics.</w:t>
      </w:r>
    </w:p>
    <w:p>
      <w:pPr>
        <w:pStyle w:val="ListBullet"/>
      </w:pPr>
      <w:r>
        <w:t>Control mode.</w:t>
      </w:r>
    </w:p>
    <w:p>
      <w:pPr>
        <w:pStyle w:val="ListBullet"/>
      </w:pPr>
      <w:r>
        <w:t>Encoder or feedback compatibility.</w:t>
      </w:r>
    </w:p>
    <w:p>
      <w:pPr>
        <w:pStyle w:val="ListBullet"/>
      </w:pPr>
      <w:r>
        <w:t>Braking resistor or regenerative-unit requirements.</w:t>
      </w:r>
    </w:p>
    <w:p>
      <w:pPr>
        <w:pStyle w:val="ListBullet"/>
      </w:pPr>
      <w:r>
        <w:t>Communication interface.</w:t>
      </w:r>
    </w:p>
    <w:p>
      <w:pPr>
        <w:pStyle w:val="ListBullet"/>
      </w:pPr>
      <w:r>
        <w:t>Safety functions.</w:t>
      </w:r>
    </w:p>
    <w:p>
      <w:pPr>
        <w:pStyle w:val="ListBullet"/>
      </w:pPr>
      <w:r>
        <w:t>Parameter backup and restoration.</w:t>
      </w:r>
    </w:p>
    <w:p>
      <w:pPr>
        <w:pStyle w:val="ListBullet"/>
      </w:pPr>
      <w:r>
        <w:t>Mounting, cooling, and environmental conditions.</w:t>
      </w:r>
    </w:p>
    <w:p>
      <w:pPr>
        <w:pStyle w:val="ListBullet"/>
      </w:pPr>
      <w:r>
        <w:t>Commissioning and validation requirements.</w:t>
      </w:r>
    </w:p>
    <w:p>
      <w:r>
        <w:t>A drive with the same kilowatt rating may still be unsuitable because its output-current capacity, control behavior, feedback interface, braking arrangement, or safety functions differ.</w:t>
      </w:r>
    </w:p>
    <w:p>
      <w:r>
        <w:t>For servo systems, the drive, motor, encoder, feedback cable, and motion-controller configuration must be considered as a compatible system.</w:t>
      </w:r>
    </w:p>
    <w:p>
      <w:pPr>
        <w:pStyle w:val="Heading2"/>
      </w:pPr>
      <w:r>
        <w:t>11. Mapping Sensors and Field Devices</w:t>
      </w:r>
    </w:p>
    <w:p>
      <w:r>
        <w:t>Sensor mapping should capture the interface between the physical device and the machine's control system.</w:t>
      </w:r>
    </w:p>
    <w:p>
      <w:r>
        <w:t>Relevant attributes include:</w:t>
      </w:r>
    </w:p>
    <w:p>
      <w:pPr>
        <w:pStyle w:val="ListBullet"/>
      </w:pPr>
      <w:r>
        <w:t>Sensing principle.</w:t>
      </w:r>
    </w:p>
    <w:p>
      <w:pPr>
        <w:pStyle w:val="ListBullet"/>
      </w:pPr>
      <w:r>
        <w:t>Detection range.</w:t>
      </w:r>
    </w:p>
    <w:p>
      <w:pPr>
        <w:pStyle w:val="ListBullet"/>
      </w:pPr>
      <w:r>
        <w:t>Supply voltage.</w:t>
      </w:r>
    </w:p>
    <w:p>
      <w:pPr>
        <w:pStyle w:val="ListBullet"/>
      </w:pPr>
      <w:r>
        <w:t>Output type.</w:t>
      </w:r>
    </w:p>
    <w:p>
      <w:pPr>
        <w:pStyle w:val="ListBullet"/>
      </w:pPr>
      <w:r>
        <w:t>PNP or NPN switching.</w:t>
      </w:r>
    </w:p>
    <w:p>
      <w:pPr>
        <w:pStyle w:val="ListBullet"/>
      </w:pPr>
      <w:r>
        <w:t>Normally open or normally closed behavior.</w:t>
      </w:r>
    </w:p>
    <w:p>
      <w:pPr>
        <w:pStyle w:val="ListBullet"/>
      </w:pPr>
      <w:r>
        <w:t>Analog output range.</w:t>
      </w:r>
    </w:p>
    <w:p>
      <w:pPr>
        <w:pStyle w:val="ListBullet"/>
      </w:pPr>
      <w:r>
        <w:t>Connector and pinout.</w:t>
      </w:r>
    </w:p>
    <w:p>
      <w:pPr>
        <w:pStyle w:val="ListBullet"/>
      </w:pPr>
      <w:r>
        <w:t>Response time.</w:t>
      </w:r>
    </w:p>
    <w:p>
      <w:pPr>
        <w:pStyle w:val="ListBullet"/>
      </w:pPr>
      <w:r>
        <w:t>Environmental rating.</w:t>
      </w:r>
    </w:p>
    <w:p>
      <w:pPr>
        <w:pStyle w:val="ListBullet"/>
      </w:pPr>
      <w:r>
        <w:t>Mounting and alignment.</w:t>
      </w:r>
    </w:p>
    <w:p>
      <w:pPr>
        <w:pStyle w:val="ListBullet"/>
      </w:pPr>
      <w:r>
        <w:t>Cable and connector requirements.</w:t>
      </w:r>
    </w:p>
    <w:p>
      <w:pPr>
        <w:pStyle w:val="ListBullet"/>
      </w:pPr>
      <w:r>
        <w:t>Safety classification where applicable.</w:t>
      </w:r>
    </w:p>
    <w:p>
      <w:r>
        <w:t>For a 4–20 mA transmitter, check the measurement range, electrical interface, wiring, scaling, and input configuration. A transmitter with a matching connector but a different measurement range can generate plausible-looking but incorrect process data, which is considerably worse than an obvious failure.</w:t>
      </w:r>
    </w:p>
    <w:p>
      <w:pPr>
        <w:pStyle w:val="Heading2"/>
      </w:pPr>
      <w:r>
        <w:t>12. Mapping CNC and Robot Spares</w:t>
      </w:r>
    </w:p>
    <w:p>
      <w:pPr>
        <w:pStyle w:val="Heading3"/>
      </w:pPr>
      <w:r>
        <w:t>12.1 CNC equipment</w:t>
      </w:r>
    </w:p>
    <w:p>
      <w:r>
        <w:t>For CNC systems, map spare applicability to the complete machine configuration where needed.</w:t>
      </w:r>
    </w:p>
    <w:p>
      <w:r>
        <w:t>Relevant components include:</w:t>
      </w:r>
    </w:p>
    <w:p>
      <w:pPr>
        <w:pStyle w:val="ListBullet"/>
      </w:pPr>
      <w:r>
        <w:t>CNC controller.</w:t>
      </w:r>
    </w:p>
    <w:p>
      <w:pPr>
        <w:pStyle w:val="ListBullet"/>
      </w:pPr>
      <w:r>
        <w:t>PLC interface modules.</w:t>
      </w:r>
    </w:p>
    <w:p>
      <w:pPr>
        <w:pStyle w:val="ListBullet"/>
      </w:pPr>
      <w:r>
        <w:t>Servo drives.</w:t>
      </w:r>
    </w:p>
    <w:p>
      <w:pPr>
        <w:pStyle w:val="ListBullet"/>
      </w:pPr>
      <w:r>
        <w:t>Spindle drives.</w:t>
      </w:r>
    </w:p>
    <w:p>
      <w:pPr>
        <w:pStyle w:val="ListBullet"/>
      </w:pPr>
      <w:r>
        <w:t>Feedback devices.</w:t>
      </w:r>
    </w:p>
    <w:p>
      <w:pPr>
        <w:pStyle w:val="ListBullet"/>
      </w:pPr>
      <w:r>
        <w:t>Operator panels.</w:t>
      </w:r>
    </w:p>
    <w:p>
      <w:pPr>
        <w:pStyle w:val="ListBullet"/>
      </w:pPr>
      <w:r>
        <w:t>Power supplies.</w:t>
      </w:r>
    </w:p>
    <w:p>
      <w:pPr>
        <w:pStyle w:val="ListBullet"/>
      </w:pPr>
      <w:r>
        <w:t>I/O modules.</w:t>
      </w:r>
    </w:p>
    <w:p>
      <w:pPr>
        <w:pStyle w:val="ListBullet"/>
      </w:pPr>
      <w:r>
        <w:t>Machine-builder-specific interface boards.</w:t>
      </w:r>
    </w:p>
    <w:p>
      <w:pPr>
        <w:pStyle w:val="ListBullet"/>
      </w:pPr>
      <w:r>
        <w:t>Cooling components.</w:t>
      </w:r>
    </w:p>
    <w:p>
      <w:pPr>
        <w:pStyle w:val="ListBullet"/>
      </w:pPr>
      <w:r>
        <w:t>Communication modules.</w:t>
      </w:r>
    </w:p>
    <w:p>
      <w:r>
        <w:t>Record whether the spare is a direct replacement, requires parameter restoration, requires software compatibility checks, or requires OEM intervention.</w:t>
      </w:r>
    </w:p>
    <w:p>
      <w:pPr>
        <w:pStyle w:val="Heading3"/>
      </w:pPr>
      <w:r>
        <w:t>12.2 Robot systems</w:t>
      </w:r>
    </w:p>
    <w:p>
      <w:r>
        <w:t>Map the spare against the correct robot and controller combination.</w:t>
      </w:r>
    </w:p>
    <w:p>
      <w:r>
        <w:t>Relevant components include:</w:t>
      </w:r>
    </w:p>
    <w:p>
      <w:pPr>
        <w:pStyle w:val="ListBullet"/>
      </w:pPr>
      <w:r>
        <w:t>Robot controller hardware.</w:t>
      </w:r>
    </w:p>
    <w:p>
      <w:pPr>
        <w:pStyle w:val="ListBullet"/>
      </w:pPr>
      <w:r>
        <w:t>Servo amplifiers.</w:t>
      </w:r>
    </w:p>
    <w:p>
      <w:pPr>
        <w:pStyle w:val="ListBullet"/>
      </w:pPr>
      <w:r>
        <w:t>Robot motors.</w:t>
      </w:r>
    </w:p>
    <w:p>
      <w:pPr>
        <w:pStyle w:val="ListBullet"/>
      </w:pPr>
      <w:r>
        <w:t>Encoders and feedback cables.</w:t>
      </w:r>
    </w:p>
    <w:p>
      <w:pPr>
        <w:pStyle w:val="ListBullet"/>
      </w:pPr>
      <w:r>
        <w:t>Teach pendants.</w:t>
      </w:r>
    </w:p>
    <w:p>
      <w:pPr>
        <w:pStyle w:val="ListBullet"/>
      </w:pPr>
      <w:r>
        <w:t>Safety interface modules.</w:t>
      </w:r>
    </w:p>
    <w:p>
      <w:pPr>
        <w:pStyle w:val="ListBullet"/>
      </w:pPr>
      <w:r>
        <w:t>Controller power supplies.</w:t>
      </w:r>
    </w:p>
    <w:p>
      <w:pPr>
        <w:pStyle w:val="ListBullet"/>
      </w:pPr>
      <w:r>
        <w:t>Communication modules.</w:t>
      </w:r>
    </w:p>
    <w:p>
      <w:pPr>
        <w:pStyle w:val="ListBullet"/>
      </w:pPr>
      <w:r>
        <w:t>Dress-pack components.</w:t>
      </w:r>
    </w:p>
    <w:p>
      <w:pPr>
        <w:pStyle w:val="ListBullet"/>
      </w:pPr>
      <w:r>
        <w:t>Application-specific tooling.</w:t>
      </w:r>
    </w:p>
    <w:p>
      <w:r>
        <w:t>A controller spare may require compatible system software, configuration restoration, and validation before the robot can return to production.</w:t>
      </w:r>
    </w:p>
    <w:p>
      <w:pPr>
        <w:pStyle w:val="Heading2"/>
      </w:pPr>
      <w:r>
        <w:t>13. Building the Spare-to-Machine Matrix</w:t>
      </w:r>
    </w:p>
    <w:p>
      <w:r>
        <w:t>A matrix gives maintenance and stores personnel a quick view of which spares support which machines.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Spare Material</w:t>
            </w:r>
          </w:p>
        </w:tc>
        <w:tc>
          <w:tcPr>
            <w:tcW w:type="dxa" w:w="2160"/>
            <w:shd w:val="clear" w:color="auto" w:fill="EEF2F7"/>
          </w:tcPr>
          <w:p>
            <w:pPr>
              <w:spacing w:after="0" w:before="0" w:line="240" w:lineRule="auto"/>
              <w:jc w:val="left"/>
            </w:pPr>
            <w:r>
              <w:rPr>
                <w:b/>
                <w:color w:val="1A2E4A"/>
              </w:rPr>
              <w:t>CH-101</w:t>
            </w:r>
          </w:p>
        </w:tc>
        <w:tc>
          <w:tcPr>
            <w:tcW w:type="dxa" w:w="2160"/>
            <w:shd w:val="clear" w:color="auto" w:fill="EEF2F7"/>
          </w:tcPr>
          <w:p>
            <w:pPr>
              <w:spacing w:after="0" w:before="0" w:line="240" w:lineRule="auto"/>
              <w:jc w:val="left"/>
            </w:pPr>
            <w:r>
              <w:rPr>
                <w:b/>
                <w:color w:val="1A2E4A"/>
              </w:rPr>
              <w:t>CH-102</w:t>
            </w:r>
          </w:p>
        </w:tc>
        <w:tc>
          <w:tcPr>
            <w:tcW w:type="dxa" w:w="2160"/>
            <w:shd w:val="clear" w:color="auto" w:fill="EEF2F7"/>
          </w:tcPr>
          <w:p>
            <w:pPr>
              <w:spacing w:after="0" w:before="0" w:line="240" w:lineRule="auto"/>
              <w:jc w:val="left"/>
            </w:pPr>
            <w:r>
              <w:rPr>
                <w:b/>
                <w:color w:val="1A2E4A"/>
              </w:rPr>
              <w:t>CH-103</w:t>
            </w:r>
          </w:p>
        </w:tc>
        <w:tc>
          <w:tcPr>
            <w:tcW w:type="dxa" w:w="2160"/>
            <w:shd w:val="clear" w:color="auto" w:fill="EEF2F7"/>
          </w:tcPr>
          <w:p>
            <w:pPr>
              <w:spacing w:after="0" w:before="0" w:line="240" w:lineRule="auto"/>
              <w:jc w:val="left"/>
            </w:pPr>
            <w:r>
              <w:rPr>
                <w:b/>
                <w:color w:val="1A2E4A"/>
              </w:rPr>
              <w:t>CH-104</w:t>
            </w:r>
          </w:p>
        </w:tc>
      </w:tr>
      <w:tr>
        <w:tc>
          <w:tcPr>
            <w:tcW w:type="dxa" w:w="2160"/>
          </w:tcPr>
          <w:p>
            <w:pPr>
              <w:spacing w:after="0" w:before="0" w:line="240" w:lineRule="auto"/>
              <w:jc w:val="left"/>
            </w:pPr>
            <w:r>
              <w:t>MAT-PLC-001</w:t>
            </w:r>
          </w:p>
        </w:tc>
        <w:tc>
          <w:tcPr>
            <w:tcW w:type="dxa" w:w="2160"/>
          </w:tcPr>
          <w:p>
            <w:pPr>
              <w:spacing w:after="0" w:before="0" w:line="240" w:lineRule="auto"/>
              <w:jc w:val="left"/>
            </w:pPr>
            <w:r>
              <w:t>Approved</w:t>
            </w:r>
          </w:p>
        </w:tc>
        <w:tc>
          <w:tcPr>
            <w:tcW w:type="dxa" w:w="2160"/>
          </w:tcPr>
          <w:p>
            <w:pPr>
              <w:spacing w:after="0" w:before="0" w:line="240" w:lineRule="auto"/>
              <w:jc w:val="left"/>
            </w:pPr>
            <w:r>
              <w:t>Approved</w:t>
            </w:r>
          </w:p>
        </w:tc>
        <w:tc>
          <w:tcPr>
            <w:tcW w:type="dxa" w:w="2160"/>
          </w:tcPr>
          <w:p>
            <w:pPr>
              <w:spacing w:after="0" w:before="0" w:line="240" w:lineRule="auto"/>
              <w:jc w:val="left"/>
            </w:pPr>
            <w:r>
              <w:t>Not applicable</w:t>
            </w:r>
          </w:p>
        </w:tc>
        <w:tc>
          <w:tcPr>
            <w:tcW w:type="dxa" w:w="2160"/>
          </w:tcPr>
          <w:p>
            <w:pPr>
              <w:spacing w:after="0" w:before="0" w:line="240" w:lineRule="auto"/>
              <w:jc w:val="left"/>
            </w:pPr>
            <w:r>
              <w:t>Approved</w:t>
            </w:r>
          </w:p>
        </w:tc>
      </w:tr>
      <w:tr>
        <w:tc>
          <w:tcPr>
            <w:tcW w:type="dxa" w:w="2160"/>
          </w:tcPr>
          <w:p>
            <w:pPr>
              <w:spacing w:after="0" w:before="0" w:line="240" w:lineRule="auto"/>
              <w:jc w:val="left"/>
            </w:pPr>
            <w:r>
              <w:t>MAT-SEN-014</w:t>
            </w:r>
          </w:p>
        </w:tc>
        <w:tc>
          <w:tcPr>
            <w:tcW w:type="dxa" w:w="2160"/>
          </w:tcPr>
          <w:p>
            <w:pPr>
              <w:spacing w:after="0" w:before="0" w:line="240" w:lineRule="auto"/>
              <w:jc w:val="left"/>
            </w:pPr>
            <w:r>
              <w:t>Approved</w:t>
            </w:r>
          </w:p>
        </w:tc>
        <w:tc>
          <w:tcPr>
            <w:tcW w:type="dxa" w:w="2160"/>
          </w:tcPr>
          <w:p>
            <w:pPr>
              <w:spacing w:after="0" w:before="0" w:line="240" w:lineRule="auto"/>
              <w:jc w:val="left"/>
            </w:pPr>
            <w:r>
              <w:t>Conditional</w:t>
            </w:r>
          </w:p>
        </w:tc>
        <w:tc>
          <w:tcPr>
            <w:tcW w:type="dxa" w:w="2160"/>
          </w:tcPr>
          <w:p>
            <w:pPr>
              <w:spacing w:after="0" w:before="0" w:line="240" w:lineRule="auto"/>
              <w:jc w:val="left"/>
            </w:pPr>
            <w:r>
              <w:t>Approved</w:t>
            </w:r>
          </w:p>
        </w:tc>
        <w:tc>
          <w:tcPr>
            <w:tcW w:type="dxa" w:w="2160"/>
          </w:tcPr>
          <w:p>
            <w:pPr>
              <w:spacing w:after="0" w:before="0" w:line="240" w:lineRule="auto"/>
              <w:jc w:val="left"/>
            </w:pPr>
            <w:r>
              <w:t>Not applicable</w:t>
            </w:r>
          </w:p>
        </w:tc>
      </w:tr>
      <w:tr>
        <w:tc>
          <w:tcPr>
            <w:tcW w:type="dxa" w:w="2160"/>
          </w:tcPr>
          <w:p>
            <w:pPr>
              <w:spacing w:after="0" w:before="0" w:line="240" w:lineRule="auto"/>
              <w:jc w:val="left"/>
            </w:pPr>
            <w:r>
              <w:t>MAT-DRV-008</w:t>
            </w:r>
          </w:p>
        </w:tc>
        <w:tc>
          <w:tcPr>
            <w:tcW w:type="dxa" w:w="2160"/>
          </w:tcPr>
          <w:p>
            <w:pPr>
              <w:spacing w:after="0" w:before="0" w:line="240" w:lineRule="auto"/>
              <w:jc w:val="left"/>
            </w:pPr>
            <w:r>
              <w:t>Not applicable</w:t>
            </w:r>
          </w:p>
        </w:tc>
        <w:tc>
          <w:tcPr>
            <w:tcW w:type="dxa" w:w="2160"/>
          </w:tcPr>
          <w:p>
            <w:pPr>
              <w:spacing w:after="0" w:before="0" w:line="240" w:lineRule="auto"/>
              <w:jc w:val="left"/>
            </w:pPr>
            <w:r>
              <w:t>Approved</w:t>
            </w:r>
          </w:p>
        </w:tc>
        <w:tc>
          <w:tcPr>
            <w:tcW w:type="dxa" w:w="2160"/>
          </w:tcPr>
          <w:p>
            <w:pPr>
              <w:spacing w:after="0" w:before="0" w:line="240" w:lineRule="auto"/>
              <w:jc w:val="left"/>
            </w:pPr>
            <w:r>
              <w:t>Approved</w:t>
            </w:r>
          </w:p>
        </w:tc>
        <w:tc>
          <w:tcPr>
            <w:tcW w:type="dxa" w:w="2160"/>
          </w:tcPr>
          <w:p>
            <w:pPr>
              <w:spacing w:after="0" w:before="0" w:line="240" w:lineRule="auto"/>
              <w:jc w:val="left"/>
            </w:pPr>
            <w:r>
              <w:t>Unverified</w:t>
            </w:r>
          </w:p>
        </w:tc>
      </w:tr>
      <w:tr>
        <w:tc>
          <w:tcPr>
            <w:tcW w:type="dxa" w:w="2160"/>
          </w:tcPr>
          <w:p>
            <w:pPr>
              <w:spacing w:after="0" w:before="0" w:line="240" w:lineRule="auto"/>
              <w:jc w:val="left"/>
            </w:pPr>
            <w:r>
              <w:t>MAT-HMI-003</w:t>
            </w:r>
          </w:p>
        </w:tc>
        <w:tc>
          <w:tcPr>
            <w:tcW w:type="dxa" w:w="2160"/>
          </w:tcPr>
          <w:p>
            <w:pPr>
              <w:spacing w:after="0" w:before="0" w:line="240" w:lineRule="auto"/>
              <w:jc w:val="left"/>
            </w:pPr>
            <w:r>
              <w:t>Approved</w:t>
            </w:r>
          </w:p>
        </w:tc>
        <w:tc>
          <w:tcPr>
            <w:tcW w:type="dxa" w:w="2160"/>
          </w:tcPr>
          <w:p>
            <w:pPr>
              <w:spacing w:after="0" w:before="0" w:line="240" w:lineRule="auto"/>
              <w:jc w:val="left"/>
            </w:pPr>
            <w:r>
              <w:t>Not applicable</w:t>
            </w:r>
          </w:p>
        </w:tc>
        <w:tc>
          <w:tcPr>
            <w:tcW w:type="dxa" w:w="2160"/>
          </w:tcPr>
          <w:p>
            <w:pPr>
              <w:spacing w:after="0" w:before="0" w:line="240" w:lineRule="auto"/>
              <w:jc w:val="left"/>
            </w:pPr>
            <w:r>
              <w:t>Approved</w:t>
            </w:r>
          </w:p>
        </w:tc>
        <w:tc>
          <w:tcPr>
            <w:tcW w:type="dxa" w:w="2160"/>
          </w:tcPr>
          <w:p>
            <w:pPr>
              <w:spacing w:after="0" w:before="0" w:line="240" w:lineRule="auto"/>
              <w:jc w:val="left"/>
            </w:pPr>
            <w:r>
              <w:t>Approved</w:t>
            </w:r>
          </w:p>
        </w:tc>
      </w:tr>
    </w:tbl>
    <w:p/>
    <w:p>
      <w:r>
        <w:t>The values must have defined meanings:</w:t>
      </w:r>
    </w:p>
    <w:p>
      <w:pPr>
        <w:pStyle w:val="ListBullet"/>
      </w:pPr>
      <w:r>
        <w:t>Approved: Verified for the specific application.</w:t>
      </w:r>
    </w:p>
    <w:p>
      <w:pPr>
        <w:pStyle w:val="ListBullet"/>
      </w:pPr>
      <w:r>
        <w:t>Conditional: Additional conditions or modifications are required.</w:t>
      </w:r>
    </w:p>
    <w:p>
      <w:pPr>
        <w:pStyle w:val="ListBullet"/>
      </w:pPr>
      <w:r>
        <w:t>Not applicable: The spare is not used on that machine.</w:t>
      </w:r>
    </w:p>
    <w:p>
      <w:pPr>
        <w:pStyle w:val="ListBullet"/>
      </w:pPr>
      <w:r>
        <w:t>Unverified: Compatibility has not been established.</w:t>
      </w:r>
    </w:p>
    <w:p>
      <w:r>
        <w:t xml:space="preserve">Do not treat </w:t>
      </w:r>
      <w:r>
        <w:rPr>
          <w:rFonts w:ascii="Consolas" w:hAnsi="Consolas"/>
          <w:color w:val="333333"/>
          <w:sz w:val="19"/>
          <w:shd w:val="clear" w:color="auto" w:fill="EFEFEF"/>
        </w:rPr>
        <w:t>Unverified</w:t>
      </w:r>
      <w:r>
        <w:t xml:space="preserve"> as </w:t>
      </w:r>
      <w:r>
        <w:rPr>
          <w:rFonts w:ascii="Consolas" w:hAnsi="Consolas"/>
          <w:color w:val="333333"/>
          <w:sz w:val="19"/>
          <w:shd w:val="clear" w:color="auto" w:fill="EFEFEF"/>
        </w:rPr>
        <w:t>Approved</w:t>
      </w:r>
      <w:r>
        <w:t xml:space="preserve">. Do not treat an empty cell as </w:t>
      </w:r>
      <w:r>
        <w:rPr>
          <w:rFonts w:ascii="Consolas" w:hAnsi="Consolas"/>
          <w:color w:val="333333"/>
          <w:sz w:val="19"/>
          <w:shd w:val="clear" w:color="auto" w:fill="EFEFEF"/>
        </w:rPr>
        <w:t>Not applicable</w:t>
      </w:r>
      <w:r>
        <w:t xml:space="preserve"> unless the register explicitly defines that convention. Missing information and confirmed non-applicability are different facts.</w:t>
      </w:r>
    </w:p>
    <w:p>
      <w:r>
        <w:t>For larger plants, store the relationships in a normalized table instead of maintaining a huge manually updated matrix.</w:t>
      </w:r>
    </w:p>
    <w:p>
      <w:pPr>
        <w:pStyle w:val="Heading2"/>
      </w:pPr>
      <w:r>
        <w:t>14. Recommended Database Structure</w:t>
      </w:r>
    </w:p>
    <w:p>
      <w:r>
        <w:t>A scalable mapping system separates equipment, spare materials, and their relationships.</w:t>
      </w:r>
    </w:p>
    <w:p>
      <w:pPr>
        <w:shd w:val="clear" w:color="auto" w:fill="F4F4F4"/>
        <w:spacing w:before="0" w:after="0" w:line="240" w:lineRule="auto"/>
        <w:ind w:left="216" w:right="216"/>
        <w:jc w:val="left"/>
      </w:pPr>
      <w:r>
        <w:rPr>
          <w:rFonts w:ascii="Consolas" w:hAnsi="Consolas"/>
          <w:color w:val="202020"/>
          <w:sz w:val="18"/>
        </w:rPr>
        <w:t>Equipment Master</w:t>
      </w:r>
    </w:p>
    <w:p>
      <w:pPr>
        <w:shd w:val="clear" w:color="auto" w:fill="F4F4F4"/>
        <w:spacing w:before="0" w:after="0" w:line="240" w:lineRule="auto"/>
        <w:ind w:left="216" w:right="216"/>
        <w:jc w:val="left"/>
      </w:pPr>
      <w:r>
        <w:rPr>
          <w:rFonts w:ascii="Consolas" w:hAnsi="Consolas"/>
          <w:color w:val="202020"/>
          <w:sz w:val="18"/>
        </w:rPr>
        <w:t xml:space="preserve">  Equipment ID</w:t>
      </w:r>
    </w:p>
    <w:p>
      <w:pPr>
        <w:shd w:val="clear" w:color="auto" w:fill="F4F4F4"/>
        <w:spacing w:before="0" w:after="0" w:line="240" w:lineRule="auto"/>
        <w:ind w:left="216" w:right="216"/>
        <w:jc w:val="left"/>
      </w:pPr>
      <w:r>
        <w:rPr>
          <w:rFonts w:ascii="Consolas" w:hAnsi="Consolas"/>
          <w:color w:val="202020"/>
          <w:sz w:val="18"/>
        </w:rPr>
        <w:t xml:space="preserve">  Equipment Description</w:t>
      </w:r>
    </w:p>
    <w:p>
      <w:pPr>
        <w:shd w:val="clear" w:color="auto" w:fill="F4F4F4"/>
        <w:spacing w:before="0" w:after="0" w:line="240" w:lineRule="auto"/>
        <w:ind w:left="216" w:right="216"/>
        <w:jc w:val="left"/>
      </w:pPr>
      <w:r>
        <w:rPr>
          <w:rFonts w:ascii="Consolas" w:hAnsi="Consolas"/>
          <w:color w:val="202020"/>
          <w:sz w:val="18"/>
        </w:rPr>
        <w:t xml:space="preserve">  Functional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Installed Component Register</w:t>
      </w:r>
    </w:p>
    <w:p>
      <w:pPr>
        <w:shd w:val="clear" w:color="auto" w:fill="F4F4F4"/>
        <w:spacing w:before="0" w:after="0" w:line="240" w:lineRule="auto"/>
        <w:ind w:left="216" w:right="216"/>
        <w:jc w:val="left"/>
      </w:pPr>
      <w:r>
        <w:rPr>
          <w:rFonts w:ascii="Consolas" w:hAnsi="Consolas"/>
          <w:color w:val="202020"/>
          <w:sz w:val="18"/>
        </w:rPr>
        <w:t xml:space="preserve">  Component ID</w:t>
      </w:r>
    </w:p>
    <w:p>
      <w:pPr>
        <w:shd w:val="clear" w:color="auto" w:fill="F4F4F4"/>
        <w:spacing w:before="0" w:after="0" w:line="240" w:lineRule="auto"/>
        <w:ind w:left="216" w:right="216"/>
        <w:jc w:val="left"/>
      </w:pPr>
      <w:r>
        <w:rPr>
          <w:rFonts w:ascii="Consolas" w:hAnsi="Consolas"/>
          <w:color w:val="202020"/>
          <w:sz w:val="18"/>
        </w:rPr>
        <w:t xml:space="preserve">  Equipment ID</w:t>
      </w:r>
    </w:p>
    <w:p>
      <w:pPr>
        <w:shd w:val="clear" w:color="auto" w:fill="F4F4F4"/>
        <w:spacing w:before="0" w:after="0" w:line="240" w:lineRule="auto"/>
        <w:ind w:left="216" w:right="216"/>
        <w:jc w:val="left"/>
      </w:pPr>
      <w:r>
        <w:rPr>
          <w:rFonts w:ascii="Consolas" w:hAnsi="Consolas"/>
          <w:color w:val="202020"/>
          <w:sz w:val="18"/>
        </w:rPr>
        <w:t xml:space="preserve">  Installed Part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Spare Compatibility Register</w:t>
      </w:r>
    </w:p>
    <w:p>
      <w:pPr>
        <w:shd w:val="clear" w:color="auto" w:fill="F4F4F4"/>
        <w:spacing w:before="0" w:after="0" w:line="240" w:lineRule="auto"/>
        <w:ind w:left="216" w:right="216"/>
        <w:jc w:val="left"/>
      </w:pPr>
      <w:r>
        <w:rPr>
          <w:rFonts w:ascii="Consolas" w:hAnsi="Consolas"/>
          <w:color w:val="202020"/>
          <w:sz w:val="18"/>
        </w:rPr>
        <w:t xml:space="preserve">  Component ID</w:t>
      </w:r>
    </w:p>
    <w:p>
      <w:pPr>
        <w:shd w:val="clear" w:color="auto" w:fill="F4F4F4"/>
        <w:spacing w:before="0" w:after="0" w:line="240" w:lineRule="auto"/>
        <w:ind w:left="216" w:right="216"/>
        <w:jc w:val="left"/>
      </w:pPr>
      <w:r>
        <w:rPr>
          <w:rFonts w:ascii="Consolas" w:hAnsi="Consolas"/>
          <w:color w:val="202020"/>
          <w:sz w:val="18"/>
        </w:rPr>
        <w:t xml:space="preserve">  Spare Material Number</w:t>
      </w:r>
    </w:p>
    <w:p>
      <w:pPr>
        <w:shd w:val="clear" w:color="auto" w:fill="F4F4F4"/>
        <w:spacing w:before="0" w:after="0" w:line="240" w:lineRule="auto"/>
        <w:ind w:left="216" w:right="216"/>
        <w:jc w:val="left"/>
      </w:pPr>
      <w:r>
        <w:rPr>
          <w:rFonts w:ascii="Consolas" w:hAnsi="Consolas"/>
          <w:color w:val="202020"/>
          <w:sz w:val="18"/>
        </w:rPr>
        <w:t xml:space="preserve">  Compatibility Status</w:t>
      </w:r>
    </w:p>
    <w:p>
      <w:pPr>
        <w:shd w:val="clear" w:color="auto" w:fill="F4F4F4"/>
        <w:spacing w:before="0" w:after="0" w:line="240" w:lineRule="auto"/>
        <w:ind w:left="216" w:right="216"/>
        <w:jc w:val="left"/>
      </w:pPr>
      <w:r>
        <w:rPr>
          <w:rFonts w:ascii="Consolas" w:hAnsi="Consolas"/>
          <w:color w:val="202020"/>
          <w:sz w:val="18"/>
        </w:rPr>
        <w:t xml:space="preserve">  Approval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Material Master</w:t>
      </w:r>
    </w:p>
    <w:p>
      <w:pPr>
        <w:shd w:val="clear" w:color="auto" w:fill="F4F4F4"/>
        <w:spacing w:before="0" w:after="0" w:line="240" w:lineRule="auto"/>
        <w:ind w:left="216" w:right="216"/>
        <w:jc w:val="left"/>
      </w:pPr>
      <w:r>
        <w:rPr>
          <w:rFonts w:ascii="Consolas" w:hAnsi="Consolas"/>
          <w:color w:val="202020"/>
          <w:sz w:val="18"/>
        </w:rPr>
        <w:t xml:space="preserve">  Material Number</w:t>
      </w:r>
    </w:p>
    <w:p>
      <w:pPr>
        <w:shd w:val="clear" w:color="auto" w:fill="F4F4F4"/>
        <w:spacing w:before="0" w:after="0" w:line="240" w:lineRule="auto"/>
        <w:ind w:left="216" w:right="216"/>
        <w:jc w:val="left"/>
      </w:pPr>
      <w:r>
        <w:rPr>
          <w:rFonts w:ascii="Consolas" w:hAnsi="Consolas"/>
          <w:color w:val="202020"/>
          <w:sz w:val="18"/>
        </w:rPr>
        <w:t xml:space="preserve">  Description</w:t>
      </w:r>
    </w:p>
    <w:p>
      <w:pPr>
        <w:shd w:val="clear" w:color="auto" w:fill="F4F4F4"/>
        <w:spacing w:before="0" w:after="0" w:line="240" w:lineRule="auto"/>
        <w:ind w:left="216" w:right="216"/>
        <w:jc w:val="left"/>
      </w:pPr>
      <w:r>
        <w:rPr>
          <w:rFonts w:ascii="Consolas" w:hAnsi="Consolas"/>
          <w:color w:val="202020"/>
          <w:sz w:val="18"/>
        </w:rPr>
        <w:t xml:space="preserve">  Manufacturer</w:t>
      </w:r>
    </w:p>
    <w:p>
      <w:pPr>
        <w:shd w:val="clear" w:color="auto" w:fill="F4F4F4"/>
        <w:spacing w:before="0" w:after="0" w:line="240" w:lineRule="auto"/>
        <w:ind w:left="216" w:right="216"/>
        <w:jc w:val="left"/>
      </w:pPr>
      <w:r>
        <w:rPr>
          <w:rFonts w:ascii="Consolas" w:hAnsi="Consolas"/>
          <w:color w:val="202020"/>
          <w:sz w:val="18"/>
        </w:rPr>
        <w:t xml:space="preserve">  Part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Inventory and Procurement Data</w:t>
      </w:r>
    </w:p>
    <w:p>
      <w:pPr>
        <w:shd w:val="clear" w:color="auto" w:fill="F4F4F4"/>
        <w:spacing w:before="0" w:after="0" w:line="240" w:lineRule="auto"/>
        <w:ind w:left="216" w:right="216"/>
        <w:jc w:val="left"/>
      </w:pPr>
      <w:r>
        <w:rPr>
          <w:rFonts w:ascii="Consolas" w:hAnsi="Consolas"/>
          <w:color w:val="202020"/>
          <w:sz w:val="18"/>
        </w:rPr>
        <w:t xml:space="preserve">  Storage Location</w:t>
      </w:r>
    </w:p>
    <w:p>
      <w:pPr>
        <w:shd w:val="clear" w:color="auto" w:fill="F4F4F4"/>
        <w:spacing w:before="0" w:after="0" w:line="240" w:lineRule="auto"/>
        <w:ind w:left="216" w:right="216"/>
        <w:jc w:val="left"/>
      </w:pPr>
      <w:r>
        <w:rPr>
          <w:rFonts w:ascii="Consolas" w:hAnsi="Consolas"/>
          <w:color w:val="202020"/>
          <w:sz w:val="18"/>
        </w:rPr>
        <w:t xml:space="preserve">  Available Stock</w:t>
      </w:r>
    </w:p>
    <w:p>
      <w:pPr>
        <w:shd w:val="clear" w:color="auto" w:fill="F4F4F4"/>
        <w:spacing w:before="0" w:after="0" w:line="240" w:lineRule="auto"/>
        <w:ind w:left="216" w:right="216"/>
        <w:jc w:val="left"/>
      </w:pPr>
      <w:r>
        <w:rPr>
          <w:rFonts w:ascii="Consolas" w:hAnsi="Consolas"/>
          <w:color w:val="202020"/>
          <w:sz w:val="18"/>
        </w:rPr>
        <w:t xml:space="preserve">  Lead Time</w:t>
      </w:r>
    </w:p>
    <w:p>
      <w:pPr>
        <w:shd w:val="clear" w:color="auto" w:fill="F4F4F4"/>
        <w:spacing w:before="0" w:after="0" w:line="240" w:lineRule="auto"/>
        <w:ind w:left="216" w:right="216"/>
        <w:jc w:val="left"/>
      </w:pPr>
      <w:r>
        <w:rPr>
          <w:rFonts w:ascii="Consolas" w:hAnsi="Consolas"/>
          <w:color w:val="202020"/>
          <w:sz w:val="18"/>
        </w:rPr>
        <w:t xml:space="preserve">  Supplier</w:t>
      </w:r>
    </w:p>
    <w:p/>
    <w:p>
      <w:r>
        <w:t>A single spare can have many equipment relationships, and a single machine can have many spare relationships. This is a many-to-many relationship.</w:t>
      </w:r>
    </w:p>
    <w:p>
      <w:r>
        <w:t>The compatibility register should use a unique record identifier and, where necessary, include an applicability scope such as equipment ID, installed component revision, firmware range, or approved modification level.</w:t>
      </w:r>
    </w:p>
    <w:p>
      <w:pPr>
        <w:pStyle w:val="Heading2"/>
      </w:pPr>
      <w:r>
        <w:t>15. Spare-to-Machine Mapping in SAP</w:t>
      </w:r>
    </w:p>
    <w:p>
      <w:r>
        <w:t>Depending on the SAP configuration, mapping may use:</w:t>
      </w:r>
    </w:p>
    <w:p>
      <w:pPr>
        <w:pStyle w:val="ListBullet"/>
      </w:pPr>
      <w:r>
        <w:t>Equipment master records.</w:t>
      </w:r>
    </w:p>
    <w:p>
      <w:pPr>
        <w:pStyle w:val="ListBullet"/>
      </w:pPr>
      <w:r>
        <w:t>Functional locations.</w:t>
      </w:r>
    </w:p>
    <w:p>
      <w:pPr>
        <w:pStyle w:val="ListBullet"/>
      </w:pPr>
      <w:r>
        <w:t>Equipment or functional-location BOMs.</w:t>
      </w:r>
    </w:p>
    <w:p>
      <w:pPr>
        <w:pStyle w:val="ListBullet"/>
      </w:pPr>
      <w:r>
        <w:t>Material master records.</w:t>
      </w:r>
    </w:p>
    <w:p>
      <w:pPr>
        <w:pStyle w:val="ListBullet"/>
      </w:pPr>
      <w:r>
        <w:t>Serial-number management.</w:t>
      </w:r>
    </w:p>
    <w:p>
      <w:pPr>
        <w:pStyle w:val="ListBullet"/>
      </w:pPr>
      <w:r>
        <w:t>Maintenance task lists.</w:t>
      </w:r>
    </w:p>
    <w:p>
      <w:pPr>
        <w:pStyle w:val="ListBullet"/>
      </w:pPr>
      <w:r>
        <w:t>Maintenance orders and component consumption.</w:t>
      </w:r>
    </w:p>
    <w:p>
      <w:pPr>
        <w:pStyle w:val="ListBullet"/>
      </w:pPr>
      <w:r>
        <w:t>Material stock and storage-location records.</w:t>
      </w:r>
    </w:p>
    <w:p>
      <w:pPr>
        <w:pStyle w:val="ListBullet"/>
      </w:pPr>
      <w:r>
        <w:t>Purchasing information.</w:t>
      </w:r>
    </w:p>
    <w:p>
      <w:pPr>
        <w:pStyle w:val="ListBullet"/>
      </w:pPr>
      <w:r>
        <w:t>Engineering change records.</w:t>
      </w:r>
    </w:p>
    <w:p>
      <w:pPr>
        <w:pStyle w:val="ListBullet"/>
      </w:pPr>
      <w:r>
        <w:t>Linked technical documents.</w:t>
      </w:r>
    </w:p>
    <w:p>
      <w:r>
        <w:t>A BOM can help identify expected components, but it does not automatically prove that a particular spare is compatible with every machine listed in the BOM.</w:t>
      </w:r>
    </w:p>
    <w:p>
      <w:r>
        <w:t>For critical automation spares, maintain an approved compatibility record or controlled technical document that links the material to the specific application.</w:t>
      </w:r>
    </w:p>
    <w:p>
      <w:pPr>
        <w:pStyle w:val="Heading2"/>
      </w:pPr>
      <w:r>
        <w:t>16. Spare Availability and Breakdown Response</w:t>
      </w:r>
    </w:p>
    <w:p>
      <w:r>
        <w:t>Spare-to-machine mapping becomes particularly useful during breakdowns.</w:t>
      </w:r>
    </w:p>
    <w:p>
      <w:r>
        <w:t>A disciplined workflow is:</w:t>
      </w:r>
    </w:p>
    <w:p>
      <w:pPr>
        <w:shd w:val="clear" w:color="auto" w:fill="F4F4F4"/>
        <w:spacing w:before="0" w:after="0" w:line="240" w:lineRule="auto"/>
        <w:ind w:left="216" w:right="216"/>
        <w:jc w:val="left"/>
      </w:pPr>
      <w:r>
        <w:rPr>
          <w:rFonts w:ascii="Consolas" w:hAnsi="Consolas"/>
          <w:color w:val="202020"/>
          <w:sz w:val="18"/>
        </w:rPr>
        <w:t>Machine Breakdown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Failed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Installed Part Number and 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Search Approved Spare-to-Machine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Stock and Storage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Compatibility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Issue the Correct Spare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 and Perform Required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Maintenance and Material Records</w:t>
      </w:r>
    </w:p>
    <w:p/>
    <w:p>
      <w:r>
        <w:t>The mapping should reduce the time spent searching for a part, but it does not replace troubleshooting, isolation, or technical verification.</w:t>
      </w:r>
    </w:p>
    <w:p>
      <w:r>
        <w:t>After replacement, update the equipment configuration if the new component changes the installed model, revision, firmware, or approved configuration.</w:t>
      </w:r>
    </w:p>
    <w:p>
      <w:pPr>
        <w:pStyle w:val="Heading2"/>
      </w:pPr>
      <w:r>
        <w:t>17. Inventory Optimization Using Mapping</w:t>
      </w:r>
    </w:p>
    <w:p>
      <w:r>
        <w:t>Mapping helps identify whether multiple spare materials serve the same application or whether one approved material supports several machines.</w:t>
      </w:r>
    </w:p>
    <w:p>
      <w:r>
        <w:t>Potential benefits include:</w:t>
      </w:r>
    </w:p>
    <w:p>
      <w:pPr>
        <w:pStyle w:val="ListBullet"/>
      </w:pPr>
      <w:r>
        <w:t>Identifying duplicate materials.</w:t>
      </w:r>
    </w:p>
    <w:p>
      <w:pPr>
        <w:pStyle w:val="ListBullet"/>
      </w:pPr>
      <w:r>
        <w:t>Reducing unnecessary stock variants.</w:t>
      </w:r>
    </w:p>
    <w:p>
      <w:pPr>
        <w:pStyle w:val="ListBullet"/>
      </w:pPr>
      <w:r>
        <w:t>Identifying shared critical spares.</w:t>
      </w:r>
    </w:p>
    <w:p>
      <w:pPr>
        <w:pStyle w:val="ListBullet"/>
      </w:pPr>
      <w:r>
        <w:t>Improving purchasing quantities.</w:t>
      </w:r>
    </w:p>
    <w:p>
      <w:pPr>
        <w:pStyle w:val="ListBullet"/>
      </w:pPr>
      <w:r>
        <w:t>Reducing emergency procurement.</w:t>
      </w:r>
    </w:p>
    <w:p>
      <w:pPr>
        <w:pStyle w:val="ListBullet"/>
      </w:pPr>
      <w:r>
        <w:t>Identifying components with no backup.</w:t>
      </w:r>
    </w:p>
    <w:p>
      <w:pPr>
        <w:pStyle w:val="ListBullet"/>
      </w:pPr>
      <w:r>
        <w:t>Supporting vendor consolidation.</w:t>
      </w:r>
    </w:p>
    <w:p>
      <w:pPr>
        <w:pStyle w:val="ListBullet"/>
      </w:pPr>
      <w:r>
        <w:t>Identifying opportunities for approved standardization.</w:t>
      </w:r>
    </w:p>
    <w:p>
      <w:r>
        <w:t>However, do not merge material records merely because descriptions look similar. Exact technical equivalence and approval are prerequisites.</w:t>
      </w:r>
    </w:p>
    <w:p>
      <w:pPr>
        <w:pStyle w:val="Heading3"/>
      </w:pPr>
      <w:r>
        <w:t>17.1 Example of shared-spare coverage</w:t>
      </w:r>
    </w:p>
    <w:p>
      <w:r>
        <w:t>Suppose one approved spare supports 8 machines, and a second spare supports only 1 machine.</w:t>
      </w:r>
    </w:p>
    <w:p>
      <w:r>
        <w:t>The first spare has broader application coverage, but that alone does not mean it deserves a larger stock quantity. Stock policy should also consider failure demand, criticality, lead time, repair turnaround, and the consequences of simultaneous failures.</w:t>
      </w:r>
    </w:p>
    <w:p>
      <w:r>
        <w:t>A useful descriptive measure is:</w:t>
      </w:r>
    </w:p>
    <w:p>
      <w:pPr>
        <w:spacing w:before="120" w:after="160"/>
        <w:jc w:val="center"/>
      </w:pPr>
      <m:oMathPara>
        <m:oMath>
          <m:r>
            <m:rPr>
              <m:nor/>
            </m:rPr>
            <m:t>Spare coverage</m:t>
          </m:r>
          <m:r>
            <m:t>=</m:t>
          </m:r>
          <m:f>
            <m:fPr>
              <m:type m:val="bar"/>
            </m:fPr>
            <m:num>
              <m:r>
                <m:rPr>
                  <m:nor/>
                </m:rPr>
                <m:t>Number of verified compatible machines</m:t>
              </m:r>
            </m:num>
            <m:den>
              <m:r>
                <m:rPr>
                  <m:nor/>
                </m:rPr>
                <m:t>Total machines in the defined scope</m:t>
              </m:r>
            </m:den>
          </m:f>
          <m:r>
            <m:t>×100</m:t>
          </m:r>
        </m:oMath>
      </m:oMathPara>
    </w:p>
    <w:p>
      <w:r>
        <w:t>This measures mapping coverage across the chosen machine population. It does not measure the probability that stock will be available when needed.</w:t>
      </w:r>
    </w:p>
    <w:p>
      <w:pPr>
        <w:pStyle w:val="Heading2"/>
      </w:pPr>
      <w:r>
        <w:t>18. Spare-to-Machine Mapping and Obsolescence</w:t>
      </w:r>
    </w:p>
    <w:p>
      <w:r>
        <w:t>When a component becomes obsolete, mapping identifies all affected machines and helps define the replacement strategy.</w:t>
      </w:r>
    </w:p>
    <w:p>
      <w:r>
        <w:t>The process should include:</w:t>
      </w:r>
    </w:p>
    <w:p>
      <w:pPr>
        <w:tabs>
          <w:tab w:pos="403" w:val="left"/>
        </w:tabs>
        <w:spacing w:after="40" w:line="276" w:lineRule="auto"/>
        <w:ind w:left="403" w:hanging="403"/>
        <w:jc w:val="left"/>
      </w:pPr>
      <w:r>
        <w:rPr>
          <w:color w:val="1A2E4A"/>
        </w:rPr>
        <w:t>1.</w:t>
        <w:tab/>
      </w:r>
      <w:r>
        <w:t>Identify the obsolete material or component.</w:t>
      </w:r>
    </w:p>
    <w:p>
      <w:pPr>
        <w:tabs>
          <w:tab w:pos="403" w:val="left"/>
        </w:tabs>
        <w:spacing w:after="40" w:line="276" w:lineRule="auto"/>
        <w:ind w:left="403" w:hanging="403"/>
        <w:jc w:val="left"/>
      </w:pPr>
      <w:r>
        <w:rPr>
          <w:color w:val="1A2E4A"/>
        </w:rPr>
        <w:t>2.</w:t>
        <w:tab/>
      </w:r>
      <w:r>
        <w:t>Find all machines linked to it.</w:t>
      </w:r>
    </w:p>
    <w:p>
      <w:pPr>
        <w:tabs>
          <w:tab w:pos="403" w:val="left"/>
        </w:tabs>
        <w:spacing w:after="40" w:line="276" w:lineRule="auto"/>
        <w:ind w:left="403" w:hanging="403"/>
        <w:jc w:val="left"/>
      </w:pPr>
      <w:r>
        <w:rPr>
          <w:color w:val="1A2E4A"/>
        </w:rPr>
        <w:t>3.</w:t>
        <w:tab/>
      </w:r>
      <w:r>
        <w:t>Confirm installed models, revisions, and application differences.</w:t>
      </w:r>
    </w:p>
    <w:p>
      <w:pPr>
        <w:tabs>
          <w:tab w:pos="403" w:val="left"/>
        </w:tabs>
        <w:spacing w:after="40" w:line="276" w:lineRule="auto"/>
        <w:ind w:left="403" w:hanging="403"/>
        <w:jc w:val="left"/>
      </w:pPr>
      <w:r>
        <w:rPr>
          <w:color w:val="1A2E4A"/>
        </w:rPr>
        <w:t>4.</w:t>
        <w:tab/>
      </w:r>
      <w:r>
        <w:t>Check remaining stock and repair options.</w:t>
      </w:r>
    </w:p>
    <w:p>
      <w:pPr>
        <w:tabs>
          <w:tab w:pos="403" w:val="left"/>
        </w:tabs>
        <w:spacing w:after="40" w:line="276" w:lineRule="auto"/>
        <w:ind w:left="403" w:hanging="403"/>
        <w:jc w:val="left"/>
      </w:pPr>
      <w:r>
        <w:rPr>
          <w:color w:val="1A2E4A"/>
        </w:rPr>
        <w:t>5.</w:t>
        <w:tab/>
      </w:r>
      <w:r>
        <w:t>Identify manufacturer-supported successors.</w:t>
      </w:r>
    </w:p>
    <w:p>
      <w:pPr>
        <w:tabs>
          <w:tab w:pos="403" w:val="left"/>
        </w:tabs>
        <w:spacing w:after="40" w:line="276" w:lineRule="auto"/>
        <w:ind w:left="403" w:hanging="403"/>
        <w:jc w:val="left"/>
      </w:pPr>
      <w:r>
        <w:rPr>
          <w:color w:val="1A2E4A"/>
        </w:rPr>
        <w:t>6.</w:t>
        <w:tab/>
      </w:r>
      <w:r>
        <w:t>Validate technical compatibility for each application.</w:t>
      </w:r>
    </w:p>
    <w:p>
      <w:pPr>
        <w:tabs>
          <w:tab w:pos="403" w:val="left"/>
        </w:tabs>
        <w:spacing w:after="40" w:line="276" w:lineRule="auto"/>
        <w:ind w:left="403" w:hanging="403"/>
        <w:jc w:val="left"/>
      </w:pPr>
      <w:r>
        <w:rPr>
          <w:color w:val="1A2E4A"/>
        </w:rPr>
        <w:t>7.</w:t>
        <w:tab/>
      </w:r>
      <w:r>
        <w:t>Identify required engineering changes.</w:t>
      </w:r>
    </w:p>
    <w:p>
      <w:pPr>
        <w:tabs>
          <w:tab w:pos="403" w:val="left"/>
        </w:tabs>
        <w:spacing w:after="40" w:line="276" w:lineRule="auto"/>
        <w:ind w:left="403" w:hanging="403"/>
        <w:jc w:val="left"/>
      </w:pPr>
      <w:r>
        <w:rPr>
          <w:color w:val="1A2E4A"/>
        </w:rPr>
        <w:t>8.</w:t>
        <w:tab/>
      </w:r>
      <w:r>
        <w:t>Estimate migration and validation effort.</w:t>
      </w:r>
    </w:p>
    <w:p>
      <w:pPr>
        <w:tabs>
          <w:tab w:pos="403" w:val="left"/>
        </w:tabs>
        <w:spacing w:after="40" w:line="276" w:lineRule="auto"/>
        <w:ind w:left="403" w:hanging="403"/>
        <w:jc w:val="left"/>
      </w:pPr>
      <w:r>
        <w:rPr>
          <w:color w:val="1A2E4A"/>
        </w:rPr>
        <w:t>9.</w:t>
        <w:tab/>
      </w:r>
      <w:r>
        <w:t>Update the approved compatibility register.</w:t>
      </w:r>
    </w:p>
    <w:p>
      <w:pPr>
        <w:tabs>
          <w:tab w:pos="403" w:val="left"/>
        </w:tabs>
        <w:spacing w:after="40" w:line="276" w:lineRule="auto"/>
        <w:ind w:left="403" w:hanging="403"/>
        <w:jc w:val="left"/>
      </w:pPr>
      <w:r>
        <w:rPr>
          <w:color w:val="1A2E4A"/>
        </w:rPr>
        <w:t>10.</w:t>
        <w:tab/>
      </w:r>
      <w:r>
        <w:t>Plan procurement, installation, testing, and documentation.</w:t>
      </w:r>
    </w:p>
    <w:p>
      <w:r>
        <w:t>A successor model is not automatically a direct replacement. It may require adapters, wiring changes, software updates, parameter conversion, or full system redesign.</w:t>
      </w:r>
    </w:p>
    <w:p>
      <w:pPr>
        <w:pStyle w:val="Heading2"/>
      </w:pPr>
      <w:r>
        <w:t>19. KPIs for Spare-to-Machine Mapping</w:t>
      </w:r>
    </w:p>
    <w:p>
      <w:r>
        <w:t>Useful measures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Definition or purpose</w:t>
            </w:r>
          </w:p>
        </w:tc>
      </w:tr>
      <w:tr>
        <w:tc>
          <w:tcPr>
            <w:tcW w:type="dxa" w:w="5400"/>
          </w:tcPr>
          <w:p>
            <w:pPr>
              <w:spacing w:after="0" w:before="0" w:line="240" w:lineRule="auto"/>
              <w:jc w:val="left"/>
            </w:pPr>
            <w:r>
              <w:t>Mapping coverage</w:t>
            </w:r>
          </w:p>
        </w:tc>
        <w:tc>
          <w:tcPr>
            <w:tcW w:type="dxa" w:w="5400"/>
          </w:tcPr>
          <w:p>
            <w:pPr>
              <w:spacing w:after="0" w:before="0" w:line="240" w:lineRule="auto"/>
              <w:jc w:val="left"/>
            </w:pPr>
            <w:r>
              <w:t>Percentage of required component applications with verified spare relationships</w:t>
            </w:r>
          </w:p>
        </w:tc>
      </w:tr>
      <w:tr>
        <w:tc>
          <w:tcPr>
            <w:tcW w:type="dxa" w:w="5400"/>
          </w:tcPr>
          <w:p>
            <w:pPr>
              <w:spacing w:after="0" w:before="0" w:line="240" w:lineRule="auto"/>
              <w:jc w:val="left"/>
            </w:pPr>
            <w:r>
              <w:t>Verified compatibility rate</w:t>
            </w:r>
          </w:p>
        </w:tc>
        <w:tc>
          <w:tcPr>
            <w:tcW w:type="dxa" w:w="5400"/>
          </w:tcPr>
          <w:p>
            <w:pPr>
              <w:spacing w:after="0" w:before="0" w:line="240" w:lineRule="auto"/>
              <w:jc w:val="left"/>
            </w:pPr>
            <w:r>
              <w:t>Percentage of recorded relationships with current approval evidence</w:t>
            </w:r>
          </w:p>
        </w:tc>
      </w:tr>
      <w:tr>
        <w:tc>
          <w:tcPr>
            <w:tcW w:type="dxa" w:w="5400"/>
          </w:tcPr>
          <w:p>
            <w:pPr>
              <w:spacing w:after="0" w:before="0" w:line="240" w:lineRule="auto"/>
              <w:jc w:val="left"/>
            </w:pPr>
            <w:r>
              <w:t>Unmapped critical components</w:t>
            </w:r>
          </w:p>
        </w:tc>
        <w:tc>
          <w:tcPr>
            <w:tcW w:type="dxa" w:w="5400"/>
          </w:tcPr>
          <w:p>
            <w:pPr>
              <w:spacing w:after="0" w:before="0" w:line="240" w:lineRule="auto"/>
              <w:jc w:val="left"/>
            </w:pPr>
            <w:r>
              <w:t>Critical installed components without a verified spare relationship</w:t>
            </w:r>
          </w:p>
        </w:tc>
      </w:tr>
      <w:tr>
        <w:tc>
          <w:tcPr>
            <w:tcW w:type="dxa" w:w="5400"/>
          </w:tcPr>
          <w:p>
            <w:pPr>
              <w:spacing w:after="0" w:before="0" w:line="240" w:lineRule="auto"/>
              <w:jc w:val="left"/>
            </w:pPr>
            <w:r>
              <w:t>Single-source exposure</w:t>
            </w:r>
          </w:p>
        </w:tc>
        <w:tc>
          <w:tcPr>
            <w:tcW w:type="dxa" w:w="5400"/>
          </w:tcPr>
          <w:p>
            <w:pPr>
              <w:spacing w:after="0" w:before="0" w:line="240" w:lineRule="auto"/>
              <w:jc w:val="left"/>
            </w:pPr>
            <w:r>
              <w:t>Critical applications dependent on one supply source or unique spare</w:t>
            </w:r>
          </w:p>
        </w:tc>
      </w:tr>
      <w:tr>
        <w:tc>
          <w:tcPr>
            <w:tcW w:type="dxa" w:w="5400"/>
          </w:tcPr>
          <w:p>
            <w:pPr>
              <w:spacing w:after="0" w:before="0" w:line="240" w:lineRule="auto"/>
              <w:jc w:val="left"/>
            </w:pPr>
            <w:r>
              <w:t>Shared-spare coverage</w:t>
            </w:r>
          </w:p>
        </w:tc>
        <w:tc>
          <w:tcPr>
            <w:tcW w:type="dxa" w:w="5400"/>
          </w:tcPr>
          <w:p>
            <w:pPr>
              <w:spacing w:after="0" w:before="0" w:line="240" w:lineRule="auto"/>
              <w:jc w:val="left"/>
            </w:pPr>
            <w:r>
              <w:t>Number of verified machine applications supported by a common spare</w:t>
            </w:r>
          </w:p>
        </w:tc>
      </w:tr>
      <w:tr>
        <w:tc>
          <w:tcPr>
            <w:tcW w:type="dxa" w:w="5400"/>
          </w:tcPr>
          <w:p>
            <w:pPr>
              <w:spacing w:after="0" w:before="0" w:line="240" w:lineRule="auto"/>
              <w:jc w:val="left"/>
            </w:pPr>
            <w:r>
              <w:t>Emergency purchase rate</w:t>
            </w:r>
          </w:p>
        </w:tc>
        <w:tc>
          <w:tcPr>
            <w:tcW w:type="dxa" w:w="5400"/>
          </w:tcPr>
          <w:p>
            <w:pPr>
              <w:spacing w:after="0" w:before="0" w:line="240" w:lineRule="auto"/>
              <w:jc w:val="left"/>
            </w:pPr>
            <w:r>
              <w:t>Frequency of unplanned purchases caused by spare unavailability</w:t>
            </w:r>
          </w:p>
        </w:tc>
      </w:tr>
      <w:tr>
        <w:tc>
          <w:tcPr>
            <w:tcW w:type="dxa" w:w="5400"/>
          </w:tcPr>
          <w:p>
            <w:pPr>
              <w:spacing w:after="0" w:before="0" w:line="240" w:lineRule="auto"/>
              <w:jc w:val="left"/>
            </w:pPr>
            <w:r>
              <w:t>Wrong-spare incidents</w:t>
            </w:r>
          </w:p>
        </w:tc>
        <w:tc>
          <w:tcPr>
            <w:tcW w:type="dxa" w:w="5400"/>
          </w:tcPr>
          <w:p>
            <w:pPr>
              <w:spacing w:after="0" w:before="0" w:line="240" w:lineRule="auto"/>
              <w:jc w:val="left"/>
            </w:pPr>
            <w:r>
              <w:t>Instances of incorrect or incompatible spare selection</w:t>
            </w:r>
          </w:p>
        </w:tc>
      </w:tr>
      <w:tr>
        <w:tc>
          <w:tcPr>
            <w:tcW w:type="dxa" w:w="5400"/>
          </w:tcPr>
          <w:p>
            <w:pPr>
              <w:spacing w:after="0" w:before="0" w:line="240" w:lineRule="auto"/>
              <w:jc w:val="left"/>
            </w:pPr>
            <w:r>
              <w:t>Stockout-related downtime</w:t>
            </w:r>
          </w:p>
        </w:tc>
        <w:tc>
          <w:tcPr>
            <w:tcW w:type="dxa" w:w="5400"/>
          </w:tcPr>
          <w:p>
            <w:pPr>
              <w:spacing w:after="0" w:before="0" w:line="240" w:lineRule="auto"/>
              <w:jc w:val="left"/>
            </w:pPr>
            <w:r>
              <w:t>Production downtime attributable to unavailable required spares</w:t>
            </w:r>
          </w:p>
        </w:tc>
      </w:tr>
      <w:tr>
        <w:tc>
          <w:tcPr>
            <w:tcW w:type="dxa" w:w="5400"/>
          </w:tcPr>
          <w:p>
            <w:pPr>
              <w:spacing w:after="0" w:before="0" w:line="240" w:lineRule="auto"/>
              <w:jc w:val="left"/>
            </w:pPr>
            <w:r>
              <w:t>Alternate validation backlog</w:t>
            </w:r>
          </w:p>
        </w:tc>
        <w:tc>
          <w:tcPr>
            <w:tcW w:type="dxa" w:w="5400"/>
          </w:tcPr>
          <w:p>
            <w:pPr>
              <w:spacing w:after="0" w:before="0" w:line="240" w:lineRule="auto"/>
              <w:jc w:val="left"/>
            </w:pPr>
            <w:r>
              <w:t>Alternatives awaiting technical assessment or approval</w:t>
            </w:r>
          </w:p>
        </w:tc>
      </w:tr>
      <w:tr>
        <w:tc>
          <w:tcPr>
            <w:tcW w:type="dxa" w:w="5400"/>
          </w:tcPr>
          <w:p>
            <w:pPr>
              <w:spacing w:after="0" w:before="0" w:line="240" w:lineRule="auto"/>
              <w:jc w:val="left"/>
            </w:pPr>
            <w:r>
              <w:t>Mapping update compliance</w:t>
            </w:r>
          </w:p>
        </w:tc>
        <w:tc>
          <w:tcPr>
            <w:tcW w:type="dxa" w:w="5400"/>
          </w:tcPr>
          <w:p>
            <w:pPr>
              <w:spacing w:after="0" w:before="0" w:line="240" w:lineRule="auto"/>
              <w:jc w:val="left"/>
            </w:pPr>
            <w:r>
              <w:t>Percentage of relevant changes incorporated within the defined update period</w:t>
            </w:r>
          </w:p>
        </w:tc>
      </w:tr>
    </w:tbl>
    <w:p/>
    <w:p>
      <w:r>
        <w:t>Define each KPI's scope, calculation method, data source, and reporting frequency. Otherwise, two departments can report different values for the same metric and both insist their spreadsheet is correct.</w:t>
      </w:r>
    </w:p>
    <w:p>
      <w:pPr>
        <w:pStyle w:val="Heading2"/>
      </w:pPr>
      <w:r>
        <w:t>20. Common Mistakes</w:t>
      </w:r>
    </w:p>
    <w:p>
      <w:pPr>
        <w:pStyle w:val="ListBullet"/>
      </w:pPr>
      <w:r>
        <w:t>Mapping a spare to a machine based only on its description.</w:t>
      </w:r>
    </w:p>
    <w:p>
      <w:pPr>
        <w:pStyle w:val="ListBullet"/>
      </w:pPr>
      <w:r>
        <w:t>Assuming identical manufacturer names mean identical specifications.</w:t>
      </w:r>
    </w:p>
    <w:p>
      <w:pPr>
        <w:pStyle w:val="ListBullet"/>
      </w:pPr>
      <w:r>
        <w:t>Ignoring firmware, revision, and configuration restrictions.</w:t>
      </w:r>
    </w:p>
    <w:p>
      <w:pPr>
        <w:pStyle w:val="ListBullet"/>
      </w:pPr>
      <w:r>
        <w:t>Treating a vendor-suggested alternate as engineering-approved.</w:t>
      </w:r>
    </w:p>
    <w:p>
      <w:pPr>
        <w:pStyle w:val="ListBullet"/>
      </w:pPr>
      <w:r>
        <w:t>Confusing installed quantity with spare stock quantity.</w:t>
      </w:r>
    </w:p>
    <w:p>
      <w:pPr>
        <w:pStyle w:val="ListBullet"/>
      </w:pPr>
      <w:r>
        <w:t>Failing to record which machines a spare cannot support.</w:t>
      </w:r>
    </w:p>
    <w:p>
      <w:pPr>
        <w:pStyle w:val="ListBullet"/>
      </w:pPr>
      <w:r>
        <w:t>Leaving compatibility conditions in unstructured comments.</w:t>
      </w:r>
    </w:p>
    <w:p>
      <w:pPr>
        <w:pStyle w:val="ListBullet"/>
      </w:pPr>
      <w:r>
        <w:t>Ignoring machine-builder-specific components.</w:t>
      </w:r>
    </w:p>
    <w:p>
      <w:pPr>
        <w:pStyle w:val="ListBullet"/>
      </w:pPr>
      <w:r>
        <w:t>Failing to update mapping after retrofits.</w:t>
      </w:r>
    </w:p>
    <w:p>
      <w:pPr>
        <w:pStyle w:val="ListBullet"/>
      </w:pPr>
      <w:r>
        <w:t>Treating unverified compatibility as confirmed compatibility.</w:t>
      </w:r>
    </w:p>
    <w:p>
      <w:pPr>
        <w:pStyle w:val="ListBullet"/>
      </w:pPr>
      <w:r>
        <w:t>Merging material records without technical validation.</w:t>
      </w:r>
    </w:p>
    <w:p>
      <w:pPr>
        <w:pStyle w:val="ListBullet"/>
      </w:pPr>
      <w:r>
        <w:t>Ignoring safety requirements when selecting alternate components.</w:t>
      </w:r>
    </w:p>
    <w:p>
      <w:pPr>
        <w:pStyle w:val="ListBullet"/>
      </w:pPr>
      <w:r>
        <w:t>Maintaining separate Excel files without a controlled source of truth.</w:t>
      </w:r>
    </w:p>
    <w:p>
      <w:pPr>
        <w:pStyle w:val="Heading2"/>
      </w:pPr>
      <w:r>
        <w:t>21. Practical Implementation Checklist</w:t>
      </w:r>
    </w:p>
    <w:p>
      <w:pPr>
        <w:pStyle w:val="ListBullet"/>
      </w:pPr>
      <w:r>
        <w:t>Establish unique equipment and material identifiers.</w:t>
      </w:r>
    </w:p>
    <w:p>
      <w:pPr>
        <w:pStyle w:val="ListBullet"/>
      </w:pPr>
      <w:r>
        <w:t>Obtain the installed-base map and relevant BOMs.</w:t>
      </w:r>
    </w:p>
    <w:p>
      <w:pPr>
        <w:pStyle w:val="ListBullet"/>
      </w:pPr>
      <w:r>
        <w:t>Identify critical installed components.</w:t>
      </w:r>
    </w:p>
    <w:p>
      <w:pPr>
        <w:pStyle w:val="ListBullet"/>
      </w:pPr>
      <w:r>
        <w:t>Identify candidate spares for each component.</w:t>
      </w:r>
    </w:p>
    <w:p>
      <w:pPr>
        <w:pStyle w:val="ListBullet"/>
      </w:pPr>
      <w:r>
        <w:t>Verify electrical, mechanical, functional, and software compatibility.</w:t>
      </w:r>
    </w:p>
    <w:p>
      <w:pPr>
        <w:pStyle w:val="ListBullet"/>
      </w:pPr>
      <w:r>
        <w:t>Record exact applicability and any restrictions.</w:t>
      </w:r>
    </w:p>
    <w:p>
      <w:pPr>
        <w:pStyle w:val="ListBullet"/>
      </w:pPr>
      <w:r>
        <w:t>Obtain engineering approval for alternates where required.</w:t>
      </w:r>
    </w:p>
    <w:p>
      <w:pPr>
        <w:pStyle w:val="ListBullet"/>
      </w:pPr>
      <w:r>
        <w:t>Record stock location, availability, and lead time.</w:t>
      </w:r>
    </w:p>
    <w:p>
      <w:pPr>
        <w:pStyle w:val="ListBullet"/>
      </w:pPr>
      <w:r>
        <w:t>Identify components with no approved spare.</w:t>
      </w:r>
    </w:p>
    <w:p>
      <w:pPr>
        <w:pStyle w:val="ListBullet"/>
      </w:pPr>
      <w:r>
        <w:t>Identify shared spares across compatible machines.</w:t>
      </w:r>
    </w:p>
    <w:p>
      <w:pPr>
        <w:pStyle w:val="ListBullet"/>
      </w:pPr>
      <w:r>
        <w:t>Link relevant drawings, manuals, and approval records.</w:t>
      </w:r>
    </w:p>
    <w:p>
      <w:pPr>
        <w:pStyle w:val="ListBullet"/>
      </w:pPr>
      <w:r>
        <w:t>Establish ownership and change-control requirements.</w:t>
      </w:r>
    </w:p>
    <w:p>
      <w:pPr>
        <w:pStyle w:val="ListBullet"/>
      </w:pPr>
      <w:r>
        <w:t>Validate the mapping during actual maintenance activities.</w:t>
      </w:r>
    </w:p>
    <w:p>
      <w:pPr>
        <w:pStyle w:val="ListBullet"/>
      </w:pPr>
      <w:r>
        <w:t>Review the mapping after replacements, retrofits, and obsolescence notices.</w:t>
      </w:r>
    </w:p>
    <w:p>
      <w:pPr>
        <w:pStyle w:val="Heading2"/>
      </w:pPr>
      <w:r>
        <w:t>22. Interview Questions and Answers</w:t>
      </w:r>
    </w:p>
    <w:p>
      <w:r>
        <w:t>Q1. What is spare-to-machine mapping?</w:t>
      </w:r>
    </w:p>
    <w:p>
      <w:r>
        <w:t>It is a controlled record connecting spare materials to the specific machines and components on which they are verified as usable.</w:t>
      </w:r>
    </w:p>
    <w:p>
      <w:r>
        <w:t>Q2. How does it differ from a BOM?</w:t>
      </w:r>
    </w:p>
    <w:p>
      <w:r>
        <w:t>A BOM describes the component structure of an assembly or equipment. Spare-to-machine mapping establishes the applicability of available spare materials to actual installed applications, including approved alternatives and restrictions.</w:t>
      </w:r>
    </w:p>
    <w:p>
      <w:r>
        <w:t>Q3. Can one spare support multiple machines?</w:t>
      </w:r>
    </w:p>
    <w:p>
      <w:r>
        <w:t>Yes, provided compatibility has been verified for every intended application. Similar model names or physical appearance alone are insufficient.</w:t>
      </w:r>
    </w:p>
    <w:p>
      <w:r>
        <w:t>Q4. How do you validate an alternate PLC module?</w:t>
      </w:r>
    </w:p>
    <w:p>
      <w:r>
        <w:t>Check the exact part number, PLC family, electrical characteristics, hardware and firmware compatibility, rack or bus requirements, engineering software, configuration requirements, and any applicable safety constraints. Record the approval and its scope.</w:t>
      </w:r>
    </w:p>
    <w:p>
      <w:r>
        <w:t>Q5. What is the relationship between installed-base mapping and spare-to-machine mapping?</w:t>
      </w:r>
    </w:p>
    <w:p>
      <w:r>
        <w:t>Installed-base mapping identifies what is installed and where. Spare-to-machine mapping identifies which spares are suitable for those installed components and machines.</w:t>
      </w:r>
    </w:p>
    <w:p>
      <w:r>
        <w:t>Q6. How does mapping reduce downtime?</w:t>
      </w:r>
    </w:p>
    <w:p>
      <w:r>
        <w:t>It reduces time spent identifying candidate parts, locating stock, confirming compatibility, and obtaining technical approval. It also exposes critical applications that lack an approved spare before a breakdown occurs.</w:t>
      </w:r>
    </w:p>
    <w:p>
      <w:r>
        <w:t>Q7. Should an approved alternate automatically replace the original material in SAP?</w:t>
      </w:r>
    </w:p>
    <w:p>
      <w:r>
        <w:t>No. The alternate relationship and the inventory material identity should remain traceable. Material substitution, BOM updates, or master-data changes must follow the plant's approved engineering and material-management procedures.</w:t>
      </w:r>
    </w:p>
    <w:p>
      <w:r>
        <w:t>Q8. What is the most important rule in spare-to-machine mapping?</w:t>
      </w:r>
    </w:p>
    <w:p>
      <w:r>
        <w:t>Never confuse physical availability with technical suitability. A spare is useful only when it is available, correctly identified, and approved for the specific application.</w:t>
      </w:r>
    </w:p>
    <w:p>
      <w:pPr>
        <w:pStyle w:val="Heading2"/>
      </w:pPr>
      <w:r>
        <w:t>23. Expected Outcome</w:t>
      </w:r>
    </w:p>
    <w:p>
      <w:r>
        <w:t>A completed spare-to-machine map allows maintenance and stores personnel to identify the correct spare for a specific machine, verify its compatibility, locate stock, and understand any restrictions before installation.</w:t>
      </w:r>
    </w:p>
    <w:p>
      <w:r>
        <w:t>It also provides the technical foundation for critical-spares planning, shared inventory optimization, obsolescence management, and controlled standardization across production lines.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02_PLAN_WISE_2026\02_INDUSTRY3_0\23_Spares\02_Automation_Spares\01_PLC_CPU - PLC CPU</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Spare-to-Machine Mapping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