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CPU Spares in Industrial Automation</w:t>
      </w:r>
    </w:p>
    <w:p>
      <w:pPr>
        <w:pStyle w:val="Heading2"/>
      </w:pPr>
      <w:r>
        <w:t>1. Definition</w:t>
      </w:r>
    </w:p>
    <w:p>
      <w:r>
        <w:t>A PLC CPU (Programmable Logic Controller Central Processing Unit) is the processing unit responsible for executing the PLC control program, processing input data, updating outputs, managing communications, and performing controller diagnostics.</w:t>
      </w:r>
    </w:p>
    <w:p>
      <w:r>
        <w:t>A PLC CPU spare is a replacement controller intended to restore or maintain the operation of a PLC-controlled machine when the installed CPU fails, becomes unreliable, or must be replaced during a planned upgrade.</w:t>
      </w:r>
    </w:p>
    <w:p>
      <w:r>
        <w:t>In industrial maintenance, selecting a PLC CPU spare is not simply a matter of matching the manufacturer or product family. Compatibility depends on the exact catalog number, hardware configuration, firmware, engineering software, communication requirements, program compatibility, and machine application.</w:t>
      </w:r>
    </w:p>
    <w:p>
      <w:r>
        <w:t>For example, a spare CPU for a Siemens SIMATIC S7-1500 application must be checked against the installed CPU model, firmware requirements, TIA Portal project compatibility, configured modules, communication interfaces, and any applicable licensing or protection requirements.</w:t>
      </w:r>
    </w:p>
    <w:p>
      <w:r>
        <w:t>Core principle: A physically compatible CPU is not necessarily a functionally compatible replacement.</w:t>
      </w:r>
    </w:p>
    <w:p>
      <w:pPr>
        <w:pStyle w:val="Heading2"/>
      </w:pPr>
      <w:r>
        <w:t>2. Functions of a PLC CPU</w:t>
      </w:r>
    </w:p>
    <w:p>
      <w:r>
        <w:t>A PLC CPU typically performs the following functions:</w:t>
      </w:r>
    </w:p>
    <w:p>
      <w:pPr>
        <w:pStyle w:val="ListBullet"/>
      </w:pPr>
      <w:r>
        <w:t>Executes the user control program.</w:t>
      </w:r>
    </w:p>
    <w:p>
      <w:pPr>
        <w:pStyle w:val="ListBullet"/>
      </w:pPr>
      <w:r>
        <w:t>Reads and processes input data.</w:t>
      </w:r>
    </w:p>
    <w:p>
      <w:pPr>
        <w:pStyle w:val="ListBullet"/>
      </w:pPr>
      <w:r>
        <w:t>Updates output commands.</w:t>
      </w:r>
    </w:p>
    <w:p>
      <w:pPr>
        <w:pStyle w:val="ListBullet"/>
      </w:pPr>
      <w:r>
        <w:t>Executes timers, counters, arithmetic, comparisons, and sequence logic.</w:t>
      </w:r>
    </w:p>
    <w:p>
      <w:pPr>
        <w:pStyle w:val="ListBullet"/>
      </w:pPr>
      <w:r>
        <w:t>Manages communication with remote I/O, HMIs, SCADA, drives, robots, and other controllers.</w:t>
      </w:r>
    </w:p>
    <w:p>
      <w:pPr>
        <w:pStyle w:val="ListBullet"/>
      </w:pPr>
      <w:r>
        <w:t>Performs diagnostics and fault monitoring.</w:t>
      </w:r>
    </w:p>
    <w:p>
      <w:pPr>
        <w:pStyle w:val="ListBullet"/>
      </w:pPr>
      <w:r>
        <w:t>Maintains internal memory and application data.</w:t>
      </w:r>
    </w:p>
    <w:p>
      <w:pPr>
        <w:pStyle w:val="ListBullet"/>
      </w:pPr>
      <w:r>
        <w:t>Manages tasks, interrupts, and execution priorities where supported.</w:t>
      </w:r>
    </w:p>
    <w:p>
      <w:pPr>
        <w:pStyle w:val="ListBullet"/>
      </w:pPr>
      <w:r>
        <w:t>Detects certain hardware, communication, and program faults.</w:t>
      </w:r>
    </w:p>
    <w:p>
      <w:pPr>
        <w:pStyle w:val="ListBullet"/>
      </w:pPr>
      <w:r>
        <w:t>Supports program loading, online monitoring, and troubleshooting.</w:t>
      </w:r>
    </w:p>
    <w:p>
      <w:pPr>
        <w:pStyle w:val="ListBullet"/>
      </w:pPr>
      <w:r>
        <w:t>Provides controller status and diagnostic information.</w:t>
      </w:r>
    </w:p>
    <w:p>
      <w:r>
        <w:t>The precise functions depend on the PLC family and CPU model. Not every CPU supports every communication protocol, memory feature, motion function, or safety function.</w:t>
      </w:r>
    </w:p>
    <w:p>
      <w:pPr>
        <w:pStyle w:val="Heading2"/>
      </w:pPr>
      <w:r>
        <w:t>3. Where the PLC CPU Fits in the Control System</w:t>
      </w:r>
    </w:p>
    <w:p>
      <w:pPr>
        <w:shd w:val="clear" w:color="auto" w:fill="F4F4F4"/>
        <w:spacing w:before="0" w:after="0" w:line="240" w:lineRule="auto"/>
        <w:ind w:left="216" w:right="216"/>
        <w:jc w:val="left"/>
      </w:pPr>
      <w:r>
        <w:rPr>
          <w:rFonts w:ascii="Consolas" w:hAnsi="Consolas"/>
          <w:color w:val="202020"/>
          <w:sz w:val="18"/>
        </w:rPr>
        <w:t>Sensors and Field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I/O or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and Sequence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Modules and Communication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Contactors, Valves, Drives, Robots, and Machines</w:t>
      </w:r>
    </w:p>
    <w:p/>
    <w:p>
      <w:r>
        <w:t>HMIs, SCADA systems, engineering computers, and other controllers may communicate with the PLC through separate communication interfaces.</w:t>
      </w:r>
    </w:p>
    <w:p>
      <w:r>
        <w:t>The PLC CPU is the central processing element, but the complete system also depends on the power supply, I/O modules, network infrastructure, field devices, and application configuration.</w:t>
      </w:r>
    </w:p>
    <w:p>
      <w:r>
        <w:t>A CPU replacement will not solve a failure caused by a faulty power supply, damaged backplane, failed network switch, defective I/O module, or incorrect application logic.</w:t>
      </w:r>
    </w:p>
    <w:p>
      <w:pPr>
        <w:pStyle w:val="Heading2"/>
      </w:pPr>
      <w:r>
        <w:t>4. PLC CPU Types and Architectures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Characteristics</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Compact PLC</w:t>
            </w:r>
          </w:p>
        </w:tc>
        <w:tc>
          <w:tcPr>
            <w:tcW w:type="dxa" w:w="3600"/>
          </w:tcPr>
          <w:p>
            <w:pPr>
              <w:spacing w:after="0" w:before="0" w:line="240" w:lineRule="auto"/>
              <w:jc w:val="left"/>
            </w:pPr>
            <w:r>
              <w:t>CPU and some I/O or communication functions integrated into one unit</w:t>
            </w:r>
          </w:p>
        </w:tc>
        <w:tc>
          <w:tcPr>
            <w:tcW w:type="dxa" w:w="3600"/>
          </w:tcPr>
          <w:p>
            <w:pPr>
              <w:spacing w:after="0" w:before="0" w:line="240" w:lineRule="auto"/>
              <w:jc w:val="left"/>
            </w:pPr>
            <w:r>
              <w:t>Check integrated I/O, expansion limits, and exact model</w:t>
            </w:r>
          </w:p>
        </w:tc>
      </w:tr>
      <w:tr>
        <w:tc>
          <w:tcPr>
            <w:tcW w:type="dxa" w:w="3600"/>
          </w:tcPr>
          <w:p>
            <w:pPr>
              <w:spacing w:after="0" w:before="0" w:line="240" w:lineRule="auto"/>
              <w:jc w:val="left"/>
            </w:pPr>
            <w:r>
              <w:t>Modular PLC</w:t>
            </w:r>
          </w:p>
        </w:tc>
        <w:tc>
          <w:tcPr>
            <w:tcW w:type="dxa" w:w="3600"/>
          </w:tcPr>
          <w:p>
            <w:pPr>
              <w:spacing w:after="0" w:before="0" w:line="240" w:lineRule="auto"/>
              <w:jc w:val="left"/>
            </w:pPr>
            <w:r>
              <w:t>CPU installed in a rack or modular assembly with separate modules</w:t>
            </w:r>
          </w:p>
        </w:tc>
        <w:tc>
          <w:tcPr>
            <w:tcW w:type="dxa" w:w="3600"/>
          </w:tcPr>
          <w:p>
            <w:pPr>
              <w:spacing w:after="0" w:before="0" w:line="240" w:lineRule="auto"/>
              <w:jc w:val="left"/>
            </w:pPr>
            <w:r>
              <w:t>Verify rack, power supply, backplane, and module compatibility</w:t>
            </w:r>
          </w:p>
        </w:tc>
      </w:tr>
      <w:tr>
        <w:tc>
          <w:tcPr>
            <w:tcW w:type="dxa" w:w="3600"/>
          </w:tcPr>
          <w:p>
            <w:pPr>
              <w:spacing w:after="0" w:before="0" w:line="240" w:lineRule="auto"/>
              <w:jc w:val="left"/>
            </w:pPr>
            <w:r>
              <w:t>Distributed or remote control architecture</w:t>
            </w:r>
          </w:p>
        </w:tc>
        <w:tc>
          <w:tcPr>
            <w:tcW w:type="dxa" w:w="3600"/>
          </w:tcPr>
          <w:p>
            <w:pPr>
              <w:spacing w:after="0" w:before="0" w:line="240" w:lineRule="auto"/>
              <w:jc w:val="left"/>
            </w:pPr>
            <w:r>
              <w:t>Controllers and I/O are distributed across equipment or network segments</w:t>
            </w:r>
          </w:p>
        </w:tc>
        <w:tc>
          <w:tcPr>
            <w:tcW w:type="dxa" w:w="3600"/>
          </w:tcPr>
          <w:p>
            <w:pPr>
              <w:spacing w:after="0" w:before="0" w:line="240" w:lineRule="auto"/>
              <w:jc w:val="left"/>
            </w:pPr>
            <w:r>
              <w:t>Verify network dependencies, remote I/O relationships, and recovery sequence</w:t>
            </w:r>
          </w:p>
        </w:tc>
      </w:tr>
      <w:tr>
        <w:tc>
          <w:tcPr>
            <w:tcW w:type="dxa" w:w="3600"/>
          </w:tcPr>
          <w:p>
            <w:pPr>
              <w:spacing w:after="0" w:before="0" w:line="240" w:lineRule="auto"/>
              <w:jc w:val="left"/>
            </w:pPr>
            <w:r>
              <w:t>Safety PLC</w:t>
            </w:r>
          </w:p>
        </w:tc>
        <w:tc>
          <w:tcPr>
            <w:tcW w:type="dxa" w:w="3600"/>
          </w:tcPr>
          <w:p>
            <w:pPr>
              <w:spacing w:after="0" w:before="0" w:line="240" w:lineRule="auto"/>
              <w:jc w:val="left"/>
            </w:pPr>
            <w:r>
              <w:t>Supports certified safety-related control functions</w:t>
            </w:r>
          </w:p>
        </w:tc>
        <w:tc>
          <w:tcPr>
            <w:tcW w:type="dxa" w:w="3600"/>
          </w:tcPr>
          <w:p>
            <w:pPr>
              <w:spacing w:after="0" w:before="0" w:line="240" w:lineRule="auto"/>
              <w:jc w:val="left"/>
            </w:pPr>
            <w:r>
              <w:t>Replacement requires correct safety capabilities and approved validation</w:t>
            </w:r>
          </w:p>
        </w:tc>
      </w:tr>
      <w:tr>
        <w:tc>
          <w:tcPr>
            <w:tcW w:type="dxa" w:w="3600"/>
          </w:tcPr>
          <w:p>
            <w:pPr>
              <w:spacing w:after="0" w:before="0" w:line="240" w:lineRule="auto"/>
              <w:jc w:val="left"/>
            </w:pPr>
            <w:r>
              <w:t>Motion-capable PLC</w:t>
            </w:r>
          </w:p>
        </w:tc>
        <w:tc>
          <w:tcPr>
            <w:tcW w:type="dxa" w:w="3600"/>
          </w:tcPr>
          <w:p>
            <w:pPr>
              <w:spacing w:after="0" w:before="0" w:line="240" w:lineRule="auto"/>
              <w:jc w:val="left"/>
            </w:pPr>
            <w:r>
              <w:t>Supports motion instructions and coordinated axes where specified</w:t>
            </w:r>
          </w:p>
        </w:tc>
        <w:tc>
          <w:tcPr>
            <w:tcW w:type="dxa" w:w="3600"/>
          </w:tcPr>
          <w:p>
            <w:pPr>
              <w:spacing w:after="0" w:before="0" w:line="240" w:lineRule="auto"/>
              <w:jc w:val="left"/>
            </w:pPr>
            <w:r>
              <w:t>Check motion features, axis limits, firmware, and drive compatibility</w:t>
            </w:r>
          </w:p>
        </w:tc>
      </w:tr>
      <w:tr>
        <w:tc>
          <w:tcPr>
            <w:tcW w:type="dxa" w:w="3600"/>
          </w:tcPr>
          <w:p>
            <w:pPr>
              <w:spacing w:after="0" w:before="0" w:line="240" w:lineRule="auto"/>
              <w:jc w:val="left"/>
            </w:pPr>
            <w:r>
              <w:t>Redundant PLC system</w:t>
            </w:r>
          </w:p>
        </w:tc>
        <w:tc>
          <w:tcPr>
            <w:tcW w:type="dxa" w:w="3600"/>
          </w:tcPr>
          <w:p>
            <w:pPr>
              <w:spacing w:after="0" w:before="0" w:line="240" w:lineRule="auto"/>
              <w:jc w:val="left"/>
            </w:pPr>
            <w:r>
              <w:t>Uses redundant controllers and supporting architecture</w:t>
            </w:r>
          </w:p>
        </w:tc>
        <w:tc>
          <w:tcPr>
            <w:tcW w:type="dxa" w:w="3600"/>
          </w:tcPr>
          <w:p>
            <w:pPr>
              <w:spacing w:after="0" w:before="0" w:line="240" w:lineRule="auto"/>
              <w:jc w:val="left"/>
            </w:pPr>
            <w:r>
              <w:t>Verify redundancy compatibility, synchronization, and failover requirements</w:t>
            </w:r>
          </w:p>
        </w:tc>
      </w:tr>
    </w:tbl>
    <w:p/>
    <w:p>
      <w:r>
        <w:t>These categories can overlap. For example, a modular PLC may also be a safety PLC or support motion control.</w:t>
      </w:r>
    </w:p>
    <w:p>
      <w:pPr>
        <w:pStyle w:val="Heading2"/>
      </w:pPr>
      <w:r>
        <w:t>5. Major PLC CPU Manufacturers and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Representative families</w:t>
            </w:r>
          </w:p>
        </w:tc>
        <w:tc>
          <w:tcPr>
            <w:tcW w:type="dxa" w:w="3600"/>
            <w:shd w:val="clear" w:color="auto" w:fill="EEF2F7"/>
          </w:tcPr>
          <w:p>
            <w:pPr>
              <w:spacing w:after="0" w:before="0" w:line="240" w:lineRule="auto"/>
              <w:jc w:val="left"/>
            </w:pPr>
            <w:r>
              <w:rPr>
                <w:b/>
                <w:color w:val="1A2E4A"/>
              </w:rPr>
              <w:t>Common engineering environment</w:t>
            </w:r>
          </w:p>
        </w:tc>
      </w:tr>
      <w:tr>
        <w:tc>
          <w:tcPr>
            <w:tcW w:type="dxa" w:w="3600"/>
          </w:tcPr>
          <w:p>
            <w:pPr>
              <w:spacing w:after="0" w:before="0" w:line="240" w:lineRule="auto"/>
              <w:jc w:val="left"/>
            </w:pPr>
            <w:r>
              <w:t>Siemens</w:t>
            </w:r>
          </w:p>
        </w:tc>
        <w:tc>
          <w:tcPr>
            <w:tcW w:type="dxa" w:w="3600"/>
          </w:tcPr>
          <w:p>
            <w:pPr>
              <w:spacing w:after="0" w:before="0" w:line="240" w:lineRule="auto"/>
              <w:jc w:val="left"/>
            </w:pPr>
            <w:r>
              <w:t>SIMATIC S7-1200, S7-1500, S7-300, S7-400</w:t>
            </w:r>
          </w:p>
        </w:tc>
        <w:tc>
          <w:tcPr>
            <w:tcW w:type="dxa" w:w="3600"/>
          </w:tcPr>
          <w:p>
            <w:pPr>
              <w:spacing w:after="0" w:before="0" w:line="240" w:lineRule="auto"/>
              <w:jc w:val="left"/>
            </w:pPr>
            <w:r>
              <w:t>TIA Portal or applicable legacy tools</w:t>
            </w:r>
          </w:p>
        </w:tc>
      </w:tr>
      <w:tr>
        <w:tc>
          <w:tcPr>
            <w:tcW w:type="dxa" w:w="3600"/>
          </w:tcPr>
          <w:p>
            <w:pPr>
              <w:spacing w:after="0" w:before="0" w:line="240" w:lineRule="auto"/>
              <w:jc w:val="left"/>
            </w:pPr>
            <w:r>
              <w:t>Rockwell Automation / Allen-Bradley</w:t>
            </w:r>
          </w:p>
        </w:tc>
        <w:tc>
          <w:tcPr>
            <w:tcW w:type="dxa" w:w="3600"/>
          </w:tcPr>
          <w:p>
            <w:pPr>
              <w:spacing w:after="0" w:before="0" w:line="240" w:lineRule="auto"/>
              <w:jc w:val="left"/>
            </w:pPr>
            <w:r>
              <w:t>MicroLogix, CompactLogix, ControlLogix</w:t>
            </w:r>
          </w:p>
        </w:tc>
        <w:tc>
          <w:tcPr>
            <w:tcW w:type="dxa" w:w="3600"/>
          </w:tcPr>
          <w:p>
            <w:pPr>
              <w:spacing w:after="0" w:before="0" w:line="240" w:lineRule="auto"/>
              <w:jc w:val="left"/>
            </w:pPr>
            <w:r>
              <w:t>RSLogix 500 or Studio 5000, depending on family</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MELSEC FX, L, Q, iQ-F, iQ-R</w:t>
            </w:r>
          </w:p>
        </w:tc>
        <w:tc>
          <w:tcPr>
            <w:tcW w:type="dxa" w:w="3600"/>
          </w:tcPr>
          <w:p>
            <w:pPr>
              <w:spacing w:after="0" w:before="0" w:line="240" w:lineRule="auto"/>
              <w:jc w:val="left"/>
            </w:pPr>
            <w:r>
              <w:t>GX Works2 or GX Works3, depending on family</w:t>
            </w:r>
          </w:p>
        </w:tc>
      </w:tr>
      <w:tr>
        <w:tc>
          <w:tcPr>
            <w:tcW w:type="dxa" w:w="3600"/>
          </w:tcPr>
          <w:p>
            <w:pPr>
              <w:spacing w:after="0" w:before="0" w:line="240" w:lineRule="auto"/>
              <w:jc w:val="left"/>
            </w:pPr>
            <w:r>
              <w:t>Omron</w:t>
            </w:r>
          </w:p>
        </w:tc>
        <w:tc>
          <w:tcPr>
            <w:tcW w:type="dxa" w:w="3600"/>
          </w:tcPr>
          <w:p>
            <w:pPr>
              <w:spacing w:after="0" w:before="0" w:line="240" w:lineRule="auto"/>
              <w:jc w:val="left"/>
            </w:pPr>
            <w:r>
              <w:t>CP, CJ, CS, NX, NJ</w:t>
            </w:r>
          </w:p>
        </w:tc>
        <w:tc>
          <w:tcPr>
            <w:tcW w:type="dxa" w:w="3600"/>
          </w:tcPr>
          <w:p>
            <w:pPr>
              <w:spacing w:after="0" w:before="0" w:line="240" w:lineRule="auto"/>
              <w:jc w:val="left"/>
            </w:pPr>
            <w:r>
              <w:t>CX-Programmer, Sysmac Studio, or applicable tools</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Modicon M221, M241, M340, M580</w:t>
            </w:r>
          </w:p>
        </w:tc>
        <w:tc>
          <w:tcPr>
            <w:tcW w:type="dxa" w:w="3600"/>
          </w:tcPr>
          <w:p>
            <w:pPr>
              <w:spacing w:after="0" w:before="0" w:line="240" w:lineRule="auto"/>
              <w:jc w:val="left"/>
            </w:pPr>
            <w:r>
              <w:t>EcoStruxure Machine Expert or Control Expert, depending on family</w:t>
            </w:r>
          </w:p>
        </w:tc>
      </w:tr>
      <w:tr>
        <w:tc>
          <w:tcPr>
            <w:tcW w:type="dxa" w:w="3600"/>
          </w:tcPr>
          <w:p>
            <w:pPr>
              <w:spacing w:after="0" w:before="0" w:line="240" w:lineRule="auto"/>
              <w:jc w:val="left"/>
            </w:pPr>
            <w:r>
              <w:t>Beckhoff</w:t>
            </w:r>
          </w:p>
        </w:tc>
        <w:tc>
          <w:tcPr>
            <w:tcW w:type="dxa" w:w="3600"/>
          </w:tcPr>
          <w:p>
            <w:pPr>
              <w:spacing w:after="0" w:before="0" w:line="240" w:lineRule="auto"/>
              <w:jc w:val="left"/>
            </w:pPr>
            <w:r>
              <w:t>CX controllers and PC-based control platforms</w:t>
            </w:r>
          </w:p>
        </w:tc>
        <w:tc>
          <w:tcPr>
            <w:tcW w:type="dxa" w:w="3600"/>
          </w:tcPr>
          <w:p>
            <w:pPr>
              <w:spacing w:after="0" w:before="0" w:line="240" w:lineRule="auto"/>
              <w:jc w:val="left"/>
            </w:pPr>
            <w:r>
              <w:t>TwinCAT</w:t>
            </w:r>
          </w:p>
        </w:tc>
      </w:tr>
      <w:tr>
        <w:tc>
          <w:tcPr>
            <w:tcW w:type="dxa" w:w="3600"/>
          </w:tcPr>
          <w:p>
            <w:pPr>
              <w:spacing w:after="0" w:before="0" w:line="240" w:lineRule="auto"/>
              <w:jc w:val="left"/>
            </w:pPr>
            <w:r>
              <w:t>B&amp;R</w:t>
            </w:r>
          </w:p>
        </w:tc>
        <w:tc>
          <w:tcPr>
            <w:tcW w:type="dxa" w:w="3600"/>
          </w:tcPr>
          <w:p>
            <w:pPr>
              <w:spacing w:after="0" w:before="0" w:line="240" w:lineRule="auto"/>
              <w:jc w:val="left"/>
            </w:pPr>
            <w:r>
              <w:t>X20 and related control platforms</w:t>
            </w:r>
          </w:p>
        </w:tc>
        <w:tc>
          <w:tcPr>
            <w:tcW w:type="dxa" w:w="3600"/>
          </w:tcPr>
          <w:p>
            <w:pPr>
              <w:spacing w:after="0" w:before="0" w:line="240" w:lineRule="auto"/>
              <w:jc w:val="left"/>
            </w:pPr>
            <w:r>
              <w:t>Automation Studio</w:t>
            </w:r>
          </w:p>
        </w:tc>
      </w:tr>
      <w:tr>
        <w:tc>
          <w:tcPr>
            <w:tcW w:type="dxa" w:w="3600"/>
          </w:tcPr>
          <w:p>
            <w:pPr>
              <w:spacing w:after="0" w:before="0" w:line="240" w:lineRule="auto"/>
              <w:jc w:val="left"/>
            </w:pPr>
            <w:r>
              <w:t>Keyence</w:t>
            </w:r>
          </w:p>
        </w:tc>
        <w:tc>
          <w:tcPr>
            <w:tcW w:type="dxa" w:w="3600"/>
          </w:tcPr>
          <w:p>
            <w:pPr>
              <w:spacing w:after="0" w:before="0" w:line="240" w:lineRule="auto"/>
              <w:jc w:val="left"/>
            </w:pPr>
            <w:r>
              <w:t>KV series</w:t>
            </w:r>
          </w:p>
        </w:tc>
        <w:tc>
          <w:tcPr>
            <w:tcW w:type="dxa" w:w="3600"/>
          </w:tcPr>
          <w:p>
            <w:pPr>
              <w:spacing w:after="0" w:before="0" w:line="240" w:lineRule="auto"/>
              <w:jc w:val="left"/>
            </w:pPr>
            <w:r>
              <w:t>Applicable KV Studio version</w:t>
            </w:r>
          </w:p>
        </w:tc>
      </w:tr>
    </w:tbl>
    <w:p/>
    <w:p>
      <w:r>
        <w:t>A manufacturer may offer several incompatible CPU families. The manufacturer name alone is not sufficient for spare selection.</w:t>
      </w:r>
    </w:p>
    <w:p>
      <w:r>
        <w:t>Legacy engineering software may also be necessary to recover or maintain an older installed controller.</w:t>
      </w:r>
    </w:p>
    <w:p>
      <w:pPr>
        <w:pStyle w:val="Heading2"/>
      </w:pPr>
      <w:r>
        <w:t>6. Essential Identification Data for a PLC CPU Spare</w:t>
      </w:r>
    </w:p>
    <w:p>
      <w:r>
        <w:t>Record enough information to identify the installed CPU and verify a replacement before procurement or installation.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product source</w:t>
            </w:r>
          </w:p>
        </w:tc>
      </w:tr>
      <w:tr>
        <w:tc>
          <w:tcPr>
            <w:tcW w:type="dxa" w:w="5400"/>
          </w:tcPr>
          <w:p>
            <w:pPr>
              <w:spacing w:after="0" w:before="0" w:line="240" w:lineRule="auto"/>
              <w:jc w:val="left"/>
            </w:pPr>
            <w:r>
              <w:t>Product family</w:t>
            </w:r>
          </w:p>
        </w:tc>
        <w:tc>
          <w:tcPr>
            <w:tcW w:type="dxa" w:w="5400"/>
          </w:tcPr>
          <w:p>
            <w:pPr>
              <w:spacing w:after="0" w:before="0" w:line="240" w:lineRule="auto"/>
              <w:jc w:val="left"/>
            </w:pPr>
            <w:r>
              <w:t>Establishes the controller platform</w:t>
            </w:r>
          </w:p>
        </w:tc>
      </w:tr>
      <w:tr>
        <w:tc>
          <w:tcPr>
            <w:tcW w:type="dxa" w:w="5400"/>
          </w:tcPr>
          <w:p>
            <w:pPr>
              <w:spacing w:after="0" w:before="0" w:line="240" w:lineRule="auto"/>
              <w:jc w:val="left"/>
            </w:pPr>
            <w:r>
              <w:t>Exact catalog or order number</w:t>
            </w:r>
          </w:p>
        </w:tc>
        <w:tc>
          <w:tcPr>
            <w:tcW w:type="dxa" w:w="5400"/>
          </w:tcPr>
          <w:p>
            <w:pPr>
              <w:spacing w:after="0" w:before="0" w:line="240" w:lineRule="auto"/>
              <w:jc w:val="left"/>
            </w:pPr>
            <w:r>
              <w:t>Identifies the specific CPU variant</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Identifies the individual installed unit</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Helps establish hardware compatibility</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Establishes software and feature compatibility</w:t>
            </w:r>
          </w:p>
        </w:tc>
      </w:tr>
      <w:tr>
        <w:tc>
          <w:tcPr>
            <w:tcW w:type="dxa" w:w="5400"/>
          </w:tcPr>
          <w:p>
            <w:pPr>
              <w:spacing w:after="0" w:before="0" w:line="240" w:lineRule="auto"/>
              <w:jc w:val="left"/>
            </w:pPr>
            <w:r>
              <w:t>Memory capacity</w:t>
            </w:r>
          </w:p>
        </w:tc>
        <w:tc>
          <w:tcPr>
            <w:tcW w:type="dxa" w:w="5400"/>
          </w:tcPr>
          <w:p>
            <w:pPr>
              <w:spacing w:after="0" w:before="0" w:line="240" w:lineRule="auto"/>
              <w:jc w:val="left"/>
            </w:pPr>
            <w:r>
              <w:t>Affects program and data requirements</w:t>
            </w:r>
          </w:p>
        </w:tc>
      </w:tr>
      <w:tr>
        <w:tc>
          <w:tcPr>
            <w:tcW w:type="dxa" w:w="5400"/>
          </w:tcPr>
          <w:p>
            <w:pPr>
              <w:spacing w:after="0" w:before="0" w:line="240" w:lineRule="auto"/>
              <w:jc w:val="left"/>
            </w:pPr>
            <w:r>
              <w:t>Integrated I/O</w:t>
            </w:r>
          </w:p>
        </w:tc>
        <w:tc>
          <w:tcPr>
            <w:tcW w:type="dxa" w:w="5400"/>
          </w:tcPr>
          <w:p>
            <w:pPr>
              <w:spacing w:after="0" w:before="0" w:line="240" w:lineRule="auto"/>
              <w:jc w:val="left"/>
            </w:pPr>
            <w:r>
              <w:t>Determines available onboard signals</w:t>
            </w:r>
          </w:p>
        </w:tc>
      </w:tr>
      <w:tr>
        <w:tc>
          <w:tcPr>
            <w:tcW w:type="dxa" w:w="5400"/>
          </w:tcPr>
          <w:p>
            <w:pPr>
              <w:spacing w:after="0" w:before="0" w:line="240" w:lineRule="auto"/>
              <w:jc w:val="left"/>
            </w:pPr>
            <w:r>
              <w:t>Communication ports</w:t>
            </w:r>
          </w:p>
        </w:tc>
        <w:tc>
          <w:tcPr>
            <w:tcW w:type="dxa" w:w="5400"/>
          </w:tcPr>
          <w:p>
            <w:pPr>
              <w:spacing w:after="0" w:before="0" w:line="240" w:lineRule="auto"/>
              <w:jc w:val="left"/>
            </w:pPr>
            <w:r>
              <w:t>Determines supported physical interfaces</w:t>
            </w:r>
          </w:p>
        </w:tc>
      </w:tr>
      <w:tr>
        <w:tc>
          <w:tcPr>
            <w:tcW w:type="dxa" w:w="5400"/>
          </w:tcPr>
          <w:p>
            <w:pPr>
              <w:spacing w:after="0" w:before="0" w:line="240" w:lineRule="auto"/>
              <w:jc w:val="left"/>
            </w:pPr>
            <w:r>
              <w:t>Supported protocols</w:t>
            </w:r>
          </w:p>
        </w:tc>
        <w:tc>
          <w:tcPr>
            <w:tcW w:type="dxa" w:w="5400"/>
          </w:tcPr>
          <w:p>
            <w:pPr>
              <w:spacing w:after="0" w:before="0" w:line="240" w:lineRule="auto"/>
              <w:jc w:val="left"/>
            </w:pPr>
            <w:r>
              <w:t>Establishes communication compatibility</w:t>
            </w:r>
          </w:p>
        </w:tc>
      </w:tr>
      <w:tr>
        <w:tc>
          <w:tcPr>
            <w:tcW w:type="dxa" w:w="5400"/>
          </w:tcPr>
          <w:p>
            <w:pPr>
              <w:spacing w:after="0" w:before="0" w:line="240" w:lineRule="auto"/>
              <w:jc w:val="left"/>
            </w:pPr>
            <w:r>
              <w:t>Rack or backplane type</w:t>
            </w:r>
          </w:p>
        </w:tc>
        <w:tc>
          <w:tcPr>
            <w:tcW w:type="dxa" w:w="5400"/>
          </w:tcPr>
          <w:p>
            <w:pPr>
              <w:spacing w:after="0" w:before="0" w:line="240" w:lineRule="auto"/>
              <w:jc w:val="left"/>
            </w:pPr>
            <w:r>
              <w:t>Determines physical and electrical integration</w:t>
            </w:r>
          </w:p>
        </w:tc>
      </w:tr>
      <w:tr>
        <w:tc>
          <w:tcPr>
            <w:tcW w:type="dxa" w:w="5400"/>
          </w:tcPr>
          <w:p>
            <w:pPr>
              <w:spacing w:after="0" w:before="0" w:line="240" w:lineRule="auto"/>
              <w:jc w:val="left"/>
            </w:pPr>
            <w:r>
              <w:t>Supported expansion modules</w:t>
            </w:r>
          </w:p>
        </w:tc>
        <w:tc>
          <w:tcPr>
            <w:tcW w:type="dxa" w:w="5400"/>
          </w:tcPr>
          <w:p>
            <w:pPr>
              <w:spacing w:after="0" w:before="0" w:line="240" w:lineRule="auto"/>
              <w:jc w:val="left"/>
            </w:pPr>
            <w:r>
              <w:t>Establishes system configuration compatibility</w:t>
            </w:r>
          </w:p>
        </w:tc>
      </w:tr>
      <w:tr>
        <w:tc>
          <w:tcPr>
            <w:tcW w:type="dxa" w:w="5400"/>
          </w:tcPr>
          <w:p>
            <w:pPr>
              <w:spacing w:after="0" w:before="0" w:line="240" w:lineRule="auto"/>
              <w:jc w:val="left"/>
            </w:pPr>
            <w:r>
              <w:t>Engineering software version</w:t>
            </w:r>
          </w:p>
        </w:tc>
        <w:tc>
          <w:tcPr>
            <w:tcW w:type="dxa" w:w="5400"/>
          </w:tcPr>
          <w:p>
            <w:pPr>
              <w:spacing w:after="0" w:before="0" w:line="240" w:lineRule="auto"/>
              <w:jc w:val="left"/>
            </w:pPr>
            <w:r>
              <w:t>Determines project access and compatibility</w:t>
            </w:r>
          </w:p>
        </w:tc>
      </w:tr>
      <w:tr>
        <w:tc>
          <w:tcPr>
            <w:tcW w:type="dxa" w:w="5400"/>
          </w:tcPr>
          <w:p>
            <w:pPr>
              <w:spacing w:after="0" w:before="0" w:line="240" w:lineRule="auto"/>
              <w:jc w:val="left"/>
            </w:pPr>
            <w:r>
              <w:t>Program backup reference</w:t>
            </w:r>
          </w:p>
        </w:tc>
        <w:tc>
          <w:tcPr>
            <w:tcW w:type="dxa" w:w="5400"/>
          </w:tcPr>
          <w:p>
            <w:pPr>
              <w:spacing w:after="0" w:before="0" w:line="240" w:lineRule="auto"/>
              <w:jc w:val="left"/>
            </w:pPr>
            <w:r>
              <w:t>Identifies the approved recovery source</w:t>
            </w:r>
          </w:p>
        </w:tc>
      </w:tr>
      <w:tr>
        <w:tc>
          <w:tcPr>
            <w:tcW w:type="dxa" w:w="5400"/>
          </w:tcPr>
          <w:p>
            <w:pPr>
              <w:spacing w:after="0" w:before="0" w:line="240" w:lineRule="auto"/>
              <w:jc w:val="left"/>
            </w:pPr>
            <w:r>
              <w:t>Safety classification</w:t>
            </w:r>
          </w:p>
        </w:tc>
        <w:tc>
          <w:tcPr>
            <w:tcW w:type="dxa" w:w="5400"/>
          </w:tcPr>
          <w:p>
            <w:pPr>
              <w:spacing w:after="0" w:before="0" w:line="240" w:lineRule="auto"/>
              <w:jc w:val="left"/>
            </w:pPr>
            <w:r>
              <w:t>Establishes whether safety functions are involved</w:t>
            </w:r>
          </w:p>
        </w:tc>
      </w:tr>
      <w:tr>
        <w:tc>
          <w:tcPr>
            <w:tcW w:type="dxa" w:w="5400"/>
          </w:tcPr>
          <w:p>
            <w:pPr>
              <w:spacing w:after="0" w:before="0" w:line="240" w:lineRule="auto"/>
              <w:jc w:val="left"/>
            </w:pPr>
            <w:r>
              <w:t>Motion capability</w:t>
            </w:r>
          </w:p>
        </w:tc>
        <w:tc>
          <w:tcPr>
            <w:tcW w:type="dxa" w:w="5400"/>
          </w:tcPr>
          <w:p>
            <w:pPr>
              <w:spacing w:after="0" w:before="0" w:line="240" w:lineRule="auto"/>
              <w:jc w:val="left"/>
            </w:pPr>
            <w:r>
              <w:t>Identifies motion-control requirements</w:t>
            </w:r>
          </w:p>
        </w:tc>
      </w:tr>
      <w:tr>
        <w:tc>
          <w:tcPr>
            <w:tcW w:type="dxa" w:w="5400"/>
          </w:tcPr>
          <w:p>
            <w:pPr>
              <w:spacing w:after="0" w:before="0" w:line="240" w:lineRule="auto"/>
              <w:jc w:val="left"/>
            </w:pPr>
            <w:r>
              <w:t>License or activation requirements</w:t>
            </w:r>
          </w:p>
        </w:tc>
        <w:tc>
          <w:tcPr>
            <w:tcW w:type="dxa" w:w="5400"/>
          </w:tcPr>
          <w:p>
            <w:pPr>
              <w:spacing w:after="0" w:before="0" w:line="240" w:lineRule="auto"/>
              <w:jc w:val="left"/>
            </w:pPr>
            <w:r>
              <w:t>Identifies any required entitlement or activation</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Establishes supply and support risk</w:t>
            </w:r>
          </w:p>
        </w:tc>
      </w:tr>
      <w:tr>
        <w:tc>
          <w:tcPr>
            <w:tcW w:type="dxa" w:w="5400"/>
          </w:tcPr>
          <w:p>
            <w:pPr>
              <w:spacing w:after="0" w:before="0" w:line="240" w:lineRule="auto"/>
              <w:jc w:val="left"/>
            </w:pPr>
            <w:r>
              <w:t>Approved replacement reference</w:t>
            </w:r>
          </w:p>
        </w:tc>
        <w:tc>
          <w:tcPr>
            <w:tcW w:type="dxa" w:w="5400"/>
          </w:tcPr>
          <w:p>
            <w:pPr>
              <w:spacing w:after="0" w:before="0" w:line="240" w:lineRule="auto"/>
              <w:jc w:val="left"/>
            </w:pPr>
            <w:r>
              <w:t>Links to a validated alternative or migration plan</w:t>
            </w:r>
          </w:p>
        </w:tc>
      </w:tr>
    </w:tbl>
    <w:p/>
    <w:p>
      <w:r>
        <w:t>The exact product label, official technical documentation, and installed configuration should be used to verify the catalog number.</w:t>
      </w:r>
    </w:p>
    <w:p>
      <w:pPr>
        <w:pStyle w:val="Heading2"/>
      </w:pPr>
      <w:r>
        <w:t>7. PLC CPU Spare Selection Criteria</w:t>
      </w:r>
    </w:p>
    <w:p>
      <w:pPr>
        <w:pStyle w:val="Heading3"/>
      </w:pPr>
      <w:r>
        <w:t>7.1 Exact model compatibility</w:t>
      </w:r>
    </w:p>
    <w:p>
      <w:r>
        <w:t>The first preference is a verified spare with the same catalog number and an acceptable hardware revision.</w:t>
      </w:r>
    </w:p>
    <w:p>
      <w:r>
        <w:t>Even within one family, CPUs may differ in memory, integrated interfaces, performance, expansion limits, or supported features.</w:t>
      </w:r>
    </w:p>
    <w:p>
      <w:pPr>
        <w:pStyle w:val="Heading3"/>
      </w:pPr>
      <w:r>
        <w:t>7.2 Firmware compatibility</w:t>
      </w:r>
    </w:p>
    <w:p>
      <w:r>
        <w:t>Verify the firmware required by the installed project and the firmware supported by the spare.</w:t>
      </w:r>
    </w:p>
    <w:p>
      <w:r>
        <w:t>Potential issues include:</w:t>
      </w:r>
    </w:p>
    <w:p>
      <w:pPr>
        <w:pStyle w:val="ListBullet"/>
      </w:pPr>
      <w:r>
        <w:t>The installed project requires a newer firmware revision.</w:t>
      </w:r>
    </w:p>
    <w:p>
      <w:pPr>
        <w:pStyle w:val="ListBullet"/>
      </w:pPr>
      <w:r>
        <w:t>The spare ships with firmware that is incompatible with the existing project.</w:t>
      </w:r>
    </w:p>
    <w:p>
      <w:pPr>
        <w:pStyle w:val="ListBullet"/>
      </w:pPr>
      <w:r>
        <w:t>The engineering software cannot configure or communicate with the installed firmware.</w:t>
      </w:r>
    </w:p>
    <w:p>
      <w:pPr>
        <w:pStyle w:val="ListBullet"/>
      </w:pPr>
      <w:r>
        <w:t>A firmware change affects supported instructions or communication behavior.</w:t>
      </w:r>
    </w:p>
    <w:p>
      <w:pPr>
        <w:pStyle w:val="ListBullet"/>
      </w:pPr>
      <w:r>
        <w:t>A safety application requires specific compatible versions.</w:t>
      </w:r>
    </w:p>
    <w:p>
      <w:r>
        <w:t>Do not assume that firmware can always be downgraded or upgraded freely. Product-family restrictions, hardware revisions, security features, and manufacturer procedures may limit the available options.</w:t>
      </w:r>
    </w:p>
    <w:p>
      <w:pPr>
        <w:pStyle w:val="Heading3"/>
      </w:pPr>
      <w:r>
        <w:t>7.3 Engineering software compatibility</w:t>
      </w:r>
    </w:p>
    <w:p>
      <w:r>
        <w:t>Verify that the required engineering software is available, licensed where necessary, and capable of working with the CPU and project.</w:t>
      </w:r>
    </w:p>
    <w:p>
      <w:r>
        <w:t>Examples include TIA Portal, Studio 5000, GX Works, and other manufacturer-specific environments.</w:t>
      </w:r>
    </w:p>
    <w:p>
      <w:r>
        <w:t>Also confirm the availability of project files, hardware configuration data, required libraries, and relevant device-description packages.</w:t>
      </w:r>
    </w:p>
    <w:p>
      <w:pPr>
        <w:pStyle w:val="Heading3"/>
      </w:pPr>
      <w:r>
        <w:t>7.4 Memory and performance</w:t>
      </w:r>
    </w:p>
    <w:p>
      <w:r>
        <w:t>The replacement must support the application requirements, including:</w:t>
      </w:r>
    </w:p>
    <w:p>
      <w:pPr>
        <w:pStyle w:val="ListBullet"/>
      </w:pPr>
      <w:r>
        <w:t>Program size.</w:t>
      </w:r>
    </w:p>
    <w:p>
      <w:pPr>
        <w:pStyle w:val="ListBullet"/>
      </w:pPr>
      <w:r>
        <w:t>Data memory.</w:t>
      </w:r>
    </w:p>
    <w:p>
      <w:pPr>
        <w:pStyle w:val="ListBullet"/>
      </w:pPr>
      <w:r>
        <w:t>Retentive memory requirements.</w:t>
      </w:r>
    </w:p>
    <w:p>
      <w:pPr>
        <w:pStyle w:val="ListBullet"/>
      </w:pPr>
      <w:r>
        <w:t>Task or scan performance.</w:t>
      </w:r>
    </w:p>
    <w:p>
      <w:pPr>
        <w:pStyle w:val="ListBullet"/>
      </w:pPr>
      <w:r>
        <w:t>Communication load.</w:t>
      </w:r>
    </w:p>
    <w:p>
      <w:pPr>
        <w:pStyle w:val="ListBullet"/>
      </w:pPr>
      <w:r>
        <w:t>Number of configured devices.</w:t>
      </w:r>
    </w:p>
    <w:p>
      <w:pPr>
        <w:pStyle w:val="ListBullet"/>
      </w:pPr>
      <w:r>
        <w:t>Motion or specialized functions.</w:t>
      </w:r>
    </w:p>
    <w:p>
      <w:pPr>
        <w:pStyle w:val="ListBullet"/>
      </w:pPr>
      <w:r>
        <w:t>Required diagnostics and trace capabilities.</w:t>
      </w:r>
    </w:p>
    <w:p>
      <w:r>
        <w:t>A CPU with a similar physical form factor may have insufficient memory or performance for the application.</w:t>
      </w:r>
    </w:p>
    <w:p>
      <w:pPr>
        <w:pStyle w:val="Heading3"/>
      </w:pPr>
      <w:r>
        <w:t>7.5 Communication compatibility</w:t>
      </w:r>
    </w:p>
    <w:p>
      <w:r>
        <w:t>Verify the required interfaces and protocols, such as:</w:t>
      </w:r>
    </w:p>
    <w:p>
      <w:pPr>
        <w:pStyle w:val="ListBullet"/>
      </w:pPr>
      <w:r>
        <w:t>PROFINET.</w:t>
      </w:r>
    </w:p>
    <w:p>
      <w:pPr>
        <w:pStyle w:val="ListBullet"/>
      </w:pPr>
      <w:r>
        <w:t>PROFIBUS.</w:t>
      </w:r>
    </w:p>
    <w:p>
      <w:pPr>
        <w:pStyle w:val="ListBullet"/>
      </w:pPr>
      <w:r>
        <w:t>EtherNet/IP.</w:t>
      </w:r>
    </w:p>
    <w:p>
      <w:pPr>
        <w:pStyle w:val="ListBullet"/>
      </w:pPr>
      <w:r>
        <w:t>EtherCAT where supported by the platform.</w:t>
      </w:r>
    </w:p>
    <w:p>
      <w:pPr>
        <w:pStyle w:val="ListBullet"/>
      </w:pPr>
      <w:r>
        <w:t>Modbus TCP or RTU where supported.</w:t>
      </w:r>
    </w:p>
    <w:p>
      <w:pPr>
        <w:pStyle w:val="ListBullet"/>
      </w:pPr>
      <w:r>
        <w:t>Manufacturer-specific communication protocols.</w:t>
      </w:r>
    </w:p>
    <w:p>
      <w:pPr>
        <w:pStyle w:val="ListBullet"/>
      </w:pPr>
      <w:r>
        <w:t>Serial communication interfaces.</w:t>
      </w:r>
    </w:p>
    <w:p>
      <w:r>
        <w:t>Also check the number of required ports, network architecture, addressing, device capacity, and relevant licensing or configuration requirements.</w:t>
      </w:r>
    </w:p>
    <w:p>
      <w:pPr>
        <w:pStyle w:val="Heading3"/>
      </w:pPr>
      <w:r>
        <w:t>7.6 Safety and special functions</w:t>
      </w:r>
    </w:p>
    <w:p>
      <w:r>
        <w:t>A standard CPU must not be assumed to replace a safety CPU.</w:t>
      </w:r>
    </w:p>
    <w:p>
      <w:r>
        <w:t>Verify the required safety capabilities, approved product configuration, application program, and validation requirements. Similar caution applies to motion, process control, and redundant systems.</w:t>
      </w:r>
    </w:p>
    <w:p>
      <w:pPr>
        <w:pStyle w:val="Heading2"/>
      </w:pPr>
      <w:r>
        <w:t>8. PLC CPU Spare Categories</w:t>
      </w:r>
    </w:p>
    <w:p>
      <w:r>
        <w:t>A spare strategy should distinguish between different replacement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Spare 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Exact replacement</w:t>
            </w:r>
          </w:p>
        </w:tc>
        <w:tc>
          <w:tcPr>
            <w:tcW w:type="dxa" w:w="3600"/>
          </w:tcPr>
          <w:p>
            <w:pPr>
              <w:spacing w:after="0" w:before="0" w:line="240" w:lineRule="auto"/>
              <w:jc w:val="left"/>
            </w:pPr>
            <w:r>
              <w:t>Same approved catalog number and compatible configuration</w:t>
            </w:r>
          </w:p>
        </w:tc>
        <w:tc>
          <w:tcPr>
            <w:tcW w:type="dxa" w:w="3600"/>
          </w:tcPr>
          <w:p>
            <w:pPr>
              <w:spacing w:after="0" w:before="0" w:line="240" w:lineRule="auto"/>
              <w:jc w:val="left"/>
            </w:pPr>
            <w:r>
              <w:t>Preferred restoration option</w:t>
            </w:r>
          </w:p>
        </w:tc>
      </w:tr>
      <w:tr>
        <w:tc>
          <w:tcPr>
            <w:tcW w:type="dxa" w:w="3600"/>
          </w:tcPr>
          <w:p>
            <w:pPr>
              <w:spacing w:after="0" w:before="0" w:line="240" w:lineRule="auto"/>
              <w:jc w:val="left"/>
            </w:pPr>
            <w:r>
              <w:t>Same-family replacement</w:t>
            </w:r>
          </w:p>
        </w:tc>
        <w:tc>
          <w:tcPr>
            <w:tcW w:type="dxa" w:w="3600"/>
          </w:tcPr>
          <w:p>
            <w:pPr>
              <w:spacing w:after="0" w:before="0" w:line="240" w:lineRule="auto"/>
              <w:jc w:val="left"/>
            </w:pPr>
            <w:r>
              <w:t>Different model within the same product family</w:t>
            </w:r>
          </w:p>
        </w:tc>
        <w:tc>
          <w:tcPr>
            <w:tcW w:type="dxa" w:w="3600"/>
          </w:tcPr>
          <w:p>
            <w:pPr>
              <w:spacing w:after="0" w:before="0" w:line="240" w:lineRule="auto"/>
              <w:jc w:val="left"/>
            </w:pPr>
            <w:r>
              <w:t>Requires explicit compatibility verification</w:t>
            </w:r>
          </w:p>
        </w:tc>
      </w:tr>
      <w:tr>
        <w:tc>
          <w:tcPr>
            <w:tcW w:type="dxa" w:w="3600"/>
          </w:tcPr>
          <w:p>
            <w:pPr>
              <w:spacing w:after="0" w:before="0" w:line="240" w:lineRule="auto"/>
              <w:jc w:val="left"/>
            </w:pPr>
            <w:r>
              <w:t>Approved successor</w:t>
            </w:r>
          </w:p>
        </w:tc>
        <w:tc>
          <w:tcPr>
            <w:tcW w:type="dxa" w:w="3600"/>
          </w:tcPr>
          <w:p>
            <w:pPr>
              <w:spacing w:after="0" w:before="0" w:line="240" w:lineRule="auto"/>
              <w:jc w:val="left"/>
            </w:pPr>
            <w:r>
              <w:t>Manufacturer-designated or engineering-validated successor</w:t>
            </w:r>
          </w:p>
        </w:tc>
        <w:tc>
          <w:tcPr>
            <w:tcW w:type="dxa" w:w="3600"/>
          </w:tcPr>
          <w:p>
            <w:pPr>
              <w:spacing w:after="0" w:before="0" w:line="240" w:lineRule="auto"/>
              <w:jc w:val="left"/>
            </w:pPr>
            <w:r>
              <w:t>Controlled replacement of an older product</w:t>
            </w:r>
          </w:p>
        </w:tc>
      </w:tr>
      <w:tr>
        <w:tc>
          <w:tcPr>
            <w:tcW w:type="dxa" w:w="3600"/>
          </w:tcPr>
          <w:p>
            <w:pPr>
              <w:spacing w:after="0" w:before="0" w:line="240" w:lineRule="auto"/>
              <w:jc w:val="left"/>
            </w:pPr>
            <w:r>
              <w:t>Migration replacement</w:t>
            </w:r>
          </w:p>
        </w:tc>
        <w:tc>
          <w:tcPr>
            <w:tcW w:type="dxa" w:w="3600"/>
          </w:tcPr>
          <w:p>
            <w:pPr>
              <w:spacing w:after="0" w:before="0" w:line="240" w:lineRule="auto"/>
              <w:jc w:val="left"/>
            </w:pPr>
            <w:r>
              <w:t>Replacement requiring hardware, software, wiring, or application changes</w:t>
            </w:r>
          </w:p>
        </w:tc>
        <w:tc>
          <w:tcPr>
            <w:tcW w:type="dxa" w:w="3600"/>
          </w:tcPr>
          <w:p>
            <w:pPr>
              <w:spacing w:after="0" w:before="0" w:line="240" w:lineRule="auto"/>
              <w:jc w:val="left"/>
            </w:pPr>
            <w:r>
              <w:t>Planned modernization or obsolete-system replacement</w:t>
            </w:r>
          </w:p>
        </w:tc>
      </w:tr>
      <w:tr>
        <w:tc>
          <w:tcPr>
            <w:tcW w:type="dxa" w:w="3600"/>
          </w:tcPr>
          <w:p>
            <w:pPr>
              <w:spacing w:after="0" w:before="0" w:line="240" w:lineRule="auto"/>
              <w:jc w:val="left"/>
            </w:pPr>
            <w:r>
              <w:t>Repairable spare</w:t>
            </w:r>
          </w:p>
        </w:tc>
        <w:tc>
          <w:tcPr>
            <w:tcW w:type="dxa" w:w="3600"/>
          </w:tcPr>
          <w:p>
            <w:pPr>
              <w:spacing w:after="0" w:before="0" w:line="240" w:lineRule="auto"/>
              <w:jc w:val="left"/>
            </w:pPr>
            <w:r>
              <w:t>Failed CPU can potentially be repaired and returned to the spare pool</w:t>
            </w:r>
          </w:p>
        </w:tc>
        <w:tc>
          <w:tcPr>
            <w:tcW w:type="dxa" w:w="3600"/>
          </w:tcPr>
          <w:p>
            <w:pPr>
              <w:spacing w:after="0" w:before="0" w:line="240" w:lineRule="auto"/>
              <w:jc w:val="left"/>
            </w:pPr>
            <w:r>
              <w:t>Suitable when repair is technically and economically justified</w:t>
            </w:r>
          </w:p>
        </w:tc>
      </w:tr>
      <w:tr>
        <w:tc>
          <w:tcPr>
            <w:tcW w:type="dxa" w:w="3600"/>
          </w:tcPr>
          <w:p>
            <w:pPr>
              <w:spacing w:after="0" w:before="0" w:line="240" w:lineRule="auto"/>
              <w:jc w:val="left"/>
            </w:pPr>
            <w:r>
              <w:t>Emergency substitute</w:t>
            </w:r>
          </w:p>
        </w:tc>
        <w:tc>
          <w:tcPr>
            <w:tcW w:type="dxa" w:w="3600"/>
          </w:tcPr>
          <w:p>
            <w:pPr>
              <w:spacing w:after="0" w:before="0" w:line="240" w:lineRule="auto"/>
              <w:jc w:val="left"/>
            </w:pPr>
            <w:r>
              <w:t>Temporary arrangement specifically assessed and authorized for a defined purpose</w:t>
            </w:r>
          </w:p>
        </w:tc>
        <w:tc>
          <w:tcPr>
            <w:tcW w:type="dxa" w:w="3600"/>
          </w:tcPr>
          <w:p>
            <w:pPr>
              <w:spacing w:after="0" w:before="0" w:line="240" w:lineRule="auto"/>
              <w:jc w:val="left"/>
            </w:pPr>
            <w:r>
              <w:t>Exceptional contingency only</w:t>
            </w:r>
          </w:p>
        </w:tc>
      </w:tr>
    </w:tbl>
    <w:p/>
    <w:p>
      <w:r>
        <w:t>An emergency substitute must not bypass safety, engineering, or configuration-control requirements.</w:t>
      </w:r>
    </w:p>
    <w:p>
      <w:pPr>
        <w:pStyle w:val="Heading2"/>
      </w:pPr>
      <w:r>
        <w:t>9. PLC CPU Replacement Versus PLC Migration</w:t>
      </w:r>
    </w:p>
    <w:p>
      <w:r>
        <w:t>These are different activities.</w:t>
      </w:r>
    </w:p>
    <w:p>
      <w:r>
        <w:t>CPU replacement generally means replacing a failed CPU with a compatible unit while retaining the existing control-system architecture and approved application.</w:t>
      </w:r>
    </w:p>
    <w:p>
      <w:r>
        <w:t>PLC migration means moving from an existing controller platform or configuration to another, potentially requiring substantial engineering work.</w:t>
      </w:r>
    </w:p>
    <w:p>
      <w:r>
        <w:t>A migration may involve:</w:t>
      </w:r>
    </w:p>
    <w:p>
      <w:pPr>
        <w:pStyle w:val="ListBullet"/>
      </w:pPr>
      <w:r>
        <w:t>Program conversion or rewriting.</w:t>
      </w:r>
    </w:p>
    <w:p>
      <w:pPr>
        <w:pStyle w:val="ListBullet"/>
      </w:pPr>
      <w:r>
        <w:t>I/O mapping changes.</w:t>
      </w:r>
    </w:p>
    <w:p>
      <w:pPr>
        <w:pStyle w:val="ListBullet"/>
      </w:pPr>
      <w:r>
        <w:t>Communication redesign.</w:t>
      </w:r>
    </w:p>
    <w:p>
      <w:pPr>
        <w:pStyle w:val="ListBullet"/>
      </w:pPr>
      <w:r>
        <w:t>HMI and SCADA modifications.</w:t>
      </w:r>
    </w:p>
    <w:p>
      <w:pPr>
        <w:pStyle w:val="ListBullet"/>
      </w:pPr>
      <w:r>
        <w:t>Drive and robot interface changes.</w:t>
      </w:r>
    </w:p>
    <w:p>
      <w:pPr>
        <w:pStyle w:val="ListBullet"/>
      </w:pPr>
      <w:r>
        <w:t>Safety-system revalidation.</w:t>
      </w:r>
    </w:p>
    <w:p>
      <w:pPr>
        <w:pStyle w:val="ListBullet"/>
      </w:pPr>
      <w:r>
        <w:t>Network configuration changes.</w:t>
      </w:r>
    </w:p>
    <w:p>
      <w:pPr>
        <w:pStyle w:val="ListBullet"/>
      </w:pPr>
      <w:r>
        <w:t>Testing and commissioning.</w:t>
      </w:r>
    </w:p>
    <w:p>
      <w:pPr>
        <w:pStyle w:val="ListBullet"/>
      </w:pPr>
      <w:r>
        <w:t>Updated drawings and backups.</w:t>
      </w:r>
    </w:p>
    <w:p>
      <w:pPr>
        <w:pStyle w:val="ListBullet"/>
      </w:pPr>
      <w:r>
        <w:t>Operator and maintenance training.</w:t>
      </w:r>
    </w:p>
    <w:p>
      <w:r>
        <w:t>A newer CPU is not automatically a drop-in replacement. A migration plan must identify all dependencies, not just the failed controller.</w:t>
      </w:r>
    </w:p>
    <w:p>
      <w:pPr>
        <w:pStyle w:val="Heading2"/>
      </w:pPr>
      <w:r>
        <w:t>10. PLC CPU Failure Modes and Spare Implications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or condition</w:t>
            </w:r>
          </w:p>
        </w:tc>
        <w:tc>
          <w:tcPr>
            <w:tcW w:type="dxa" w:w="3600"/>
            <w:shd w:val="clear" w:color="auto" w:fill="EEF2F7"/>
          </w:tcPr>
          <w:p>
            <w:pPr>
              <w:spacing w:after="0" w:before="0" w:line="240" w:lineRule="auto"/>
              <w:jc w:val="left"/>
            </w:pPr>
            <w:r>
              <w:rPr>
                <w:b/>
                <w:color w:val="1A2E4A"/>
              </w:rPr>
              <w:t>Possible indications</w:t>
            </w:r>
          </w:p>
        </w:tc>
        <w:tc>
          <w:tcPr>
            <w:tcW w:type="dxa" w:w="3600"/>
            <w:shd w:val="clear" w:color="auto" w:fill="EEF2F7"/>
          </w:tcPr>
          <w:p>
            <w:pPr>
              <w:spacing w:after="0" w:before="0" w:line="240" w:lineRule="auto"/>
              <w:jc w:val="left"/>
            </w:pPr>
            <w:r>
              <w:rPr>
                <w:b/>
                <w:color w:val="1A2E4A"/>
              </w:rPr>
              <w:t>Spare-planning implication</w:t>
            </w:r>
          </w:p>
        </w:tc>
      </w:tr>
      <w:tr>
        <w:tc>
          <w:tcPr>
            <w:tcW w:type="dxa" w:w="3600"/>
          </w:tcPr>
          <w:p>
            <w:pPr>
              <w:spacing w:after="0" w:before="0" w:line="240" w:lineRule="auto"/>
              <w:jc w:val="left"/>
            </w:pPr>
            <w:r>
              <w:t>Internal CPU hardware failure</w:t>
            </w:r>
          </w:p>
        </w:tc>
        <w:tc>
          <w:tcPr>
            <w:tcW w:type="dxa" w:w="3600"/>
          </w:tcPr>
          <w:p>
            <w:pPr>
              <w:spacing w:after="0" w:before="0" w:line="240" w:lineRule="auto"/>
              <w:jc w:val="left"/>
            </w:pPr>
            <w:r>
              <w:t>Diagnostic fault, failure to start, or loss of operation</w:t>
            </w:r>
          </w:p>
        </w:tc>
        <w:tc>
          <w:tcPr>
            <w:tcW w:type="dxa" w:w="3600"/>
          </w:tcPr>
          <w:p>
            <w:pPr>
              <w:spacing w:after="0" w:before="0" w:line="240" w:lineRule="auto"/>
              <w:jc w:val="left"/>
            </w:pPr>
            <w:r>
              <w:t>Verify exact compatible replacement and recovery procedure</w:t>
            </w:r>
          </w:p>
        </w:tc>
      </w:tr>
      <w:tr>
        <w:tc>
          <w:tcPr>
            <w:tcW w:type="dxa" w:w="3600"/>
          </w:tcPr>
          <w:p>
            <w:pPr>
              <w:spacing w:after="0" w:before="0" w:line="240" w:lineRule="auto"/>
              <w:jc w:val="left"/>
            </w:pPr>
            <w:r>
              <w:t>Power supply failure</w:t>
            </w:r>
          </w:p>
        </w:tc>
        <w:tc>
          <w:tcPr>
            <w:tcW w:type="dxa" w:w="3600"/>
          </w:tcPr>
          <w:p>
            <w:pPr>
              <w:spacing w:after="0" w:before="0" w:line="240" w:lineRule="auto"/>
              <w:jc w:val="left"/>
            </w:pPr>
            <w:r>
              <w:t>CPU loses power or repeatedly restarts</w:t>
            </w:r>
          </w:p>
        </w:tc>
        <w:tc>
          <w:tcPr>
            <w:tcW w:type="dxa" w:w="3600"/>
          </w:tcPr>
          <w:p>
            <w:pPr>
              <w:spacing w:after="0" w:before="0" w:line="240" w:lineRule="auto"/>
              <w:jc w:val="left"/>
            </w:pPr>
            <w:r>
              <w:t>Check the power supply before condemning the CPU</w:t>
            </w:r>
          </w:p>
        </w:tc>
      </w:tr>
      <w:tr>
        <w:tc>
          <w:tcPr>
            <w:tcW w:type="dxa" w:w="3600"/>
          </w:tcPr>
          <w:p>
            <w:pPr>
              <w:spacing w:after="0" w:before="0" w:line="240" w:lineRule="auto"/>
              <w:jc w:val="left"/>
            </w:pPr>
            <w:r>
              <w:t>Firmware or configuration problem</w:t>
            </w:r>
          </w:p>
        </w:tc>
        <w:tc>
          <w:tcPr>
            <w:tcW w:type="dxa" w:w="3600"/>
          </w:tcPr>
          <w:p>
            <w:pPr>
              <w:spacing w:after="0" w:before="0" w:line="240" w:lineRule="auto"/>
              <w:jc w:val="left"/>
            </w:pPr>
            <w:r>
              <w:t>Startup failure or configuration-related diagnostic messages</w:t>
            </w:r>
          </w:p>
        </w:tc>
        <w:tc>
          <w:tcPr>
            <w:tcW w:type="dxa" w:w="3600"/>
          </w:tcPr>
          <w:p>
            <w:pPr>
              <w:spacing w:after="0" w:before="0" w:line="240" w:lineRule="auto"/>
              <w:jc w:val="left"/>
            </w:pPr>
            <w:r>
              <w:t>Confirm project, firmware, and recovery requirements</w:t>
            </w:r>
          </w:p>
        </w:tc>
      </w:tr>
      <w:tr>
        <w:tc>
          <w:tcPr>
            <w:tcW w:type="dxa" w:w="3600"/>
          </w:tcPr>
          <w:p>
            <w:pPr>
              <w:spacing w:after="0" w:before="0" w:line="240" w:lineRule="auto"/>
              <w:jc w:val="left"/>
            </w:pPr>
            <w:r>
              <w:t>Memory or storage issue</w:t>
            </w:r>
          </w:p>
        </w:tc>
        <w:tc>
          <w:tcPr>
            <w:tcW w:type="dxa" w:w="3600"/>
          </w:tcPr>
          <w:p>
            <w:pPr>
              <w:spacing w:after="0" w:before="0" w:line="240" w:lineRule="auto"/>
              <w:jc w:val="left"/>
            </w:pPr>
            <w:r>
              <w:t>Program or data integrity problems</w:t>
            </w:r>
          </w:p>
        </w:tc>
        <w:tc>
          <w:tcPr>
            <w:tcW w:type="dxa" w:w="3600"/>
          </w:tcPr>
          <w:p>
            <w:pPr>
              <w:spacing w:after="0" w:before="0" w:line="240" w:lineRule="auto"/>
              <w:jc w:val="left"/>
            </w:pPr>
            <w:r>
              <w:t>Check the supported recovery process and approved backup</w:t>
            </w:r>
          </w:p>
        </w:tc>
      </w:tr>
      <w:tr>
        <w:tc>
          <w:tcPr>
            <w:tcW w:type="dxa" w:w="3600"/>
          </w:tcPr>
          <w:p>
            <w:pPr>
              <w:spacing w:after="0" w:before="0" w:line="240" w:lineRule="auto"/>
              <w:jc w:val="left"/>
            </w:pPr>
            <w:r>
              <w:t>Communication failure</w:t>
            </w:r>
          </w:p>
        </w:tc>
        <w:tc>
          <w:tcPr>
            <w:tcW w:type="dxa" w:w="3600"/>
          </w:tcPr>
          <w:p>
            <w:pPr>
              <w:spacing w:after="0" w:before="0" w:line="240" w:lineRule="auto"/>
              <w:jc w:val="left"/>
            </w:pPr>
            <w:r>
              <w:t>HMI, SCADA, or remote devices lose communication</w:t>
            </w:r>
          </w:p>
        </w:tc>
        <w:tc>
          <w:tcPr>
            <w:tcW w:type="dxa" w:w="3600"/>
          </w:tcPr>
          <w:p>
            <w:pPr>
              <w:spacing w:after="0" w:before="0" w:line="240" w:lineRule="auto"/>
              <w:jc w:val="left"/>
            </w:pPr>
            <w:r>
              <w:t>Check interfaces, cables, switches, addressing, and diagnostics</w:t>
            </w:r>
          </w:p>
        </w:tc>
      </w:tr>
      <w:tr>
        <w:tc>
          <w:tcPr>
            <w:tcW w:type="dxa" w:w="3600"/>
          </w:tcPr>
          <w:p>
            <w:pPr>
              <w:spacing w:after="0" w:before="0" w:line="240" w:lineRule="auto"/>
              <w:jc w:val="left"/>
            </w:pPr>
            <w:r>
              <w:t>Excessive load or performance limitation</w:t>
            </w:r>
          </w:p>
        </w:tc>
        <w:tc>
          <w:tcPr>
            <w:tcW w:type="dxa" w:w="3600"/>
          </w:tcPr>
          <w:p>
            <w:pPr>
              <w:spacing w:after="0" w:before="0" w:line="240" w:lineRule="auto"/>
              <w:jc w:val="left"/>
            </w:pPr>
            <w:r>
              <w:t>Slow response, task overruns, or timing-related issues</w:t>
            </w:r>
          </w:p>
        </w:tc>
        <w:tc>
          <w:tcPr>
            <w:tcW w:type="dxa" w:w="3600"/>
          </w:tcPr>
          <w:p>
            <w:pPr>
              <w:spacing w:after="0" w:before="0" w:line="240" w:lineRule="auto"/>
              <w:jc w:val="left"/>
            </w:pPr>
            <w:r>
              <w:t>Confirm actual root cause before considering CPU replacement</w:t>
            </w:r>
          </w:p>
        </w:tc>
      </w:tr>
      <w:tr>
        <w:tc>
          <w:tcPr>
            <w:tcW w:type="dxa" w:w="3600"/>
          </w:tcPr>
          <w:p>
            <w:pPr>
              <w:spacing w:after="0" w:before="0" w:line="240" w:lineRule="auto"/>
              <w:jc w:val="left"/>
            </w:pPr>
            <w:r>
              <w:t>Environmental damage</w:t>
            </w:r>
          </w:p>
        </w:tc>
        <w:tc>
          <w:tcPr>
            <w:tcW w:type="dxa" w:w="3600"/>
          </w:tcPr>
          <w:p>
            <w:pPr>
              <w:spacing w:after="0" w:before="0" w:line="240" w:lineRule="auto"/>
              <w:jc w:val="left"/>
            </w:pPr>
            <w:r>
              <w:t>Heat, contamination, moisture, vibration, or corrosion</w:t>
            </w:r>
          </w:p>
        </w:tc>
        <w:tc>
          <w:tcPr>
            <w:tcW w:type="dxa" w:w="3600"/>
          </w:tcPr>
          <w:p>
            <w:pPr>
              <w:spacing w:after="0" w:before="0" w:line="240" w:lineRule="auto"/>
              <w:jc w:val="left"/>
            </w:pPr>
            <w:r>
              <w:t>Check installation conditions and any common-cause exposure</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Replacement availability or support declines</w:t>
            </w:r>
          </w:p>
        </w:tc>
        <w:tc>
          <w:tcPr>
            <w:tcW w:type="dxa" w:w="3600"/>
          </w:tcPr>
          <w:p>
            <w:pPr>
              <w:spacing w:after="0" w:before="0" w:line="240" w:lineRule="auto"/>
              <w:jc w:val="left"/>
            </w:pPr>
            <w:r>
              <w:t>Establish a verified alternate or migration strategy</w:t>
            </w:r>
          </w:p>
        </w:tc>
      </w:tr>
    </w:tbl>
    <w:p/>
    <w:p>
      <w:r>
        <w:t>A fault indication is evidence to investigate, not automatic proof that the CPU has failed.</w:t>
      </w:r>
    </w:p>
    <w:p>
      <w:pPr>
        <w:pStyle w:val="Heading2"/>
      </w:pPr>
      <w:r>
        <w:t>11. PLC CPU Backup and Recovery Requirements</w:t>
      </w:r>
    </w:p>
    <w:p>
      <w:r>
        <w:t>A spare CPU is useful only if the control application can be restored correctly.</w:t>
      </w:r>
    </w:p>
    <w:p>
      <w:r>
        <w:t>The recovery package may include:</w:t>
      </w:r>
    </w:p>
    <w:p>
      <w:pPr>
        <w:pStyle w:val="ListBullet"/>
      </w:pPr>
      <w:r>
        <w:t>Approved PLC project file.</w:t>
      </w:r>
    </w:p>
    <w:p>
      <w:pPr>
        <w:pStyle w:val="ListBullet"/>
      </w:pPr>
      <w:r>
        <w:t>Hardware configuration.</w:t>
      </w:r>
    </w:p>
    <w:p>
      <w:pPr>
        <w:pStyle w:val="ListBullet"/>
      </w:pPr>
      <w:r>
        <w:t>Relevant source files and libraries.</w:t>
      </w:r>
    </w:p>
    <w:p>
      <w:pPr>
        <w:pStyle w:val="ListBullet"/>
      </w:pPr>
      <w:r>
        <w:t>Required firmware information.</w:t>
      </w:r>
    </w:p>
    <w:p>
      <w:pPr>
        <w:pStyle w:val="ListBullet"/>
      </w:pPr>
      <w:r>
        <w:t>Communication and network configuration records.</w:t>
      </w:r>
    </w:p>
    <w:p>
      <w:pPr>
        <w:pStyle w:val="ListBullet"/>
      </w:pPr>
      <w:r>
        <w:t>Required software versions and licenses.</w:t>
      </w:r>
    </w:p>
    <w:p>
      <w:pPr>
        <w:pStyle w:val="ListBullet"/>
      </w:pPr>
      <w:r>
        <w:t>Retentive data requirements.</w:t>
      </w:r>
    </w:p>
    <w:p>
      <w:pPr>
        <w:pStyle w:val="ListBullet"/>
      </w:pPr>
      <w:r>
        <w:t>Recipe or parameter data where applicable.</w:t>
      </w:r>
    </w:p>
    <w:p>
      <w:pPr>
        <w:pStyle w:val="ListBullet"/>
      </w:pPr>
      <w:r>
        <w:t>Safety application files and associated approval records.</w:t>
      </w:r>
    </w:p>
    <w:p>
      <w:pPr>
        <w:pStyle w:val="ListBullet"/>
      </w:pPr>
      <w:r>
        <w:t>Instructions for restoring the configuration.</w:t>
      </w:r>
    </w:p>
    <w:p>
      <w:pPr>
        <w:pStyle w:val="ListBullet"/>
      </w:pPr>
      <w:r>
        <w:t>Verification and commissioning checklist.</w:t>
      </w:r>
    </w:p>
    <w:p>
      <w:pPr>
        <w:pStyle w:val="ListBullet"/>
      </w:pPr>
      <w:r>
        <w:t>Backup date and revision history.</w:t>
      </w:r>
    </w:p>
    <w:p>
      <w:r>
        <w:t>Store backups in an approved, access-controlled location with version history and tested recovery procedures.</w:t>
      </w:r>
    </w:p>
    <w:p>
      <w:r>
        <w:t>Do not assume that uploading a program from the installed CPU will recover all original engineering information, comments, symbols, source files, or configuration details. The available recovery information depends on the controller family and how the project was originally managed.</w:t>
      </w:r>
    </w:p>
    <w:p>
      <w:pPr>
        <w:pStyle w:val="Heading2"/>
      </w:pPr>
      <w:r>
        <w:t>12. Retentive Data and Machine State</w:t>
      </w:r>
    </w:p>
    <w:p>
      <w:r>
        <w:t>Replacing a CPU can affect data that the machine expects to retain.</w:t>
      </w:r>
    </w:p>
    <w:p>
      <w:r>
        <w:t>Examples include:</w:t>
      </w:r>
    </w:p>
    <w:p>
      <w:pPr>
        <w:pStyle w:val="ListBullet"/>
      </w:pPr>
      <w:r>
        <w:t>Production counters.</w:t>
      </w:r>
    </w:p>
    <w:p>
      <w:pPr>
        <w:pStyle w:val="ListBullet"/>
      </w:pPr>
      <w:r>
        <w:t>Recipe selections.</w:t>
      </w:r>
    </w:p>
    <w:p>
      <w:pPr>
        <w:pStyle w:val="ListBullet"/>
      </w:pPr>
      <w:r>
        <w:t>Calibration-related values.</w:t>
      </w:r>
    </w:p>
    <w:p>
      <w:pPr>
        <w:pStyle w:val="ListBullet"/>
      </w:pPr>
      <w:r>
        <w:t>Machine state variables.</w:t>
      </w:r>
    </w:p>
    <w:p>
      <w:pPr>
        <w:pStyle w:val="ListBullet"/>
      </w:pPr>
      <w:r>
        <w:t>Retentive timers or counters.</w:t>
      </w:r>
    </w:p>
    <w:p>
      <w:pPr>
        <w:pStyle w:val="ListBullet"/>
      </w:pPr>
      <w:r>
        <w:t>Sequence-recovery information.</w:t>
      </w:r>
    </w:p>
    <w:p>
      <w:pPr>
        <w:pStyle w:val="ListBullet"/>
      </w:pPr>
      <w:r>
        <w:t>Communication identifiers.</w:t>
      </w:r>
    </w:p>
    <w:p>
      <w:pPr>
        <w:pStyle w:val="ListBullet"/>
      </w:pPr>
      <w:r>
        <w:t>Configuration values stored in memory.</w:t>
      </w:r>
    </w:p>
    <w:p>
      <w:r>
        <w:t>Before replacement, determine which data must be preserved, where it is stored, and how it should be restored.</w:t>
      </w:r>
    </w:p>
    <w:p>
      <w:r>
        <w:t>Do not copy all retained values blindly. Some values may represent the machine's actual state, and restoring stale values could create unsafe or incorrect behavior.</w:t>
      </w:r>
    </w:p>
    <w:p>
      <w:r>
        <w:t>The approved recovery procedure must define how the machine is returned to a known, validated state.</w:t>
      </w:r>
    </w:p>
    <w:p>
      <w:pPr>
        <w:pStyle w:val="Heading2"/>
      </w:pPr>
      <w:r>
        <w:t>13. CPU Spare Criticality Assessment</w:t>
      </w:r>
    </w:p>
    <w:p>
      <w:r>
        <w:t>The number of CPUs held in stock should reflect the actual risk rather than a universal rule such as “one spare per machine.”</w:t>
      </w:r>
    </w:p>
    <w:p>
      <w:r>
        <w:t>Consider:</w:t>
      </w:r>
    </w:p>
    <w:p>
      <w:pPr>
        <w:pStyle w:val="ListBullet"/>
      </w:pPr>
      <w:r>
        <w:t>Machine criticality.</w:t>
      </w:r>
    </w:p>
    <w:p>
      <w:pPr>
        <w:pStyle w:val="ListBullet"/>
      </w:pPr>
      <w:r>
        <w:t>Production downtime consequence.</w:t>
      </w:r>
    </w:p>
    <w:p>
      <w:pPr>
        <w:pStyle w:val="ListBullet"/>
      </w:pPr>
      <w:r>
        <w:t>Number of installed CPUs of the same exact model.</w:t>
      </w:r>
    </w:p>
    <w:p>
      <w:pPr>
        <w:pStyle w:val="ListBullet"/>
      </w:pPr>
      <w:r>
        <w:t>Compatibility across the installed population.</w:t>
      </w:r>
    </w:p>
    <w:p>
      <w:pPr>
        <w:pStyle w:val="ListBullet"/>
      </w:pPr>
      <w:r>
        <w:t>Failure history.</w:t>
      </w:r>
    </w:p>
    <w:p>
      <w:pPr>
        <w:pStyle w:val="ListBullet"/>
      </w:pPr>
      <w:r>
        <w:t>Manufacturer lead time.</w:t>
      </w:r>
    </w:p>
    <w:p>
      <w:pPr>
        <w:pStyle w:val="ListBullet"/>
      </w:pPr>
      <w:r>
        <w:t>Availability of repair services.</w:t>
      </w:r>
    </w:p>
    <w:p>
      <w:pPr>
        <w:pStyle w:val="ListBullet"/>
      </w:pPr>
      <w:r>
        <w:t>Availability of an approved alternate.</w:t>
      </w:r>
    </w:p>
    <w:p>
      <w:pPr>
        <w:pStyle w:val="ListBullet"/>
      </w:pPr>
      <w:r>
        <w:t>Obsolescence status.</w:t>
      </w:r>
    </w:p>
    <w:p>
      <w:pPr>
        <w:pStyle w:val="ListBullet"/>
      </w:pPr>
      <w:r>
        <w:t>Time required to restore the program.</w:t>
      </w:r>
    </w:p>
    <w:p>
      <w:pPr>
        <w:pStyle w:val="ListBullet"/>
      </w:pPr>
      <w:r>
        <w:t>Availability and test status of backups.</w:t>
      </w:r>
    </w:p>
    <w:p>
      <w:pPr>
        <w:pStyle w:val="ListBullet"/>
      </w:pPr>
      <w:r>
        <w:t>Consequences of common-cause failure.</w:t>
      </w:r>
    </w:p>
    <w:p>
      <w:pPr>
        <w:pStyle w:val="ListBullet"/>
      </w:pPr>
      <w:r>
        <w:t>Whether the CPU belongs to a safety or redundant system.</w:t>
      </w:r>
    </w:p>
    <w:p>
      <w:r>
        <w:t>For example, one spare CPU may cover several machines only if the spare is compatible with each application and the stock is not simultaneously required by more than one failure.</w:t>
      </w:r>
    </w:p>
    <w:p>
      <w:pPr>
        <w:pStyle w:val="Heading2"/>
      </w:pPr>
      <w:r>
        <w:t>14. Installed Population and Spare Coverage</w:t>
      </w:r>
    </w:p>
    <w:p>
      <w:r>
        <w:t>Installed-base data can establish how many machines depend on a particular CPU model.</w:t>
      </w:r>
    </w:p>
    <w:p>
      <w:r>
        <w:t>A useful descriptive measure is:</w:t>
      </w:r>
    </w:p>
    <w:p>
      <w:pPr>
        <w:spacing w:before="120" w:after="160"/>
        <w:jc w:val="center"/>
      </w:pPr>
      <m:oMathPara>
        <m:oMath>
          <m:r>
            <m:rPr>
              <m:nor/>
            </m:rPr>
            <m:t>Installed population</m:t>
          </m:r>
          <m:r>
            <m:t>=</m:t>
          </m:r>
          <m:r>
            <m:rPr>
              <m:nor/>
            </m:rPr>
            <m:t>Count of verified installed CPU instances</m:t>
          </m:r>
        </m:oMath>
      </m:oMathPara>
    </w:p>
    <w:p>
      <w:r>
        <w:t>For a defined equipment scope:</w:t>
      </w:r>
    </w:p>
    <w:p>
      <w:pPr>
        <w:spacing w:before="120" w:after="160"/>
        <w:jc w:val="center"/>
      </w:pPr>
      <m:oMathPara>
        <m:oMath>
          <m:r>
            <m:rPr>
              <m:nor/>
            </m:rPr>
            <m:t>Spare coverage ratio</m:t>
          </m:r>
          <m:r>
            <m:t>=</m:t>
          </m:r>
          <m:f>
            <m:fPr>
              <m:type m:val="bar"/>
            </m:fPr>
            <m:num>
              <m:r>
                <m:rPr>
                  <m:nor/>
                </m:rPr>
                <m:t>Available compatible spare CPUs</m:t>
              </m:r>
            </m:num>
            <m:den>
              <m:r>
                <m:rPr>
                  <m:nor/>
                </m:rPr>
                <m:t>Verified installed CPU population</m:t>
              </m:r>
            </m:den>
          </m:f>
        </m:oMath>
      </m:oMathPara>
    </w:p>
    <w:p>
      <w:r>
        <w:t>This ratio is only a simple inventory indicator. It does not establish whether the stock quantity is sufficient, because failure probability, lead time, repairability, simultaneous failures, and machine criticality also matter.</w:t>
      </w:r>
    </w:p>
    <w:p>
      <w:r>
        <w:t>Count only compatible spare units that are actually available for use. Units awaiting repair, reserved for other applications, or awaiting verification should not automatically be counted as available stock.</w:t>
      </w:r>
    </w:p>
    <w:p>
      <w:pPr>
        <w:pStyle w:val="Heading2"/>
      </w:pPr>
      <w:r>
        <w:t>15. Obsolescence Management for PLC CPUs</w:t>
      </w:r>
    </w:p>
    <w:p>
      <w:r>
        <w:t>Legacy PLC CPUs create long-term maintenance risk because the controller may remain operational long after its manufacturer support, replacement availability, or engineering software support has declined.</w:t>
      </w:r>
    </w:p>
    <w:p>
      <w:r>
        <w:t>An obsolescence assessment should capture:</w:t>
      </w:r>
    </w:p>
    <w:p>
      <w:pPr>
        <w:pStyle w:val="ListBullet"/>
      </w:pPr>
      <w:r>
        <w:t>Exact CPU catalog number.</w:t>
      </w:r>
    </w:p>
    <w:p>
      <w:pPr>
        <w:pStyle w:val="ListBullet"/>
      </w:pPr>
      <w:r>
        <w:t>Number of installed instances.</w:t>
      </w:r>
    </w:p>
    <w:p>
      <w:pPr>
        <w:pStyle w:val="ListBullet"/>
      </w:pPr>
      <w:r>
        <w:t>Manufacturer lifecycle status.</w:t>
      </w:r>
    </w:p>
    <w:p>
      <w:pPr>
        <w:pStyle w:val="ListBullet"/>
      </w:pPr>
      <w:r>
        <w:t>Availability of new and refurbished units.</w:t>
      </w:r>
    </w:p>
    <w:p>
      <w:pPr>
        <w:pStyle w:val="ListBullet"/>
      </w:pPr>
      <w:r>
        <w:t>Repair capability.</w:t>
      </w:r>
    </w:p>
    <w:p>
      <w:pPr>
        <w:pStyle w:val="ListBullet"/>
      </w:pPr>
      <w:r>
        <w:t>Engineering software availability.</w:t>
      </w:r>
    </w:p>
    <w:p>
      <w:pPr>
        <w:pStyle w:val="ListBullet"/>
      </w:pPr>
      <w:r>
        <w:t>Firmware support.</w:t>
      </w:r>
    </w:p>
    <w:p>
      <w:pPr>
        <w:pStyle w:val="ListBullet"/>
      </w:pPr>
      <w:r>
        <w:t>Backup and recovery readiness.</w:t>
      </w:r>
    </w:p>
    <w:p>
      <w:pPr>
        <w:pStyle w:val="ListBullet"/>
      </w:pPr>
      <w:r>
        <w:t>Compatible successor products.</w:t>
      </w:r>
    </w:p>
    <w:p>
      <w:pPr>
        <w:pStyle w:val="ListBullet"/>
      </w:pPr>
      <w:r>
        <w:t>Migration complexity.</w:t>
      </w:r>
    </w:p>
    <w:p>
      <w:pPr>
        <w:pStyle w:val="ListBullet"/>
      </w:pPr>
      <w:r>
        <w:t>Production and safety consequences.</w:t>
      </w:r>
    </w:p>
    <w:p>
      <w:pPr>
        <w:pStyle w:val="ListBullet"/>
      </w:pPr>
      <w:r>
        <w:t>Estimated replacement project cost.</w:t>
      </w:r>
    </w:p>
    <w:p>
      <w:pPr>
        <w:pStyle w:val="ListBullet"/>
      </w:pPr>
      <w:r>
        <w:t>Required shutdown and commissioning time.</w:t>
      </w:r>
    </w:p>
    <w:p>
      <w:r>
        <w:t>Lifecycle status should be based on verified manufacturer information rather than assumptions based on product age alone.</w:t>
      </w:r>
    </w:p>
    <w:p>
      <w:r>
        <w:t>An obsolete CPU that can still be repaired may require a different strategy from one that has no practical repair, supply, or recovery route.</w:t>
      </w:r>
    </w:p>
    <w:p>
      <w:pPr>
        <w:pStyle w:val="Heading2"/>
      </w:pPr>
      <w:r>
        <w:t>16. Repair Versus Replacement Decision</w:t>
      </w:r>
    </w:p>
    <w:p>
      <w:r>
        <w:t>CPU repair can be appropriate when the fault is repairable, the repair provider has suitable capability, and the result can be validated for the intended application.</w:t>
      </w:r>
    </w:p>
    <w:p>
      <w:r>
        <w:t>Consider:</w:t>
      </w:r>
    </w:p>
    <w:p>
      <w:pPr>
        <w:pStyle w:val="ListBullet"/>
      </w:pPr>
      <w:r>
        <w:t>Repair cost.</w:t>
      </w:r>
    </w:p>
    <w:p>
      <w:pPr>
        <w:pStyle w:val="ListBullet"/>
      </w:pPr>
      <w:r>
        <w:t>Repair turnaround time.</w:t>
      </w:r>
    </w:p>
    <w:p>
      <w:pPr>
        <w:pStyle w:val="ListBullet"/>
      </w:pPr>
      <w:r>
        <w:t>Probability of successful repair.</w:t>
      </w:r>
    </w:p>
    <w:p>
      <w:pPr>
        <w:pStyle w:val="ListBullet"/>
      </w:pPr>
      <w:r>
        <w:t>Availability of replacement parts.</w:t>
      </w:r>
    </w:p>
    <w:p>
      <w:pPr>
        <w:pStyle w:val="ListBullet"/>
      </w:pPr>
      <w:r>
        <w:t>Warranty on the repair.</w:t>
      </w:r>
    </w:p>
    <w:p>
      <w:pPr>
        <w:pStyle w:val="ListBullet"/>
      </w:pPr>
      <w:r>
        <w:t>Data and configuration recovery requirements.</w:t>
      </w:r>
    </w:p>
    <w:p>
      <w:pPr>
        <w:pStyle w:val="ListBullet"/>
      </w:pPr>
      <w:r>
        <w:t>Product lifecycle status.</w:t>
      </w:r>
    </w:p>
    <w:p>
      <w:pPr>
        <w:pStyle w:val="ListBullet"/>
      </w:pPr>
      <w:r>
        <w:t>Consequence of another failure.</w:t>
      </w:r>
    </w:p>
    <w:p>
      <w:pPr>
        <w:pStyle w:val="ListBullet"/>
      </w:pPr>
      <w:r>
        <w:t>Availability of a tested spare.</w:t>
      </w:r>
    </w:p>
    <w:p>
      <w:pPr>
        <w:pStyle w:val="ListBullet"/>
      </w:pPr>
      <w:r>
        <w:t>Long-term modernization plan.</w:t>
      </w:r>
    </w:p>
    <w:p>
      <w:r>
        <w:t>For critical controllers, a repaired unit should be subjected to appropriate inspection and validation before returning to the spare pool.</w:t>
      </w:r>
    </w:p>
    <w:p>
      <w:r>
        <w:t>A repaired CPU must be identified and tracked by serial number where available, with its repair history and test status recorded.</w:t>
      </w:r>
    </w:p>
    <w:p>
      <w:pPr>
        <w:pStyle w:val="Heading2"/>
      </w:pPr>
      <w:r>
        <w:t>17. Recommended PLC CPU Spare Register</w:t>
      </w:r>
    </w:p>
    <w:p>
      <w:r>
        <w:t>A practical register should link the spare material to the actual installed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purpose</w:t>
            </w:r>
          </w:p>
        </w:tc>
      </w:tr>
      <w:tr>
        <w:tc>
          <w:tcPr>
            <w:tcW w:type="dxa" w:w="5400"/>
          </w:tcPr>
          <w:p>
            <w:pPr>
              <w:spacing w:after="0" w:before="0" w:line="240" w:lineRule="auto"/>
              <w:jc w:val="left"/>
            </w:pPr>
            <w:r>
              <w:t>Spare Material Number</w:t>
            </w:r>
          </w:p>
        </w:tc>
        <w:tc>
          <w:tcPr>
            <w:tcW w:type="dxa" w:w="5400"/>
          </w:tcPr>
          <w:p>
            <w:pPr>
              <w:spacing w:after="0" w:before="0" w:line="240" w:lineRule="auto"/>
              <w:jc w:val="left"/>
            </w:pPr>
            <w:r>
              <w:t>SAP material identifier</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Siemens, Rockwell Automation, Mitsubishi Electric, or other</w:t>
            </w:r>
          </w:p>
        </w:tc>
      </w:tr>
      <w:tr>
        <w:tc>
          <w:tcPr>
            <w:tcW w:type="dxa" w:w="5400"/>
          </w:tcPr>
          <w:p>
            <w:pPr>
              <w:spacing w:after="0" w:before="0" w:line="240" w:lineRule="auto"/>
              <w:jc w:val="left"/>
            </w:pPr>
            <w:r>
              <w:t>CPU Catalog Number</w:t>
            </w:r>
          </w:p>
        </w:tc>
        <w:tc>
          <w:tcPr>
            <w:tcW w:type="dxa" w:w="5400"/>
          </w:tcPr>
          <w:p>
            <w:pPr>
              <w:spacing w:after="0" w:before="0" w:line="240" w:lineRule="auto"/>
              <w:jc w:val="left"/>
            </w:pPr>
            <w:r>
              <w:t>Exact manufacturer order number</w:t>
            </w:r>
          </w:p>
        </w:tc>
      </w:tr>
      <w:tr>
        <w:tc>
          <w:tcPr>
            <w:tcW w:type="dxa" w:w="5400"/>
          </w:tcPr>
          <w:p>
            <w:pPr>
              <w:spacing w:after="0" w:before="0" w:line="240" w:lineRule="auto"/>
              <w:jc w:val="left"/>
            </w:pPr>
            <w:r>
              <w:t>Product Family</w:t>
            </w:r>
          </w:p>
        </w:tc>
        <w:tc>
          <w:tcPr>
            <w:tcW w:type="dxa" w:w="5400"/>
          </w:tcPr>
          <w:p>
            <w:pPr>
              <w:spacing w:after="0" w:before="0" w:line="240" w:lineRule="auto"/>
              <w:jc w:val="left"/>
            </w:pPr>
            <w:r>
              <w:t>Controller family</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Verified revision where applicable</w:t>
            </w:r>
          </w:p>
        </w:tc>
      </w:tr>
      <w:tr>
        <w:tc>
          <w:tcPr>
            <w:tcW w:type="dxa" w:w="5400"/>
          </w:tcPr>
          <w:p>
            <w:pPr>
              <w:spacing w:after="0" w:before="0" w:line="240" w:lineRule="auto"/>
              <w:jc w:val="left"/>
            </w:pPr>
            <w:r>
              <w:t>Firmware</w:t>
            </w:r>
          </w:p>
        </w:tc>
        <w:tc>
          <w:tcPr>
            <w:tcW w:type="dxa" w:w="5400"/>
          </w:tcPr>
          <w:p>
            <w:pPr>
              <w:spacing w:after="0" w:before="0" w:line="240" w:lineRule="auto"/>
              <w:jc w:val="left"/>
            </w:pPr>
            <w:r>
              <w:t>Approved or known compatible firmware information</w:t>
            </w:r>
          </w:p>
        </w:tc>
      </w:tr>
      <w:tr>
        <w:tc>
          <w:tcPr>
            <w:tcW w:type="dxa" w:w="5400"/>
          </w:tcPr>
          <w:p>
            <w:pPr>
              <w:spacing w:after="0" w:before="0" w:line="240" w:lineRule="auto"/>
              <w:jc w:val="left"/>
            </w:pPr>
            <w:r>
              <w:t>Compatible Equipment IDs</w:t>
            </w:r>
          </w:p>
        </w:tc>
        <w:tc>
          <w:tcPr>
            <w:tcW w:type="dxa" w:w="5400"/>
          </w:tcPr>
          <w:p>
            <w:pPr>
              <w:spacing w:after="0" w:before="0" w:line="240" w:lineRule="auto"/>
              <w:jc w:val="left"/>
            </w:pPr>
            <w:r>
              <w:t>List or relationship records for supported machines</w:t>
            </w:r>
          </w:p>
        </w:tc>
      </w:tr>
      <w:tr>
        <w:tc>
          <w:tcPr>
            <w:tcW w:type="dxa" w:w="5400"/>
          </w:tcPr>
          <w:p>
            <w:pPr>
              <w:spacing w:after="0" w:before="0" w:line="240" w:lineRule="auto"/>
              <w:jc w:val="left"/>
            </w:pPr>
            <w:r>
              <w:t>Installed Population</w:t>
            </w:r>
          </w:p>
        </w:tc>
        <w:tc>
          <w:tcPr>
            <w:tcW w:type="dxa" w:w="5400"/>
          </w:tcPr>
          <w:p>
            <w:pPr>
              <w:spacing w:after="0" w:before="0" w:line="240" w:lineRule="auto"/>
              <w:jc w:val="left"/>
            </w:pPr>
            <w:r>
              <w:t>Number of verified compatible installed CPUs</w:t>
            </w:r>
          </w:p>
        </w:tc>
      </w:tr>
      <w:tr>
        <w:tc>
          <w:tcPr>
            <w:tcW w:type="dxa" w:w="5400"/>
          </w:tcPr>
          <w:p>
            <w:pPr>
              <w:spacing w:after="0" w:before="0" w:line="240" w:lineRule="auto"/>
              <w:jc w:val="left"/>
            </w:pPr>
            <w:r>
              <w:t>Spare Stock</w:t>
            </w:r>
          </w:p>
        </w:tc>
        <w:tc>
          <w:tcPr>
            <w:tcW w:type="dxa" w:w="5400"/>
          </w:tcPr>
          <w:p>
            <w:pPr>
              <w:spacing w:after="0" w:before="0" w:line="240" w:lineRule="auto"/>
              <w:jc w:val="left"/>
            </w:pPr>
            <w:r>
              <w:t>Available quantity</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Physical stock location</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Verified product lifecycle category</w:t>
            </w:r>
          </w:p>
        </w:tc>
      </w:tr>
      <w:tr>
        <w:tc>
          <w:tcPr>
            <w:tcW w:type="dxa" w:w="5400"/>
          </w:tcPr>
          <w:p>
            <w:pPr>
              <w:spacing w:after="0" w:before="0" w:line="240" w:lineRule="auto"/>
              <w:jc w:val="left"/>
            </w:pPr>
            <w:r>
              <w:t>Lead Time</w:t>
            </w:r>
          </w:p>
        </w:tc>
        <w:tc>
          <w:tcPr>
            <w:tcW w:type="dxa" w:w="5400"/>
          </w:tcPr>
          <w:p>
            <w:pPr>
              <w:spacing w:after="0" w:before="0" w:line="240" w:lineRule="auto"/>
              <w:jc w:val="left"/>
            </w:pPr>
            <w:r>
              <w:t>Current expected procurement time</w:t>
            </w:r>
          </w:p>
        </w:tc>
      </w:tr>
      <w:tr>
        <w:tc>
          <w:tcPr>
            <w:tcW w:type="dxa" w:w="5400"/>
          </w:tcPr>
          <w:p>
            <w:pPr>
              <w:spacing w:after="0" w:before="0" w:line="240" w:lineRule="auto"/>
              <w:jc w:val="left"/>
            </w:pPr>
            <w:r>
              <w:t>Repairable</w:t>
            </w:r>
          </w:p>
        </w:tc>
        <w:tc>
          <w:tcPr>
            <w:tcW w:type="dxa" w:w="5400"/>
          </w:tcPr>
          <w:p>
            <w:pPr>
              <w:spacing w:after="0" w:before="0" w:line="240" w:lineRule="auto"/>
              <w:jc w:val="left"/>
            </w:pPr>
            <w:r>
              <w:t>Whether an approved repair route exists</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Validated replacement or migration reference</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Controlled project and recovery package location</w:t>
            </w:r>
          </w:p>
        </w:tc>
      </w:tr>
      <w:tr>
        <w:tc>
          <w:tcPr>
            <w:tcW w:type="dxa" w:w="5400"/>
          </w:tcPr>
          <w:p>
            <w:pPr>
              <w:spacing w:after="0" w:before="0" w:line="240" w:lineRule="auto"/>
              <w:jc w:val="left"/>
            </w:pPr>
            <w:r>
              <w:t>Last Verification Date</w:t>
            </w:r>
          </w:p>
        </w:tc>
        <w:tc>
          <w:tcPr>
            <w:tcW w:type="dxa" w:w="5400"/>
          </w:tcPr>
          <w:p>
            <w:pPr>
              <w:spacing w:after="0" w:before="0" w:line="240" w:lineRule="auto"/>
              <w:jc w:val="left"/>
            </w:pPr>
            <w:r>
              <w:t>Last technical and inventory review</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Accountable maintenance or engineering function</w:t>
            </w:r>
          </w:p>
        </w:tc>
      </w:tr>
    </w:tbl>
    <w:p/>
    <w:p>
      <w:r>
        <w:t>For a large plant, maintain individual machine relationships in a separate compatibility table rather than storing all equipment IDs in one free-text field.</w:t>
      </w:r>
    </w:p>
    <w:p>
      <w:pPr>
        <w:pStyle w:val="Heading2"/>
      </w:pPr>
      <w:r>
        <w:t>18. Example: PLC CPU Spare Mapping</w:t>
      </w:r>
    </w:p>
    <w:p>
      <w:r>
        <w:t>Consider a hypothetical plant with the following controller population.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Equipment ID</w:t>
            </w:r>
          </w:p>
        </w:tc>
        <w:tc>
          <w:tcPr>
            <w:tcW w:type="dxa" w:w="2160"/>
            <w:shd w:val="clear" w:color="auto" w:fill="EEF2F7"/>
          </w:tcPr>
          <w:p>
            <w:pPr>
              <w:spacing w:after="0" w:before="0" w:line="240" w:lineRule="auto"/>
              <w:jc w:val="left"/>
            </w:pPr>
            <w:r>
              <w:rPr>
                <w:b/>
                <w:color w:val="1A2E4A"/>
              </w:rPr>
              <w:t>Installed CPU</w:t>
            </w:r>
          </w:p>
        </w:tc>
        <w:tc>
          <w:tcPr>
            <w:tcW w:type="dxa" w:w="2160"/>
            <w:shd w:val="clear" w:color="auto" w:fill="EEF2F7"/>
          </w:tcPr>
          <w:p>
            <w:pPr>
              <w:spacing w:after="0" w:before="0" w:line="240" w:lineRule="auto"/>
              <w:jc w:val="left"/>
            </w:pPr>
            <w:r>
              <w:rPr>
                <w:b/>
                <w:color w:val="1A2E4A"/>
              </w:rPr>
              <w:t>Firmware</w:t>
            </w:r>
          </w:p>
        </w:tc>
        <w:tc>
          <w:tcPr>
            <w:tcW w:type="dxa" w:w="2160"/>
            <w:shd w:val="clear" w:color="auto" w:fill="EEF2F7"/>
          </w:tcPr>
          <w:p>
            <w:pPr>
              <w:spacing w:after="0" w:before="0" w:line="240" w:lineRule="auto"/>
              <w:jc w:val="left"/>
            </w:pPr>
            <w:r>
              <w:rPr>
                <w:b/>
                <w:color w:val="1A2E4A"/>
              </w:rPr>
              <w:t>Spare material</w:t>
            </w:r>
          </w:p>
        </w:tc>
        <w:tc>
          <w:tcPr>
            <w:tcW w:type="dxa" w:w="2160"/>
            <w:shd w:val="clear" w:color="auto" w:fill="EEF2F7"/>
          </w:tcPr>
          <w:p>
            <w:pPr>
              <w:spacing w:after="0" w:before="0" w:line="240" w:lineRule="auto"/>
              <w:jc w:val="left"/>
            </w:pPr>
            <w:r>
              <w:rPr>
                <w:b/>
                <w:color w:val="1A2E4A"/>
              </w:rPr>
              <w:t>Compatibility status</w:t>
            </w:r>
          </w:p>
        </w:tc>
      </w:tr>
      <w:tr>
        <w:tc>
          <w:tcPr>
            <w:tcW w:type="dxa" w:w="2160"/>
          </w:tcPr>
          <w:p>
            <w:pPr>
              <w:spacing w:after="0" w:before="0" w:line="240" w:lineRule="auto"/>
              <w:jc w:val="left"/>
            </w:pPr>
            <w:r>
              <w:t>CH-101</w:t>
            </w:r>
          </w:p>
        </w:tc>
        <w:tc>
          <w:tcPr>
            <w:tcW w:type="dxa" w:w="2160"/>
          </w:tcPr>
          <w:p>
            <w:pPr>
              <w:spacing w:after="0" w:before="0" w:line="240" w:lineRule="auto"/>
              <w:jc w:val="left"/>
            </w:pPr>
            <w:r>
              <w:t>CPU-A</w:t>
            </w:r>
          </w:p>
        </w:tc>
        <w:tc>
          <w:tcPr>
            <w:tcW w:type="dxa" w:w="2160"/>
          </w:tcPr>
          <w:p>
            <w:pPr>
              <w:spacing w:after="0" w:before="0" w:line="240" w:lineRule="auto"/>
              <w:jc w:val="left"/>
            </w:pPr>
            <w:r>
              <w:t>Version 2.x</w:t>
            </w:r>
          </w:p>
        </w:tc>
        <w:tc>
          <w:tcPr>
            <w:tcW w:type="dxa" w:w="2160"/>
          </w:tcPr>
          <w:p>
            <w:pPr>
              <w:spacing w:after="0" w:before="0" w:line="240" w:lineRule="auto"/>
              <w:jc w:val="left"/>
            </w:pPr>
            <w:r>
              <w:t>MAT-PLC-001</w:t>
            </w:r>
          </w:p>
        </w:tc>
        <w:tc>
          <w:tcPr>
            <w:tcW w:type="dxa" w:w="2160"/>
          </w:tcPr>
          <w:p>
            <w:pPr>
              <w:spacing w:after="0" w:before="0" w:line="240" w:lineRule="auto"/>
              <w:jc w:val="left"/>
            </w:pPr>
            <w:r>
              <w:t>Approved</w:t>
            </w:r>
          </w:p>
        </w:tc>
      </w:tr>
      <w:tr>
        <w:tc>
          <w:tcPr>
            <w:tcW w:type="dxa" w:w="2160"/>
          </w:tcPr>
          <w:p>
            <w:pPr>
              <w:spacing w:after="0" w:before="0" w:line="240" w:lineRule="auto"/>
              <w:jc w:val="left"/>
            </w:pPr>
            <w:r>
              <w:t>CH-102</w:t>
            </w:r>
          </w:p>
        </w:tc>
        <w:tc>
          <w:tcPr>
            <w:tcW w:type="dxa" w:w="2160"/>
          </w:tcPr>
          <w:p>
            <w:pPr>
              <w:spacing w:after="0" w:before="0" w:line="240" w:lineRule="auto"/>
              <w:jc w:val="left"/>
            </w:pPr>
            <w:r>
              <w:t>CPU-A</w:t>
            </w:r>
          </w:p>
        </w:tc>
        <w:tc>
          <w:tcPr>
            <w:tcW w:type="dxa" w:w="2160"/>
          </w:tcPr>
          <w:p>
            <w:pPr>
              <w:spacing w:after="0" w:before="0" w:line="240" w:lineRule="auto"/>
              <w:jc w:val="left"/>
            </w:pPr>
            <w:r>
              <w:t>Version 2.x</w:t>
            </w:r>
          </w:p>
        </w:tc>
        <w:tc>
          <w:tcPr>
            <w:tcW w:type="dxa" w:w="2160"/>
          </w:tcPr>
          <w:p>
            <w:pPr>
              <w:spacing w:after="0" w:before="0" w:line="240" w:lineRule="auto"/>
              <w:jc w:val="left"/>
            </w:pPr>
            <w:r>
              <w:t>MAT-PLC-001</w:t>
            </w:r>
          </w:p>
        </w:tc>
        <w:tc>
          <w:tcPr>
            <w:tcW w:type="dxa" w:w="2160"/>
          </w:tcPr>
          <w:p>
            <w:pPr>
              <w:spacing w:after="0" w:before="0" w:line="240" w:lineRule="auto"/>
              <w:jc w:val="left"/>
            </w:pPr>
            <w:r>
              <w:t>Approved</w:t>
            </w:r>
          </w:p>
        </w:tc>
      </w:tr>
      <w:tr>
        <w:tc>
          <w:tcPr>
            <w:tcW w:type="dxa" w:w="2160"/>
          </w:tcPr>
          <w:p>
            <w:pPr>
              <w:spacing w:after="0" w:before="0" w:line="240" w:lineRule="auto"/>
              <w:jc w:val="left"/>
            </w:pPr>
            <w:r>
              <w:t>CH-103</w:t>
            </w:r>
          </w:p>
        </w:tc>
        <w:tc>
          <w:tcPr>
            <w:tcW w:type="dxa" w:w="2160"/>
          </w:tcPr>
          <w:p>
            <w:pPr>
              <w:spacing w:after="0" w:before="0" w:line="240" w:lineRule="auto"/>
              <w:jc w:val="left"/>
            </w:pPr>
            <w:r>
              <w:t>CPU-B</w:t>
            </w:r>
          </w:p>
        </w:tc>
        <w:tc>
          <w:tcPr>
            <w:tcW w:type="dxa" w:w="2160"/>
          </w:tcPr>
          <w:p>
            <w:pPr>
              <w:spacing w:after="0" w:before="0" w:line="240" w:lineRule="auto"/>
              <w:jc w:val="left"/>
            </w:pPr>
            <w:r>
              <w:t>Version 4.x</w:t>
            </w:r>
          </w:p>
        </w:tc>
        <w:tc>
          <w:tcPr>
            <w:tcW w:type="dxa" w:w="2160"/>
          </w:tcPr>
          <w:p>
            <w:pPr>
              <w:spacing w:after="0" w:before="0" w:line="240" w:lineRule="auto"/>
              <w:jc w:val="left"/>
            </w:pPr>
            <w:r>
              <w:t>MAT-PLC-002</w:t>
            </w:r>
          </w:p>
        </w:tc>
        <w:tc>
          <w:tcPr>
            <w:tcW w:type="dxa" w:w="2160"/>
          </w:tcPr>
          <w:p>
            <w:pPr>
              <w:spacing w:after="0" w:before="0" w:line="240" w:lineRule="auto"/>
              <w:jc w:val="left"/>
            </w:pPr>
            <w:r>
              <w:t>Approved</w:t>
            </w:r>
          </w:p>
        </w:tc>
      </w:tr>
      <w:tr>
        <w:tc>
          <w:tcPr>
            <w:tcW w:type="dxa" w:w="2160"/>
          </w:tcPr>
          <w:p>
            <w:pPr>
              <w:spacing w:after="0" w:before="0" w:line="240" w:lineRule="auto"/>
              <w:jc w:val="left"/>
            </w:pPr>
            <w:r>
              <w:t>CH-104</w:t>
            </w:r>
          </w:p>
        </w:tc>
        <w:tc>
          <w:tcPr>
            <w:tcW w:type="dxa" w:w="2160"/>
          </w:tcPr>
          <w:p>
            <w:pPr>
              <w:spacing w:after="0" w:before="0" w:line="240" w:lineRule="auto"/>
              <w:jc w:val="left"/>
            </w:pPr>
            <w:r>
              <w:t>CPU-A</w:t>
            </w:r>
          </w:p>
        </w:tc>
        <w:tc>
          <w:tcPr>
            <w:tcW w:type="dxa" w:w="2160"/>
          </w:tcPr>
          <w:p>
            <w:pPr>
              <w:spacing w:after="0" w:before="0" w:line="240" w:lineRule="auto"/>
              <w:jc w:val="left"/>
            </w:pPr>
            <w:r>
              <w:t>Version 3.x</w:t>
            </w:r>
          </w:p>
        </w:tc>
        <w:tc>
          <w:tcPr>
            <w:tcW w:type="dxa" w:w="2160"/>
          </w:tcPr>
          <w:p>
            <w:pPr>
              <w:spacing w:after="0" w:before="0" w:line="240" w:lineRule="auto"/>
              <w:jc w:val="left"/>
            </w:pPr>
            <w:r>
              <w:t>MAT-PLC-001</w:t>
            </w:r>
          </w:p>
        </w:tc>
        <w:tc>
          <w:tcPr>
            <w:tcW w:type="dxa" w:w="2160"/>
          </w:tcPr>
          <w:p>
            <w:pPr>
              <w:spacing w:after="0" w:before="0" w:line="240" w:lineRule="auto"/>
              <w:jc w:val="left"/>
            </w:pPr>
            <w:r>
              <w:t>Conditional</w:t>
            </w:r>
          </w:p>
        </w:tc>
      </w:tr>
    </w:tbl>
    <w:p/>
    <w:p>
      <w:r>
        <w:t xml:space="preserve">The table is illustrative. </w:t>
      </w:r>
      <w:r>
        <w:rPr>
          <w:rFonts w:ascii="Consolas" w:hAnsi="Consolas"/>
          <w:color w:val="333333"/>
          <w:sz w:val="19"/>
          <w:shd w:val="clear" w:color="auto" w:fill="EFEFEF"/>
        </w:rPr>
        <w:t>CPU-A</w:t>
      </w:r>
      <w:r>
        <w:t xml:space="preserve"> and </w:t>
      </w:r>
      <w:r>
        <w:rPr>
          <w:rFonts w:ascii="Consolas" w:hAnsi="Consolas"/>
          <w:color w:val="333333"/>
          <w:sz w:val="19"/>
          <w:shd w:val="clear" w:color="auto" w:fill="EFEFEF"/>
        </w:rPr>
        <w:t>CPU-B</w:t>
      </w:r>
      <w:r>
        <w:t xml:space="preserve"> are fictional identifiers, not real manufacturer catalog numbers.</w:t>
      </w:r>
    </w:p>
    <w:p>
      <w:r>
        <w:t>Even though CH-104 uses CPU-A, the replacement relationship is conditional because the installed firmware or application configuration may require additional verification.</w:t>
      </w:r>
    </w:p>
    <w:p>
      <w:r>
        <w:t>Before using the spare on CH-104, the responsible engineer must verify the applicable conditions and follow the approved replacement procedure.</w:t>
      </w:r>
    </w:p>
    <w:p>
      <w:pPr>
        <w:pStyle w:val="Heading2"/>
      </w:pPr>
      <w:r>
        <w:t>19. Practical PLC CPU Spare Selection Checklist</w:t>
      </w:r>
    </w:p>
    <w:p>
      <w:pPr>
        <w:pStyle w:val="ListBullet"/>
      </w:pPr>
      <w:r>
        <w:t>Confirm the failed component is actually the CPU.</w:t>
      </w:r>
    </w:p>
    <w:p>
      <w:pPr>
        <w:pStyle w:val="ListBullet"/>
      </w:pPr>
      <w:r>
        <w:t>Record the exact manufacturer and catalog number.</w:t>
      </w:r>
    </w:p>
    <w:p>
      <w:pPr>
        <w:pStyle w:val="ListBullet"/>
      </w:pPr>
      <w:r>
        <w:t>Verify hardware revision and firmware requirements.</w:t>
      </w:r>
    </w:p>
    <w:p>
      <w:pPr>
        <w:pStyle w:val="ListBullet"/>
      </w:pPr>
      <w:r>
        <w:t>Confirm engineering software compatibility.</w:t>
      </w:r>
    </w:p>
    <w:p>
      <w:pPr>
        <w:pStyle w:val="ListBullet"/>
      </w:pPr>
      <w:r>
        <w:t>Verify rack, power supply, and module compatibility.</w:t>
      </w:r>
    </w:p>
    <w:p>
      <w:pPr>
        <w:pStyle w:val="ListBullet"/>
      </w:pPr>
      <w:r>
        <w:t>Check communication interfaces and protocols.</w:t>
      </w:r>
    </w:p>
    <w:p>
      <w:pPr>
        <w:pStyle w:val="ListBullet"/>
      </w:pPr>
      <w:r>
        <w:t>Confirm memory and performance requirements.</w:t>
      </w:r>
    </w:p>
    <w:p>
      <w:pPr>
        <w:pStyle w:val="ListBullet"/>
      </w:pPr>
      <w:r>
        <w:t>Identify safety, motion, redundancy, or special functions.</w:t>
      </w:r>
    </w:p>
    <w:p>
      <w:pPr>
        <w:pStyle w:val="ListBullet"/>
      </w:pPr>
      <w:r>
        <w:t>Confirm the availability and revision of the approved project backup.</w:t>
      </w:r>
    </w:p>
    <w:p>
      <w:pPr>
        <w:pStyle w:val="ListBullet"/>
      </w:pPr>
      <w:r>
        <w:t>Identify required retained data and restoration steps.</w:t>
      </w:r>
    </w:p>
    <w:p>
      <w:pPr>
        <w:pStyle w:val="ListBullet"/>
      </w:pPr>
      <w:r>
        <w:t>Check the spare's physical condition and verification status.</w:t>
      </w:r>
    </w:p>
    <w:p>
      <w:pPr>
        <w:pStyle w:val="ListBullet"/>
      </w:pPr>
      <w:r>
        <w:t>Confirm approved compatibility for the target equipment.</w:t>
      </w:r>
    </w:p>
    <w:p>
      <w:pPr>
        <w:pStyle w:val="ListBullet"/>
      </w:pPr>
      <w:r>
        <w:t>Follow isolation and manufacturer-approved replacement procedures.</w:t>
      </w:r>
    </w:p>
    <w:p>
      <w:pPr>
        <w:pStyle w:val="ListBullet"/>
      </w:pPr>
      <w:r>
        <w:t>Restore configuration using the controlled recovery procedure.</w:t>
      </w:r>
    </w:p>
    <w:p>
      <w:pPr>
        <w:pStyle w:val="ListBullet"/>
      </w:pPr>
      <w:r>
        <w:t>Perform required functional and safety validation before release.</w:t>
      </w:r>
    </w:p>
    <w:p>
      <w:pPr>
        <w:pStyle w:val="ListBullet"/>
      </w:pPr>
      <w:r>
        <w:t>Update equipment, material, serial-number, and maintenance records.</w:t>
      </w:r>
    </w:p>
    <w:p>
      <w:pPr>
        <w:pStyle w:val="Heading2"/>
      </w:pPr>
      <w:r>
        <w:t>20. Common Mistakes</w:t>
      </w:r>
    </w:p>
    <w:p>
      <w:pPr>
        <w:pStyle w:val="ListBullet"/>
      </w:pPr>
      <w:r>
        <w:t>Ordering a CPU based only on the manufacturer or family name.</w:t>
      </w:r>
    </w:p>
    <w:p>
      <w:pPr>
        <w:pStyle w:val="ListBullet"/>
      </w:pPr>
      <w:r>
        <w:t>Ignoring firmware and engineering software compatibility.</w:t>
      </w:r>
    </w:p>
    <w:p>
      <w:pPr>
        <w:pStyle w:val="ListBullet"/>
      </w:pPr>
      <w:r>
        <w:t>Assuming a newer CPU is a direct replacement.</w:t>
      </w:r>
    </w:p>
    <w:p>
      <w:pPr>
        <w:pStyle w:val="ListBullet"/>
      </w:pPr>
      <w:r>
        <w:t>Failing to preserve the approved project backup.</w:t>
      </w:r>
    </w:p>
    <w:p>
      <w:pPr>
        <w:pStyle w:val="ListBullet"/>
      </w:pPr>
      <w:r>
        <w:t>Ignoring retentive data and recovery requirements.</w:t>
      </w:r>
    </w:p>
    <w:p>
      <w:pPr>
        <w:pStyle w:val="ListBullet"/>
      </w:pPr>
      <w:r>
        <w:t>Treating a CPU communication fault as proof of CPU failure.</w:t>
      </w:r>
    </w:p>
    <w:p>
      <w:pPr>
        <w:pStyle w:val="ListBullet"/>
      </w:pPr>
      <w:r>
        <w:t>Replacing a safety CPU with a standard CPU.</w:t>
      </w:r>
    </w:p>
    <w:p>
      <w:pPr>
        <w:pStyle w:val="ListBullet"/>
      </w:pPr>
      <w:r>
        <w:t>Assuming a spare is compatible with every machine using the same family.</w:t>
      </w:r>
    </w:p>
    <w:p>
      <w:pPr>
        <w:pStyle w:val="ListBullet"/>
      </w:pPr>
      <w:r>
        <w:t>Counting repairable but untested units as immediately available stock.</w:t>
      </w:r>
    </w:p>
    <w:p>
      <w:pPr>
        <w:pStyle w:val="ListBullet"/>
      </w:pPr>
      <w:r>
        <w:t>Failing to track serial numbers and repair history.</w:t>
      </w:r>
    </w:p>
    <w:p>
      <w:pPr>
        <w:pStyle w:val="ListBullet"/>
      </w:pPr>
      <w:r>
        <w:t>Using unverified refurbished CPUs on critical applications.</w:t>
      </w:r>
    </w:p>
    <w:p>
      <w:pPr>
        <w:pStyle w:val="ListBullet"/>
      </w:pPr>
      <w:r>
        <w:t>Failing to update the installed-base and spare-to-machine records after replacement.</w:t>
      </w:r>
    </w:p>
    <w:p>
      <w:pPr>
        <w:pStyle w:val="Heading2"/>
      </w:pPr>
      <w:r>
        <w:t>21. Interview Questions and Answers</w:t>
      </w:r>
    </w:p>
    <w:p>
      <w:r>
        <w:t>Q1. What is a PLC CPU spare?</w:t>
      </w:r>
    </w:p>
    <w:p>
      <w:r>
        <w:t>It is a replacement controller intended to restore a PLC-controlled system following CPU failure or during an approved maintenance or modernization activity.</w:t>
      </w:r>
    </w:p>
    <w:p>
      <w:r>
        <w:t>Q2. What information is most important when selecting a PLC CPU spare?</w:t>
      </w:r>
    </w:p>
    <w:p>
      <w:r>
        <w:t>The exact catalog number, hardware compatibility, firmware, engineering software, communication interfaces, memory, configured modules, application requirements, and approved recovery procedure.</w:t>
      </w:r>
    </w:p>
    <w:p>
      <w:r>
        <w:t>Q3. Can a higher-performance CPU replace a failed lower-performance CPU?</w:t>
      </w:r>
    </w:p>
    <w:p>
      <w:r>
        <w:t>Not automatically. Compatibility depends on the product family, hardware configuration, project support, firmware, communication requirements, and application constraints. The replacement must be verified and approved.</w:t>
      </w:r>
    </w:p>
    <w:p>
      <w:r>
        <w:t>Q4. Why is a PLC project backup important when keeping a CPU spare?</w:t>
      </w:r>
    </w:p>
    <w:p>
      <w:r>
        <w:t>The spare provides the hardware, while the backup and recovery procedure make it possible to restore the intended control application and configuration. A spare CPU without a usable recovery package may not restore production quickly.</w:t>
      </w:r>
    </w:p>
    <w:p>
      <w:r>
        <w:t>Q5. How do you manage an obsolete PLC CPU?</w:t>
      </w:r>
    </w:p>
    <w:p>
      <w:r>
        <w:t>Identify every installed instance, verify lifecycle and repair information, assess compatible spares, confirm backup readiness, validate any successor, and prepare a controlled migration plan when continued support is no longer viable.</w:t>
      </w:r>
    </w:p>
    <w:p>
      <w:r>
        <w:t>Q6. Should one spare CPU be shared across multiple machines?</w:t>
      </w:r>
    </w:p>
    <w:p>
      <w:r>
        <w:t>Only if it is verified as compatible with every intended application and the stock strategy accounts for simultaneous demand and machine criticality.</w:t>
      </w:r>
    </w:p>
    <w:p>
      <w:r>
        <w:t>Q7. What should be checked after replacing a PLC CPU?</w:t>
      </w:r>
    </w:p>
    <w:p>
      <w:r>
        <w:t>Verify the correct hardware and configuration, restore the approved project and required data, check communications and I/O behavior, test relevant machine sequences and interlocks, perform required safety validation, and document the work before releasing the machine.</w:t>
      </w:r>
    </w:p>
    <w:p>
      <w:pPr>
        <w:pStyle w:val="Heading2"/>
      </w:pPr>
      <w:r>
        <w:t>22. Expected Outcome</w:t>
      </w:r>
    </w:p>
    <w:p>
      <w:r>
        <w:t>A complete PLC CPU spare strategy provides verified replacement identification, application compatibility, stock visibility, lifecycle risk information, and a controlled recovery method.</w:t>
      </w:r>
    </w:p>
    <w:p>
      <w:r>
        <w:t>The critical result is not merely having a spare CPU in the store. It is having the correct CPU, a compatible and approved configuration, a usable backup, and a validated restoration process when production is waiting for the machine.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02_PLAN_WISE_2026\02_INDUSTRY3_0\23_Spares\02_Automation_Spares\02_IO_Modules - I/O modules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CPU Spares in Industrial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