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Product Lifecycle in Industrial Automation</w:t>
      </w:r>
    </w:p>
    <w:p>
      <w:pPr>
        <w:pStyle w:val="Heading2"/>
      </w:pPr>
      <w:r>
        <w:t>1. Definition and Purpose</w:t>
      </w:r>
    </w:p>
    <w:p>
      <w:r>
        <w:t>Product lifecycle is the sequence of stages a product passes through from initial development and market introduction to active production, maturity, discontinuation, and eventual end of support.</w:t>
      </w:r>
    </w:p>
    <w:p>
      <w:r>
        <w:t>In industrial automation, a product may be a PLC CPU, remote I/O module, HMI, VFD, servo drive, CNC controller, robot controller, industrial PC, network switch, sensor, safety device, or engineering software package.</w:t>
      </w:r>
    </w:p>
    <w:p>
      <w:r>
        <w:t>Understanding product lifecycle status helps maintenance and engineering teams determine whether equipment can be maintained, repaired, upgraded, or replaced without creating unnecessary production risk.</w:t>
      </w:r>
    </w:p>
    <w:p>
      <w:r>
        <w:t>The objective is not to replace every old component. It is to identify which products remain supportable, which are becoming difficult to maintain, and which require a planned migration before failure or obsolescence disrupts production.</w:t>
      </w:r>
    </w:p>
    <w:p>
      <w:pPr>
        <w:pStyle w:val="Heading2"/>
      </w:pPr>
      <w:r>
        <w:t>2. Why Product Lifecycle Management Matters</w:t>
      </w:r>
    </w:p>
    <w:p>
      <w:r>
        <w:t>Industrial equipment often remains in service for 10–25 years or longer, while electronic components and software may become unsupported much earlier.</w:t>
      </w:r>
    </w:p>
    <w:p>
      <w:r>
        <w:t>Product lifecycle management helps organizations:</w:t>
      </w:r>
    </w:p>
    <w:p>
      <w:pPr>
        <w:pStyle w:val="ListBullet"/>
      </w:pPr>
      <w:r>
        <w:t>Prevent unexpected downtime caused by unavailable parts.</w:t>
      </w:r>
    </w:p>
    <w:p>
      <w:pPr>
        <w:pStyle w:val="ListBullet"/>
      </w:pPr>
      <w:r>
        <w:t>Identify discontinued products before they become critical failures.</w:t>
      </w:r>
    </w:p>
    <w:p>
      <w:pPr>
        <w:pStyle w:val="ListBullet"/>
      </w:pPr>
      <w:r>
        <w:t>Plan replacements and modernization projects.</w:t>
      </w:r>
    </w:p>
    <w:p>
      <w:pPr>
        <w:pStyle w:val="ListBullet"/>
      </w:pPr>
      <w:r>
        <w:t>Manage spare-part availability and procurement lead times.</w:t>
      </w:r>
    </w:p>
    <w:p>
      <w:pPr>
        <w:pStyle w:val="ListBullet"/>
      </w:pPr>
      <w:r>
        <w:t>Control software, firmware, and engineering-tool compatibility.</w:t>
      </w:r>
    </w:p>
    <w:p>
      <w:pPr>
        <w:pStyle w:val="ListBullet"/>
      </w:pPr>
      <w:r>
        <w:t>Reduce cybersecurity exposure from unsupported systems.</w:t>
      </w:r>
    </w:p>
    <w:p>
      <w:pPr>
        <w:pStyle w:val="ListBullet"/>
      </w:pPr>
      <w:r>
        <w:t>Maintain machine safety, quality, and regulatory compliance.</w:t>
      </w:r>
    </w:p>
    <w:p>
      <w:pPr>
        <w:pStyle w:val="ListBullet"/>
      </w:pPr>
      <w:r>
        <w:t>Prepare migration plans for PLCs, HMIs, drives, networks, and controllers.</w:t>
      </w:r>
    </w:p>
    <w:p>
      <w:pPr>
        <w:pStyle w:val="ListBullet"/>
      </w:pPr>
      <w:r>
        <w:t>Control lifecycle-related costs across the installed equipment base.</w:t>
      </w:r>
    </w:p>
    <w:p>
      <w:r>
        <w:t>A product can still operate perfectly while becoming increasingly difficult to support. Functional condition and lifecycle status are separate variables.</w:t>
      </w:r>
    </w:p>
    <w:p>
      <w:pPr>
        <w:pStyle w:val="Heading2"/>
      </w:pPr>
      <w:r>
        <w:t>3. Product Lifecycle Stages</w:t>
      </w:r>
    </w:p>
    <w:p>
      <w:r>
        <w:t>A typical industrial product lifecycle contains the following stages. Exact stage names and transitions vary by manufacturer.</w:t>
      </w:r>
    </w:p>
    <w:p>
      <w:pPr>
        <w:shd w:val="clear" w:color="auto" w:fill="F4F4F4"/>
        <w:spacing w:before="0" w:after="0" w:line="240" w:lineRule="auto"/>
        <w:ind w:left="216" w:right="216"/>
        <w:jc w:val="left"/>
      </w:pPr>
      <w:r>
        <w:rPr>
          <w:rFonts w:ascii="Consolas" w:hAnsi="Consolas"/>
          <w:color w:val="202020"/>
          <w:sz w:val="18"/>
        </w:rPr>
        <w:t>Product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 Introduction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Active Sales and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Mature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of Sale / Discontinuation Notice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of Manufacturing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of Support / Repair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Obsolete or Unsupported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Replacement, Migration, or Decommissioning</w:t>
      </w:r>
    </w:p>
    <w:p/>
    <w:p>
      <w:r>
        <w:t>These stages do not always occur in a perfectly linear sequence. Manufacturers may discontinue sales while still providing spare parts, repairs, technical support, or migration assistance.</w:t>
      </w:r>
    </w:p>
    <w:p>
      <w:pPr>
        <w:pStyle w:val="Heading2"/>
      </w:pPr>
      <w:r>
        <w:t>4. Main Lifecycle Stages Explained</w:t>
      </w:r>
    </w:p>
    <w:p>
      <w:pPr>
        <w:pStyle w:val="Heading3"/>
      </w:pPr>
      <w:r>
        <w:t>4.1 Development</w:t>
      </w:r>
    </w:p>
    <w:p>
      <w:r>
        <w:t>The manufacturer designs, tests, validates, and prepares the product for release.</w:t>
      </w:r>
    </w:p>
    <w:p>
      <w:r>
        <w:t>For an industrial PLC, this may include hardware development, firmware, engineering software integration, communication testing, cybersecurity assessment, and compatibility validation.</w:t>
      </w:r>
    </w:p>
    <w:p>
      <w:r>
        <w:t>Maintenance teams usually have limited direct involvement at this stage, but engineering teams may participate in pilot testing or system design.</w:t>
      </w:r>
    </w:p>
    <w:p>
      <w:pPr>
        <w:pStyle w:val="Heading3"/>
      </w:pPr>
      <w:r>
        <w:t>4.2 Product Introduction</w:t>
      </w:r>
    </w:p>
    <w:p>
      <w:r>
        <w:t>The product becomes available for commercial use.</w:t>
      </w:r>
    </w:p>
    <w:p>
      <w:r>
        <w:t>Typical activities include:</w:t>
      </w:r>
    </w:p>
    <w:p>
      <w:pPr>
        <w:pStyle w:val="ListBullet"/>
      </w:pPr>
      <w:r>
        <w:t>Preparing technical documentation.</w:t>
      </w:r>
    </w:p>
    <w:p>
      <w:pPr>
        <w:pStyle w:val="ListBullet"/>
      </w:pPr>
      <w:r>
        <w:t>Establishing approved part numbers.</w:t>
      </w:r>
    </w:p>
    <w:p>
      <w:pPr>
        <w:pStyle w:val="ListBullet"/>
      </w:pPr>
      <w:r>
        <w:t>Training engineering and service teams.</w:t>
      </w:r>
    </w:p>
    <w:p>
      <w:pPr>
        <w:pStyle w:val="ListBullet"/>
      </w:pPr>
      <w:r>
        <w:t>Validating compatibility with existing automation platforms.</w:t>
      </w:r>
    </w:p>
    <w:p>
      <w:pPr>
        <w:pStyle w:val="ListBullet"/>
      </w:pPr>
      <w:r>
        <w:t>Updating approved-equipment lists.</w:t>
      </w:r>
    </w:p>
    <w:p>
      <w:pPr>
        <w:pStyle w:val="ListBullet"/>
      </w:pPr>
      <w:r>
        <w:t>Planning initial spare inventory.</w:t>
      </w:r>
    </w:p>
    <w:p>
      <w:r>
        <w:t>Early-stage products may receive frequent firmware updates or hardware revisions, so compatibility should be verified before deployment.</w:t>
      </w:r>
    </w:p>
    <w:p>
      <w:pPr>
        <w:pStyle w:val="Heading3"/>
      </w:pPr>
      <w:r>
        <w:t>4.3 Active Sales and Support</w:t>
      </w:r>
    </w:p>
    <w:p>
      <w:r>
        <w:t>The manufacturer sells the product and provides the support services defined for that product.</w:t>
      </w:r>
    </w:p>
    <w:p>
      <w:r>
        <w:t>Typical support may include:</w:t>
      </w:r>
    </w:p>
    <w:p>
      <w:pPr>
        <w:pStyle w:val="ListBullet"/>
      </w:pPr>
      <w:r>
        <w:t>Spare parts and replacement products.</w:t>
      </w:r>
    </w:p>
    <w:p>
      <w:pPr>
        <w:pStyle w:val="ListBullet"/>
      </w:pPr>
      <w:r>
        <w:t>Technical documentation.</w:t>
      </w:r>
    </w:p>
    <w:p>
      <w:pPr>
        <w:pStyle w:val="ListBullet"/>
      </w:pPr>
      <w:r>
        <w:t>Firmware and software updates.</w:t>
      </w:r>
    </w:p>
    <w:p>
      <w:pPr>
        <w:pStyle w:val="ListBullet"/>
      </w:pPr>
      <w:r>
        <w:t>Repair services.</w:t>
      </w:r>
    </w:p>
    <w:p>
      <w:pPr>
        <w:pStyle w:val="ListBullet"/>
      </w:pPr>
      <w:r>
        <w:t>Technical assistance.</w:t>
      </w:r>
    </w:p>
    <w:p>
      <w:pPr>
        <w:pStyle w:val="ListBullet"/>
      </w:pPr>
      <w:r>
        <w:t>Product compatibility information.</w:t>
      </w:r>
    </w:p>
    <w:p>
      <w:r>
        <w:t>Active status does not guarantee immediate stock availability, indefinite future support, or compatibility with every newer product.</w:t>
      </w:r>
    </w:p>
    <w:p>
      <w:pPr>
        <w:pStyle w:val="Heading3"/>
      </w:pPr>
      <w:r>
        <w:t>4.4 Mature Product</w:t>
      </w:r>
    </w:p>
    <w:p>
      <w:r>
        <w:t>The product is established and may have a large installed base.</w:t>
      </w:r>
    </w:p>
    <w:p>
      <w:r>
        <w:t>Advantages can include extensive field experience, stable configurations, known failure modes, and an established spare-part ecosystem.</w:t>
      </w:r>
    </w:p>
    <w:p>
      <w:r>
        <w:t>Risks include aging installations, decreasing availability of some components, and the possibility that a newer platform will eventually replace the product.</w:t>
      </w:r>
    </w:p>
    <w:p>
      <w:pPr>
        <w:pStyle w:val="Heading3"/>
      </w:pPr>
      <w:r>
        <w:t>4.5 End of Sale</w:t>
      </w:r>
    </w:p>
    <w:p>
      <w:r>
        <w:t>The manufacturer announces that the product will no longer be available for new commercial orders after a specified date or under defined conditions.</w:t>
      </w:r>
    </w:p>
    <w:p>
      <w:r>
        <w:t>End of sale does not necessarily mean that installed equipment must stop operating.</w:t>
      </w:r>
    </w:p>
    <w:p>
      <w:r>
        <w:t>Maintenance should identify:</w:t>
      </w:r>
    </w:p>
    <w:p>
      <w:pPr>
        <w:pStyle w:val="ListBullet"/>
      </w:pPr>
      <w:r>
        <w:t>Last-order deadlines.</w:t>
      </w:r>
    </w:p>
    <w:p>
      <w:pPr>
        <w:pStyle w:val="ListBullet"/>
      </w:pPr>
      <w:r>
        <w:t>Remaining spare-part availability.</w:t>
      </w:r>
    </w:p>
    <w:p>
      <w:pPr>
        <w:pStyle w:val="ListBullet"/>
      </w:pPr>
      <w:r>
        <w:t>Approved successor products.</w:t>
      </w:r>
    </w:p>
    <w:p>
      <w:pPr>
        <w:pStyle w:val="ListBullet"/>
      </w:pPr>
      <w:r>
        <w:t>Repair-service availability.</w:t>
      </w:r>
    </w:p>
    <w:p>
      <w:pPr>
        <w:pStyle w:val="ListBullet"/>
      </w:pPr>
      <w:r>
        <w:t>Software and firmware support status.</w:t>
      </w:r>
    </w:p>
    <w:p>
      <w:pPr>
        <w:pStyle w:val="ListBullet"/>
      </w:pPr>
      <w:r>
        <w:t>Migration requirements and dependencies.</w:t>
      </w:r>
    </w:p>
    <w:p>
      <w:pPr>
        <w:pStyle w:val="Heading3"/>
      </w:pPr>
      <w:r>
        <w:t>4.6 End of Manufacturing</w:t>
      </w:r>
    </w:p>
    <w:p>
      <w:r>
        <w:t>The manufacturer stops producing the original product.</w:t>
      </w:r>
    </w:p>
    <w:p>
      <w:r>
        <w:t>Existing inventory may remain available through distributors, service channels, or authorized stockholders. Availability depends on the product and supply chain.</w:t>
      </w:r>
    </w:p>
    <w:p>
      <w:r>
        <w:t>At this stage, spare-part planning becomes more important because future replenishment may be limited.</w:t>
      </w:r>
    </w:p>
    <w:p>
      <w:pPr>
        <w:pStyle w:val="Heading3"/>
      </w:pPr>
      <w:r>
        <w:t>4.7 End of Support</w:t>
      </w:r>
    </w:p>
    <w:p>
      <w:r>
        <w:t>The manufacturer stops providing some or all specified support services.</w:t>
      </w:r>
    </w:p>
    <w:p>
      <w:r>
        <w:t>The exact scope matters. Hardware repair, firmware updates, software maintenance, technical support, and cybersecurity fixes may have different end dates.</w:t>
      </w:r>
    </w:p>
    <w:p>
      <w:r>
        <w:t>An unsupported product may continue to operate, but faults can become harder to resolve and vulnerabilities may remain uncorrected.</w:t>
      </w:r>
    </w:p>
    <w:p>
      <w:pPr>
        <w:pStyle w:val="Heading3"/>
      </w:pPr>
      <w:r>
        <w:t>4.8 Obsolete or Unsupported</w:t>
      </w:r>
    </w:p>
    <w:p>
      <w:r>
        <w:t>The product can no longer be obtained or supported through the original manufacturer's normal channels, or its lifecycle status makes continued use unacceptable for the application.</w:t>
      </w:r>
    </w:p>
    <w:p>
      <w:r>
        <w:t>Obsolete does not always mean physically defective. It means the organization must assess whether continued operation is practical and acceptable.</w:t>
      </w:r>
    </w:p>
    <w:p>
      <w:pPr>
        <w:pStyle w:val="Heading3"/>
      </w:pPr>
      <w:r>
        <w:t>4.9 Migration or Decommissioning</w:t>
      </w:r>
    </w:p>
    <w:p>
      <w:r>
        <w:t>The organization decides whether to retain the product temporarily, replace it with a compatible successor, modernize the entire system, or decommission the equipment.</w:t>
      </w:r>
    </w:p>
    <w:p>
      <w:r>
        <w:t>Migration should be based on technical compatibility, production risk, lifecycle status, safety, cybersecurity, cost, and business priorities.</w:t>
      </w:r>
    </w:p>
    <w:p>
      <w:pPr>
        <w:pStyle w:val="Heading2"/>
      </w:pPr>
      <w:r>
        <w:t>5. Important Lifecycle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implication</w:t>
            </w:r>
          </w:p>
        </w:tc>
      </w:tr>
      <w:tr>
        <w:tc>
          <w:tcPr>
            <w:tcW w:type="dxa" w:w="3600"/>
          </w:tcPr>
          <w:p>
            <w:pPr>
              <w:spacing w:after="0" w:before="0" w:line="240" w:lineRule="auto"/>
              <w:jc w:val="left"/>
            </w:pPr>
            <w:r>
              <w:t>Active</w:t>
            </w:r>
          </w:p>
        </w:tc>
        <w:tc>
          <w:tcPr>
            <w:tcW w:type="dxa" w:w="3600"/>
          </w:tcPr>
          <w:p>
            <w:pPr>
              <w:spacing w:after="0" w:before="0" w:line="240" w:lineRule="auto"/>
              <w:jc w:val="left"/>
            </w:pPr>
            <w:r>
              <w:t>Product is in the manufacturer's current commercial lifecycle</w:t>
            </w:r>
          </w:p>
        </w:tc>
        <w:tc>
          <w:tcPr>
            <w:tcW w:type="dxa" w:w="3600"/>
          </w:tcPr>
          <w:p>
            <w:pPr>
              <w:spacing w:after="0" w:before="0" w:line="240" w:lineRule="auto"/>
              <w:jc w:val="left"/>
            </w:pPr>
            <w:r>
              <w:t>Verify support scope and spare availability</w:t>
            </w:r>
          </w:p>
        </w:tc>
      </w:tr>
      <w:tr>
        <w:tc>
          <w:tcPr>
            <w:tcW w:type="dxa" w:w="3600"/>
          </w:tcPr>
          <w:p>
            <w:pPr>
              <w:spacing w:after="0" w:before="0" w:line="240" w:lineRule="auto"/>
              <w:jc w:val="left"/>
            </w:pPr>
            <w:r>
              <w:t>Mature</w:t>
            </w:r>
          </w:p>
        </w:tc>
        <w:tc>
          <w:tcPr>
            <w:tcW w:type="dxa" w:w="3600"/>
          </w:tcPr>
          <w:p>
            <w:pPr>
              <w:spacing w:after="0" w:before="0" w:line="240" w:lineRule="auto"/>
              <w:jc w:val="left"/>
            </w:pPr>
            <w:r>
              <w:t>Established product with a significant installed base</w:t>
            </w:r>
          </w:p>
        </w:tc>
        <w:tc>
          <w:tcPr>
            <w:tcW w:type="dxa" w:w="3600"/>
          </w:tcPr>
          <w:p>
            <w:pPr>
              <w:spacing w:after="0" w:before="0" w:line="240" w:lineRule="auto"/>
              <w:jc w:val="left"/>
            </w:pPr>
            <w:r>
              <w:t>Review long-term availability and migration planning</w:t>
            </w:r>
          </w:p>
        </w:tc>
      </w:tr>
      <w:tr>
        <w:tc>
          <w:tcPr>
            <w:tcW w:type="dxa" w:w="3600"/>
          </w:tcPr>
          <w:p>
            <w:pPr>
              <w:spacing w:after="0" w:before="0" w:line="240" w:lineRule="auto"/>
              <w:jc w:val="left"/>
            </w:pPr>
            <w:r>
              <w:t>End of sale</w:t>
            </w:r>
          </w:p>
        </w:tc>
        <w:tc>
          <w:tcPr>
            <w:tcW w:type="dxa" w:w="3600"/>
          </w:tcPr>
          <w:p>
            <w:pPr>
              <w:spacing w:after="0" w:before="0" w:line="240" w:lineRule="auto"/>
              <w:jc w:val="left"/>
            </w:pPr>
            <w:r>
              <w:t>New commercial sales are ending or have ended</w:t>
            </w:r>
          </w:p>
        </w:tc>
        <w:tc>
          <w:tcPr>
            <w:tcW w:type="dxa" w:w="3600"/>
          </w:tcPr>
          <w:p>
            <w:pPr>
              <w:spacing w:after="0" w:before="0" w:line="240" w:lineRule="auto"/>
              <w:jc w:val="left"/>
            </w:pPr>
            <w:r>
              <w:t>Evaluate remaining procurement opportunities</w:t>
            </w:r>
          </w:p>
        </w:tc>
      </w:tr>
      <w:tr>
        <w:tc>
          <w:tcPr>
            <w:tcW w:type="dxa" w:w="3600"/>
          </w:tcPr>
          <w:p>
            <w:pPr>
              <w:spacing w:after="0" w:before="0" w:line="240" w:lineRule="auto"/>
              <w:jc w:val="left"/>
            </w:pPr>
            <w:r>
              <w:t>End of manufacturing</w:t>
            </w:r>
          </w:p>
        </w:tc>
        <w:tc>
          <w:tcPr>
            <w:tcW w:type="dxa" w:w="3600"/>
          </w:tcPr>
          <w:p>
            <w:pPr>
              <w:spacing w:after="0" w:before="0" w:line="240" w:lineRule="auto"/>
              <w:jc w:val="left"/>
            </w:pPr>
            <w:r>
              <w:t>Original production has stopped</w:t>
            </w:r>
          </w:p>
        </w:tc>
        <w:tc>
          <w:tcPr>
            <w:tcW w:type="dxa" w:w="3600"/>
          </w:tcPr>
          <w:p>
            <w:pPr>
              <w:spacing w:after="0" w:before="0" w:line="240" w:lineRule="auto"/>
              <w:jc w:val="left"/>
            </w:pPr>
            <w:r>
              <w:t>Plan spares and replacement strategy</w:t>
            </w:r>
          </w:p>
        </w:tc>
      </w:tr>
      <w:tr>
        <w:tc>
          <w:tcPr>
            <w:tcW w:type="dxa" w:w="3600"/>
          </w:tcPr>
          <w:p>
            <w:pPr>
              <w:spacing w:after="0" w:before="0" w:line="240" w:lineRule="auto"/>
              <w:jc w:val="left"/>
            </w:pPr>
            <w:r>
              <w:t>End of support</w:t>
            </w:r>
          </w:p>
        </w:tc>
        <w:tc>
          <w:tcPr>
            <w:tcW w:type="dxa" w:w="3600"/>
          </w:tcPr>
          <w:p>
            <w:pPr>
              <w:spacing w:after="0" w:before="0" w:line="240" w:lineRule="auto"/>
              <w:jc w:val="left"/>
            </w:pPr>
            <w:r>
              <w:t>One or more support services have ended</w:t>
            </w:r>
          </w:p>
        </w:tc>
        <w:tc>
          <w:tcPr>
            <w:tcW w:type="dxa" w:w="3600"/>
          </w:tcPr>
          <w:p>
            <w:pPr>
              <w:spacing w:after="0" w:before="0" w:line="240" w:lineRule="auto"/>
              <w:jc w:val="left"/>
            </w:pPr>
            <w:r>
              <w:t>Assess repair, software, and technical risks</w:t>
            </w:r>
          </w:p>
        </w:tc>
      </w:tr>
      <w:tr>
        <w:tc>
          <w:tcPr>
            <w:tcW w:type="dxa" w:w="3600"/>
          </w:tcPr>
          <w:p>
            <w:pPr>
              <w:spacing w:after="0" w:before="0" w:line="240" w:lineRule="auto"/>
              <w:jc w:val="left"/>
            </w:pPr>
            <w:r>
              <w:t>Obsolete</w:t>
            </w:r>
          </w:p>
        </w:tc>
        <w:tc>
          <w:tcPr>
            <w:tcW w:type="dxa" w:w="3600"/>
          </w:tcPr>
          <w:p>
            <w:pPr>
              <w:spacing w:after="0" w:before="0" w:line="240" w:lineRule="auto"/>
              <w:jc w:val="left"/>
            </w:pPr>
            <w:r>
              <w:t>Product is no longer practically supportable or available through normal channels</w:t>
            </w:r>
          </w:p>
        </w:tc>
        <w:tc>
          <w:tcPr>
            <w:tcW w:type="dxa" w:w="3600"/>
          </w:tcPr>
          <w:p>
            <w:pPr>
              <w:spacing w:after="0" w:before="0" w:line="240" w:lineRule="auto"/>
              <w:jc w:val="left"/>
            </w:pPr>
            <w:r>
              <w:t>Establish a controlled mitigation or migration plan</w:t>
            </w:r>
          </w:p>
        </w:tc>
      </w:tr>
      <w:tr>
        <w:tc>
          <w:tcPr>
            <w:tcW w:type="dxa" w:w="3600"/>
          </w:tcPr>
          <w:p>
            <w:pPr>
              <w:spacing w:after="0" w:before="0" w:line="240" w:lineRule="auto"/>
              <w:jc w:val="left"/>
            </w:pPr>
            <w:r>
              <w:t>Successor product</w:t>
            </w:r>
          </w:p>
        </w:tc>
        <w:tc>
          <w:tcPr>
            <w:tcW w:type="dxa" w:w="3600"/>
          </w:tcPr>
          <w:p>
            <w:pPr>
              <w:spacing w:after="0" w:before="0" w:line="240" w:lineRule="auto"/>
              <w:jc w:val="left"/>
            </w:pPr>
            <w:r>
              <w:t>Manufacturer-designated replacement or next-generation product</w:t>
            </w:r>
          </w:p>
        </w:tc>
        <w:tc>
          <w:tcPr>
            <w:tcW w:type="dxa" w:w="3600"/>
          </w:tcPr>
          <w:p>
            <w:pPr>
              <w:spacing w:after="0" w:before="0" w:line="240" w:lineRule="auto"/>
              <w:jc w:val="left"/>
            </w:pPr>
            <w:r>
              <w:t>Validate compatibility before substitution</w:t>
            </w:r>
          </w:p>
        </w:tc>
      </w:tr>
      <w:tr>
        <w:tc>
          <w:tcPr>
            <w:tcW w:type="dxa" w:w="3600"/>
          </w:tcPr>
          <w:p>
            <w:pPr>
              <w:spacing w:after="0" w:before="0" w:line="240" w:lineRule="auto"/>
              <w:jc w:val="left"/>
            </w:pPr>
            <w:r>
              <w:t>Legacy product</w:t>
            </w:r>
          </w:p>
        </w:tc>
        <w:tc>
          <w:tcPr>
            <w:tcW w:type="dxa" w:w="3600"/>
          </w:tcPr>
          <w:p>
            <w:pPr>
              <w:spacing w:after="0" w:before="0" w:line="240" w:lineRule="auto"/>
              <w:jc w:val="left"/>
            </w:pPr>
            <w:r>
              <w:t>Older product still in use, potentially with limited support</w:t>
            </w:r>
          </w:p>
        </w:tc>
        <w:tc>
          <w:tcPr>
            <w:tcW w:type="dxa" w:w="3600"/>
          </w:tcPr>
          <w:p>
            <w:pPr>
              <w:spacing w:after="0" w:before="0" w:line="240" w:lineRule="auto"/>
              <w:jc w:val="left"/>
            </w:pPr>
            <w:r>
              <w:t>Assess technical debt, availability, and risk</w:t>
            </w:r>
          </w:p>
        </w:tc>
      </w:tr>
      <w:tr>
        <w:tc>
          <w:tcPr>
            <w:tcW w:type="dxa" w:w="3600"/>
          </w:tcPr>
          <w:p>
            <w:pPr>
              <w:spacing w:after="0" w:before="0" w:line="240" w:lineRule="auto"/>
              <w:jc w:val="left"/>
            </w:pPr>
            <w:r>
              <w:t>Last-time buy</w:t>
            </w:r>
          </w:p>
        </w:tc>
        <w:tc>
          <w:tcPr>
            <w:tcW w:type="dxa" w:w="3600"/>
          </w:tcPr>
          <w:p>
            <w:pPr>
              <w:spacing w:after="0" w:before="0" w:line="240" w:lineRule="auto"/>
              <w:jc w:val="left"/>
            </w:pPr>
            <w:r>
              <w:t>Final opportunity to purchase a product before discontinuation</w:t>
            </w:r>
          </w:p>
        </w:tc>
        <w:tc>
          <w:tcPr>
            <w:tcW w:type="dxa" w:w="3600"/>
          </w:tcPr>
          <w:p>
            <w:pPr>
              <w:spacing w:after="0" w:before="0" w:line="240" w:lineRule="auto"/>
              <w:jc w:val="left"/>
            </w:pPr>
            <w:r>
              <w:t>Calculate justified quantities and storage requirements</w:t>
            </w:r>
          </w:p>
        </w:tc>
      </w:tr>
      <w:tr>
        <w:tc>
          <w:tcPr>
            <w:tcW w:type="dxa" w:w="3600"/>
          </w:tcPr>
          <w:p>
            <w:pPr>
              <w:spacing w:after="0" w:before="0" w:line="240" w:lineRule="auto"/>
              <w:jc w:val="left"/>
            </w:pPr>
            <w:r>
              <w:t>Extended support</w:t>
            </w:r>
          </w:p>
        </w:tc>
        <w:tc>
          <w:tcPr>
            <w:tcW w:type="dxa" w:w="3600"/>
          </w:tcPr>
          <w:p>
            <w:pPr>
              <w:spacing w:after="0" w:before="0" w:line="240" w:lineRule="auto"/>
              <w:jc w:val="left"/>
            </w:pPr>
            <w:r>
              <w:t>Additional support available under specific terms</w:t>
            </w:r>
          </w:p>
        </w:tc>
        <w:tc>
          <w:tcPr>
            <w:tcW w:type="dxa" w:w="3600"/>
          </w:tcPr>
          <w:p>
            <w:pPr>
              <w:spacing w:after="0" w:before="0" w:line="240" w:lineRule="auto"/>
              <w:jc w:val="left"/>
            </w:pPr>
            <w:r>
              <w:t>Confirm scope, duration, and commercial conditions</w:t>
            </w:r>
          </w:p>
        </w:tc>
      </w:tr>
      <w:tr>
        <w:tc>
          <w:tcPr>
            <w:tcW w:type="dxa" w:w="3600"/>
          </w:tcPr>
          <w:p>
            <w:pPr>
              <w:spacing w:after="0" w:before="0" w:line="240" w:lineRule="auto"/>
              <w:jc w:val="left"/>
            </w:pPr>
            <w:r>
              <w:t>Repairable</w:t>
            </w:r>
          </w:p>
        </w:tc>
        <w:tc>
          <w:tcPr>
            <w:tcW w:type="dxa" w:w="3600"/>
          </w:tcPr>
          <w:p>
            <w:pPr>
              <w:spacing w:after="0" w:before="0" w:line="240" w:lineRule="auto"/>
              <w:jc w:val="left"/>
            </w:pPr>
            <w:r>
              <w:t>Product can be repaired through available technical services</w:t>
            </w:r>
          </w:p>
        </w:tc>
        <w:tc>
          <w:tcPr>
            <w:tcW w:type="dxa" w:w="3600"/>
          </w:tcPr>
          <w:p>
            <w:pPr>
              <w:spacing w:after="0" w:before="0" w:line="240" w:lineRule="auto"/>
              <w:jc w:val="left"/>
            </w:pPr>
            <w:r>
              <w:t>Confirm repair capability, parts, and turnaround time</w:t>
            </w:r>
          </w:p>
        </w:tc>
      </w:tr>
      <w:tr>
        <w:tc>
          <w:tcPr>
            <w:tcW w:type="dxa" w:w="3600"/>
          </w:tcPr>
          <w:p>
            <w:pPr>
              <w:spacing w:after="0" w:before="0" w:line="240" w:lineRule="auto"/>
              <w:jc w:val="left"/>
            </w:pPr>
            <w:r>
              <w:t>Drop-in replacement</w:t>
            </w:r>
          </w:p>
        </w:tc>
        <w:tc>
          <w:tcPr>
            <w:tcW w:type="dxa" w:w="3600"/>
          </w:tcPr>
          <w:p>
            <w:pPr>
              <w:spacing w:after="0" w:before="0" w:line="240" w:lineRule="auto"/>
              <w:jc w:val="left"/>
            </w:pPr>
            <w:r>
              <w:t>Replacement designed to fit a defined interface with minimal changes</w:t>
            </w:r>
          </w:p>
        </w:tc>
        <w:tc>
          <w:tcPr>
            <w:tcW w:type="dxa" w:w="3600"/>
          </w:tcPr>
          <w:p>
            <w:pPr>
              <w:spacing w:after="0" w:before="0" w:line="240" w:lineRule="auto"/>
              <w:jc w:val="left"/>
            </w:pPr>
            <w:r>
              <w:t>Still verify all electrical, mechanical, software, and approval requirements</w:t>
            </w:r>
          </w:p>
        </w:tc>
      </w:tr>
    </w:tbl>
    <w:p/>
    <w:p>
      <w:r>
        <w:t>Lifecycle terms are not universal across manufacturers. Always use the manufacturer's published definitions and the specific product's lifecycle notice.</w:t>
      </w:r>
    </w:p>
    <w:p>
      <w:pPr>
        <w:pStyle w:val="Heading2"/>
      </w:pPr>
      <w:r>
        <w:t>6. Product Lifecycle Status Versus Equipment Condition</w:t>
      </w:r>
    </w:p>
    <w:p>
      <w:r>
        <w:t>Lifecycle status and physical condition must be tracked separately.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Product condition</w:t>
            </w:r>
          </w:p>
        </w:tc>
        <w:tc>
          <w:tcPr>
            <w:tcW w:type="dxa" w:w="3600"/>
            <w:shd w:val="clear" w:color="auto" w:fill="EEF2F7"/>
          </w:tcPr>
          <w:p>
            <w:pPr>
              <w:spacing w:after="0" w:before="0" w:line="240" w:lineRule="auto"/>
              <w:jc w:val="left"/>
            </w:pPr>
            <w:r>
              <w:rPr>
                <w:b/>
                <w:color w:val="1A2E4A"/>
              </w:rPr>
              <w:t>Lifecycle status</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Healthy</w:t>
            </w:r>
          </w:p>
        </w:tc>
        <w:tc>
          <w:tcPr>
            <w:tcW w:type="dxa" w:w="3600"/>
          </w:tcPr>
          <w:p>
            <w:pPr>
              <w:spacing w:after="0" w:before="0" w:line="240" w:lineRule="auto"/>
              <w:jc w:val="left"/>
            </w:pPr>
            <w:r>
              <w:t>Active</w:t>
            </w:r>
          </w:p>
        </w:tc>
        <w:tc>
          <w:tcPr>
            <w:tcW w:type="dxa" w:w="3600"/>
          </w:tcPr>
          <w:p>
            <w:pPr>
              <w:spacing w:after="0" w:before="0" w:line="240" w:lineRule="auto"/>
              <w:jc w:val="left"/>
            </w:pPr>
            <w:r>
              <w:t>Generally supportable, subject to normal maintenance</w:t>
            </w:r>
          </w:p>
        </w:tc>
      </w:tr>
      <w:tr>
        <w:tc>
          <w:tcPr>
            <w:tcW w:type="dxa" w:w="3600"/>
          </w:tcPr>
          <w:p>
            <w:pPr>
              <w:spacing w:after="0" w:before="0" w:line="240" w:lineRule="auto"/>
              <w:jc w:val="left"/>
            </w:pPr>
            <w:r>
              <w:t>Healthy</w:t>
            </w:r>
          </w:p>
        </w:tc>
        <w:tc>
          <w:tcPr>
            <w:tcW w:type="dxa" w:w="3600"/>
          </w:tcPr>
          <w:p>
            <w:pPr>
              <w:spacing w:after="0" w:before="0" w:line="240" w:lineRule="auto"/>
              <w:jc w:val="left"/>
            </w:pPr>
            <w:r>
              <w:t>Discontinued</w:t>
            </w:r>
          </w:p>
        </w:tc>
        <w:tc>
          <w:tcPr>
            <w:tcW w:type="dxa" w:w="3600"/>
          </w:tcPr>
          <w:p>
            <w:pPr>
              <w:spacing w:after="0" w:before="0" w:line="240" w:lineRule="auto"/>
              <w:jc w:val="left"/>
            </w:pPr>
            <w:r>
              <w:t>Working equipment that needs a future replacement strategy</w:t>
            </w:r>
          </w:p>
        </w:tc>
      </w:tr>
      <w:tr>
        <w:tc>
          <w:tcPr>
            <w:tcW w:type="dxa" w:w="3600"/>
          </w:tcPr>
          <w:p>
            <w:pPr>
              <w:spacing w:after="0" w:before="0" w:line="240" w:lineRule="auto"/>
              <w:jc w:val="left"/>
            </w:pPr>
            <w:r>
              <w:t>Faulty</w:t>
            </w:r>
          </w:p>
        </w:tc>
        <w:tc>
          <w:tcPr>
            <w:tcW w:type="dxa" w:w="3600"/>
          </w:tcPr>
          <w:p>
            <w:pPr>
              <w:spacing w:after="0" w:before="0" w:line="240" w:lineRule="auto"/>
              <w:jc w:val="left"/>
            </w:pPr>
            <w:r>
              <w:t>Active</w:t>
            </w:r>
          </w:p>
        </w:tc>
        <w:tc>
          <w:tcPr>
            <w:tcW w:type="dxa" w:w="3600"/>
          </w:tcPr>
          <w:p>
            <w:pPr>
              <w:spacing w:after="0" w:before="0" w:line="240" w:lineRule="auto"/>
              <w:jc w:val="left"/>
            </w:pPr>
            <w:r>
              <w:t>Repair or replacement may be readily available</w:t>
            </w:r>
          </w:p>
        </w:tc>
      </w:tr>
      <w:tr>
        <w:tc>
          <w:tcPr>
            <w:tcW w:type="dxa" w:w="3600"/>
          </w:tcPr>
          <w:p>
            <w:pPr>
              <w:spacing w:after="0" w:before="0" w:line="240" w:lineRule="auto"/>
              <w:jc w:val="left"/>
            </w:pPr>
            <w:r>
              <w:t>Faulty</w:t>
            </w:r>
          </w:p>
        </w:tc>
        <w:tc>
          <w:tcPr>
            <w:tcW w:type="dxa" w:w="3600"/>
          </w:tcPr>
          <w:p>
            <w:pPr>
              <w:spacing w:after="0" w:before="0" w:line="240" w:lineRule="auto"/>
              <w:jc w:val="left"/>
            </w:pPr>
            <w:r>
              <w:t>Unsupported</w:t>
            </w:r>
          </w:p>
        </w:tc>
        <w:tc>
          <w:tcPr>
            <w:tcW w:type="dxa" w:w="3600"/>
          </w:tcPr>
          <w:p>
            <w:pPr>
              <w:spacing w:after="0" w:before="0" w:line="240" w:lineRule="auto"/>
              <w:jc w:val="left"/>
            </w:pPr>
            <w:r>
              <w:t>Higher recovery risk and potentially long downtime</w:t>
            </w:r>
          </w:p>
        </w:tc>
      </w:tr>
      <w:tr>
        <w:tc>
          <w:tcPr>
            <w:tcW w:type="dxa" w:w="3600"/>
          </w:tcPr>
          <w:p>
            <w:pPr>
              <w:spacing w:after="0" w:before="0" w:line="240" w:lineRule="auto"/>
              <w:jc w:val="left"/>
            </w:pPr>
            <w:r>
              <w:t>Healthy</w:t>
            </w:r>
          </w:p>
        </w:tc>
        <w:tc>
          <w:tcPr>
            <w:tcW w:type="dxa" w:w="3600"/>
          </w:tcPr>
          <w:p>
            <w:pPr>
              <w:spacing w:after="0" w:before="0" w:line="240" w:lineRule="auto"/>
              <w:jc w:val="left"/>
            </w:pPr>
            <w:r>
              <w:t>Unsupported</w:t>
            </w:r>
          </w:p>
        </w:tc>
        <w:tc>
          <w:tcPr>
            <w:tcW w:type="dxa" w:w="3600"/>
          </w:tcPr>
          <w:p>
            <w:pPr>
              <w:spacing w:after="0" w:before="0" w:line="240" w:lineRule="auto"/>
              <w:jc w:val="left"/>
            </w:pPr>
            <w:r>
              <w:t>Immediate replacement may not be necessary, but risk must be evaluated</w:t>
            </w:r>
          </w:p>
        </w:tc>
      </w:tr>
      <w:tr>
        <w:tc>
          <w:tcPr>
            <w:tcW w:type="dxa" w:w="3600"/>
          </w:tcPr>
          <w:p>
            <w:pPr>
              <w:spacing w:after="0" w:before="0" w:line="240" w:lineRule="auto"/>
              <w:jc w:val="left"/>
            </w:pPr>
            <w:r>
              <w:t>Faulty</w:t>
            </w:r>
          </w:p>
        </w:tc>
        <w:tc>
          <w:tcPr>
            <w:tcW w:type="dxa" w:w="3600"/>
          </w:tcPr>
          <w:p>
            <w:pPr>
              <w:spacing w:after="0" w:before="0" w:line="240" w:lineRule="auto"/>
              <w:jc w:val="left"/>
            </w:pPr>
            <w:r>
              <w:t>Obsolete</w:t>
            </w:r>
          </w:p>
        </w:tc>
        <w:tc>
          <w:tcPr>
            <w:tcW w:type="dxa" w:w="3600"/>
          </w:tcPr>
          <w:p>
            <w:pPr>
              <w:spacing w:after="0" w:before="0" w:line="240" w:lineRule="auto"/>
              <w:jc w:val="left"/>
            </w:pPr>
            <w:r>
              <w:t>May require repair by a specialist, an approved substitute, or migration</w:t>
            </w:r>
          </w:p>
        </w:tc>
      </w:tr>
    </w:tbl>
    <w:p/>
    <w:p>
      <w:r>
        <w:t>A healthy but obsolete PLC may be more operationally risky than a faulty but readily replaceable PLC. The key question is not simply whether the equipment works today, but how quickly the system can recover if it fails tomorrow.</w:t>
      </w:r>
    </w:p>
    <w:p>
      <w:pPr>
        <w:pStyle w:val="Heading2"/>
      </w:pPr>
      <w:r>
        <w:t>7. Manufacturer Lifecycle Research</w:t>
      </w:r>
    </w:p>
    <w:p>
      <w:r>
        <w:t>Lifecycle status should be established using reliable, product-specific evidence.</w:t>
      </w:r>
    </w:p>
    <w:p>
      <w:r>
        <w:t>Preferred information sources include:</w:t>
      </w:r>
    </w:p>
    <w:p>
      <w:pPr>
        <w:pStyle w:val="ListBullet"/>
      </w:pPr>
      <w:r>
        <w:t>Manufacturer product lifecycle or obsolescence portals.</w:t>
      </w:r>
    </w:p>
    <w:p>
      <w:pPr>
        <w:pStyle w:val="ListBullet"/>
      </w:pPr>
      <w:r>
        <w:t>Official product discontinuation notices.</w:t>
      </w:r>
    </w:p>
    <w:p>
      <w:pPr>
        <w:pStyle w:val="ListBullet"/>
      </w:pPr>
      <w:r>
        <w:t>Manufacturer successor-product documentation.</w:t>
      </w:r>
    </w:p>
    <w:p>
      <w:pPr>
        <w:pStyle w:val="ListBullet"/>
      </w:pPr>
      <w:r>
        <w:t>Official repair and support policies.</w:t>
      </w:r>
    </w:p>
    <w:p>
      <w:pPr>
        <w:pStyle w:val="ListBullet"/>
      </w:pPr>
      <w:r>
        <w:t>Product-specific hardware and software compatibility guides.</w:t>
      </w:r>
    </w:p>
    <w:p>
      <w:pPr>
        <w:pStyle w:val="ListBullet"/>
      </w:pPr>
      <w:r>
        <w:t>Authorized distributor confirmation where manufacturer information is incomplete.</w:t>
      </w:r>
    </w:p>
    <w:p>
      <w:r>
        <w:t>For industrial automation, lifecycle research may involve manufacturers such as Siemens, Rockwell Automation, Mitsubishi Electric, Schneider Electric, Omron, ABB, FANUC, and other suppliers used at the plant.</w:t>
      </w:r>
    </w:p>
    <w:p>
      <w:r>
        <w:t>Do not assume that every product from a manufacturer follows the same lifecycle duration or policy.</w:t>
      </w:r>
    </w:p>
    <w:p>
      <w:pPr>
        <w:pStyle w:val="Heading3"/>
      </w:pPr>
      <w:r>
        <w:t>7.1 Product Identification Before Research</w:t>
      </w:r>
    </w:p>
    <w:p>
      <w:r>
        <w:t>Collect the following information before searching:</w:t>
      </w:r>
    </w:p>
    <w:p>
      <w:pPr>
        <w:pStyle w:val="ListBullet"/>
      </w:pPr>
      <w:r>
        <w:t>Manufacturer.</w:t>
      </w:r>
    </w:p>
    <w:p>
      <w:pPr>
        <w:pStyle w:val="ListBullet"/>
      </w:pPr>
      <w:r>
        <w:t>Complete model number and suffix.</w:t>
      </w:r>
    </w:p>
    <w:p>
      <w:pPr>
        <w:pStyle w:val="ListBullet"/>
      </w:pPr>
      <w:r>
        <w:t>Product family.</w:t>
      </w:r>
    </w:p>
    <w:p>
      <w:pPr>
        <w:pStyle w:val="ListBullet"/>
      </w:pPr>
      <w:r>
        <w:t>Hardware revision.</w:t>
      </w:r>
    </w:p>
    <w:p>
      <w:pPr>
        <w:pStyle w:val="ListBullet"/>
      </w:pPr>
      <w:r>
        <w:t>Serial number or manufacturing date, where relevant.</w:t>
      </w:r>
    </w:p>
    <w:p>
      <w:pPr>
        <w:pStyle w:val="ListBullet"/>
      </w:pPr>
      <w:r>
        <w:t>Firmware version.</w:t>
      </w:r>
    </w:p>
    <w:p>
      <w:pPr>
        <w:pStyle w:val="ListBullet"/>
      </w:pPr>
      <w:r>
        <w:t>Associated engineering software and version.</w:t>
      </w:r>
    </w:p>
    <w:p>
      <w:pPr>
        <w:pStyle w:val="ListBullet"/>
      </w:pPr>
      <w:r>
        <w:t>Installed accessories and communication modules.</w:t>
      </w:r>
    </w:p>
    <w:p>
      <w:pPr>
        <w:pStyle w:val="ListBullet"/>
      </w:pPr>
      <w:r>
        <w:t>Machine or panel identification.</w:t>
      </w:r>
    </w:p>
    <w:p>
      <w:r>
        <w:t>A family-level lifecycle notice may not cover every model, revision, accessory, or firmware combination.</w:t>
      </w:r>
    </w:p>
    <w:p>
      <w:pPr>
        <w:pStyle w:val="Heading2"/>
      </w:pPr>
      <w:r>
        <w:t>8. Industrial Automation Examples</w:t>
      </w:r>
    </w:p>
    <w:p>
      <w:pPr>
        <w:pStyle w:val="Heading3"/>
      </w:pPr>
      <w:r>
        <w:t>8.1 PLC CPU</w:t>
      </w:r>
    </w:p>
    <w:p>
      <w:r>
        <w:t>A PLC CPU may remain operational after the manufacturer announces discontinuation.</w:t>
      </w:r>
    </w:p>
    <w:p>
      <w:r>
        <w:t>Risks can include unavailable replacement CPUs, limited engineering software compatibility, unsupported firmware, obsolete communication modules, and difficult program migration.</w:t>
      </w:r>
    </w:p>
    <w:p>
      <w:r>
        <w:t>Required actions:</w:t>
      </w:r>
    </w:p>
    <w:p>
      <w:pPr>
        <w:pStyle w:val="ListBullet"/>
      </w:pPr>
      <w:r>
        <w:t>Record the CPU model and firmware.</w:t>
      </w:r>
    </w:p>
    <w:p>
      <w:pPr>
        <w:pStyle w:val="ListBullet"/>
      </w:pPr>
      <w:r>
        <w:t>Back up the PLC project and hardware configuration.</w:t>
      </w:r>
    </w:p>
    <w:p>
      <w:pPr>
        <w:pStyle w:val="ListBullet"/>
      </w:pPr>
      <w:r>
        <w:t>Confirm access to the required engineering software and licenses.</w:t>
      </w:r>
    </w:p>
    <w:p>
      <w:pPr>
        <w:pStyle w:val="ListBullet"/>
      </w:pPr>
      <w:r>
        <w:t>Identify the manufacturer-designated successor, if any.</w:t>
      </w:r>
    </w:p>
    <w:p>
      <w:pPr>
        <w:pStyle w:val="ListBullet"/>
      </w:pPr>
      <w:r>
        <w:t>Check I/O, network, instruction, and communication compatibility.</w:t>
      </w:r>
    </w:p>
    <w:p>
      <w:pPr>
        <w:pStyle w:val="ListBullet"/>
      </w:pPr>
      <w:r>
        <w:t>Plan a migration and validation strategy.</w:t>
      </w:r>
    </w:p>
    <w:p>
      <w:pPr>
        <w:pStyle w:val="Heading3"/>
      </w:pPr>
      <w:r>
        <w:t>8.2 HMI</w:t>
      </w:r>
    </w:p>
    <w:p>
      <w:r>
        <w:t>An obsolete HMI can become difficult to replace because its project may depend on an old development tool, operating system, communication driver, or display resolution.</w:t>
      </w:r>
    </w:p>
    <w:p>
      <w:r>
        <w:t>Required actions:</w:t>
      </w:r>
    </w:p>
    <w:p>
      <w:pPr>
        <w:pStyle w:val="ListBullet"/>
      </w:pPr>
      <w:r>
        <w:t>Back up the original HMI project.</w:t>
      </w:r>
    </w:p>
    <w:p>
      <w:pPr>
        <w:pStyle w:val="ListBullet"/>
      </w:pPr>
      <w:r>
        <w:t>Record software version, licenses, and runtime dependencies.</w:t>
      </w:r>
    </w:p>
    <w:p>
      <w:pPr>
        <w:pStyle w:val="ListBullet"/>
      </w:pPr>
      <w:r>
        <w:t>Identify PLC communication protocols and addresses.</w:t>
      </w:r>
    </w:p>
    <w:p>
      <w:pPr>
        <w:pStyle w:val="ListBullet"/>
      </w:pPr>
      <w:r>
        <w:t>Check screen dimensions, touch behavior, and operator workflows.</w:t>
      </w:r>
    </w:p>
    <w:p>
      <w:pPr>
        <w:pStyle w:val="ListBullet"/>
      </w:pPr>
      <w:r>
        <w:t>Validate alarm, recipe, trend, and data-logging functions after migration.</w:t>
      </w:r>
    </w:p>
    <w:p>
      <w:pPr>
        <w:pStyle w:val="Heading3"/>
      </w:pPr>
      <w:r>
        <w:t>8.3 VFD</w:t>
      </w:r>
    </w:p>
    <w:p>
      <w:r>
        <w:t>A discontinued VFD may be replaceable, but the successor can differ in terminal assignments, parameter structure, control modes, braking requirements, and communications.</w:t>
      </w:r>
    </w:p>
    <w:p>
      <w:r>
        <w:t>Required actions:</w:t>
      </w:r>
    </w:p>
    <w:p>
      <w:pPr>
        <w:pStyle w:val="ListBullet"/>
      </w:pPr>
      <w:r>
        <w:t>Record motor nameplate data.</w:t>
      </w:r>
    </w:p>
    <w:p>
      <w:pPr>
        <w:pStyle w:val="ListBullet"/>
      </w:pPr>
      <w:r>
        <w:t>Back up drive parameters.</w:t>
      </w:r>
    </w:p>
    <w:p>
      <w:pPr>
        <w:pStyle w:val="ListBullet"/>
      </w:pPr>
      <w:r>
        <w:t>Document I/O and interlocking.</w:t>
      </w:r>
    </w:p>
    <w:p>
      <w:pPr>
        <w:pStyle w:val="ListBullet"/>
      </w:pPr>
      <w:r>
        <w:t>Record fieldbus configuration.</w:t>
      </w:r>
    </w:p>
    <w:p>
      <w:pPr>
        <w:pStyle w:val="ListBullet"/>
      </w:pPr>
      <w:r>
        <w:t>Verify braking and protection requirements.</w:t>
      </w:r>
    </w:p>
    <w:p>
      <w:pPr>
        <w:pStyle w:val="ListBullet"/>
      </w:pPr>
      <w:r>
        <w:t>Test acceleration, deceleration, fault handling, and restart behavior.</w:t>
      </w:r>
    </w:p>
    <w:p>
      <w:pPr>
        <w:pStyle w:val="Heading3"/>
      </w:pPr>
      <w:r>
        <w:t>8.4 CNC or Robot Controller</w:t>
      </w:r>
    </w:p>
    <w:p>
      <w:r>
        <w:t>A legacy CNC or robot controller may depend on discontinued boards, obsolete programming tools, old operating systems, and manufacturer-specific configuration files.</w:t>
      </w:r>
    </w:p>
    <w:p>
      <w:r>
        <w:t>Required actions:</w:t>
      </w:r>
    </w:p>
    <w:p>
      <w:pPr>
        <w:pStyle w:val="ListBullet"/>
      </w:pPr>
      <w:r>
        <w:t>Preserve backups and restore procedures.</w:t>
      </w:r>
    </w:p>
    <w:p>
      <w:pPr>
        <w:pStyle w:val="ListBullet"/>
      </w:pPr>
      <w:r>
        <w:t>Record firmware and software versions.</w:t>
      </w:r>
    </w:p>
    <w:p>
      <w:pPr>
        <w:pStyle w:val="ListBullet"/>
      </w:pPr>
      <w:r>
        <w:t>Identify available service channels.</w:t>
      </w:r>
    </w:p>
    <w:p>
      <w:pPr>
        <w:pStyle w:val="ListBullet"/>
      </w:pPr>
      <w:r>
        <w:t>Verify program, tool, offset, safety, and communication compatibility.</w:t>
      </w:r>
    </w:p>
    <w:p>
      <w:pPr>
        <w:pStyle w:val="ListBullet"/>
      </w:pPr>
      <w:r>
        <w:t>Plan specialist support and migration well before a critical failure.</w:t>
      </w:r>
    </w:p>
    <w:p>
      <w:pPr>
        <w:pStyle w:val="Heading2"/>
      </w:pPr>
      <w:r>
        <w:t>9. Product Lifecycle Register</w:t>
      </w:r>
    </w:p>
    <w:p>
      <w:r>
        <w:t>A product lifecycle register is a controlled record of installed equipment and its lifecycle risk.</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equipment reference</w:t>
            </w:r>
          </w:p>
        </w:tc>
      </w:tr>
      <w:tr>
        <w:tc>
          <w:tcPr>
            <w:tcW w:type="dxa" w:w="5400"/>
          </w:tcPr>
          <w:p>
            <w:pPr>
              <w:spacing w:after="0" w:before="0" w:line="240" w:lineRule="auto"/>
              <w:jc w:val="left"/>
            </w:pPr>
            <w:r>
              <w:t>Machine or line</w:t>
            </w:r>
          </w:p>
        </w:tc>
        <w:tc>
          <w:tcPr>
            <w:tcW w:type="dxa" w:w="5400"/>
          </w:tcPr>
          <w:p>
            <w:pPr>
              <w:spacing w:after="0" w:before="0" w:line="240" w:lineRule="auto"/>
              <w:jc w:val="left"/>
            </w:pPr>
            <w:r>
              <w:t>Identifies the installation</w:t>
            </w:r>
          </w:p>
        </w:tc>
      </w:tr>
      <w:tr>
        <w:tc>
          <w:tcPr>
            <w:tcW w:type="dxa" w:w="5400"/>
          </w:tcPr>
          <w:p>
            <w:pPr>
              <w:spacing w:after="0" w:before="0" w:line="240" w:lineRule="auto"/>
              <w:jc w:val="left"/>
            </w:pPr>
            <w:r>
              <w:t>Component category</w:t>
            </w:r>
          </w:p>
        </w:tc>
        <w:tc>
          <w:tcPr>
            <w:tcW w:type="dxa" w:w="5400"/>
          </w:tcPr>
          <w:p>
            <w:pPr>
              <w:spacing w:after="0" w:before="0" w:line="240" w:lineRule="auto"/>
              <w:jc w:val="left"/>
            </w:pPr>
            <w:r>
              <w:t>PLC, HMI, VFD, CNC, sensor, or other</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product supplier</w:t>
            </w:r>
          </w:p>
        </w:tc>
      </w:tr>
      <w:tr>
        <w:tc>
          <w:tcPr>
            <w:tcW w:type="dxa" w:w="5400"/>
          </w:tcPr>
          <w:p>
            <w:pPr>
              <w:spacing w:after="0" w:before="0" w:line="240" w:lineRule="auto"/>
              <w:jc w:val="left"/>
            </w:pPr>
            <w:r>
              <w:t>Exact model number</w:t>
            </w:r>
          </w:p>
        </w:tc>
        <w:tc>
          <w:tcPr>
            <w:tcW w:type="dxa" w:w="5400"/>
          </w:tcPr>
          <w:p>
            <w:pPr>
              <w:spacing w:after="0" w:before="0" w:line="240" w:lineRule="auto"/>
              <w:jc w:val="left"/>
            </w:pPr>
            <w:r>
              <w:t>Supports accurate lifecycle research</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Distinguishes compatible product variants</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Supports compatibility and security analysis</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discontinued, unsupported, or another verified state</w:t>
            </w:r>
          </w:p>
        </w:tc>
      </w:tr>
      <w:tr>
        <w:tc>
          <w:tcPr>
            <w:tcW w:type="dxa" w:w="5400"/>
          </w:tcPr>
          <w:p>
            <w:pPr>
              <w:spacing w:after="0" w:before="0" w:line="240" w:lineRule="auto"/>
              <w:jc w:val="left"/>
            </w:pPr>
            <w:r>
              <w:t>Lifecycle notice date</w:t>
            </w:r>
          </w:p>
        </w:tc>
        <w:tc>
          <w:tcPr>
            <w:tcW w:type="dxa" w:w="5400"/>
          </w:tcPr>
          <w:p>
            <w:pPr>
              <w:spacing w:after="0" w:before="0" w:line="240" w:lineRule="auto"/>
              <w:jc w:val="left"/>
            </w:pPr>
            <w:r>
              <w:t>Records the published announcement date</w:t>
            </w:r>
          </w:p>
        </w:tc>
      </w:tr>
      <w:tr>
        <w:tc>
          <w:tcPr>
            <w:tcW w:type="dxa" w:w="5400"/>
          </w:tcPr>
          <w:p>
            <w:pPr>
              <w:spacing w:after="0" w:before="0" w:line="240" w:lineRule="auto"/>
              <w:jc w:val="left"/>
            </w:pPr>
            <w:r>
              <w:t>End-of-sale date</w:t>
            </w:r>
          </w:p>
        </w:tc>
        <w:tc>
          <w:tcPr>
            <w:tcW w:type="dxa" w:w="5400"/>
          </w:tcPr>
          <w:p>
            <w:pPr>
              <w:spacing w:after="0" w:before="0" w:line="240" w:lineRule="auto"/>
              <w:jc w:val="left"/>
            </w:pPr>
            <w:r>
              <w:t>Records the last-sales deadline</w:t>
            </w:r>
          </w:p>
        </w:tc>
      </w:tr>
      <w:tr>
        <w:tc>
          <w:tcPr>
            <w:tcW w:type="dxa" w:w="5400"/>
          </w:tcPr>
          <w:p>
            <w:pPr>
              <w:spacing w:after="0" w:before="0" w:line="240" w:lineRule="auto"/>
              <w:jc w:val="left"/>
            </w:pPr>
            <w:r>
              <w:t>End-of-support date</w:t>
            </w:r>
          </w:p>
        </w:tc>
        <w:tc>
          <w:tcPr>
            <w:tcW w:type="dxa" w:w="5400"/>
          </w:tcPr>
          <w:p>
            <w:pPr>
              <w:spacing w:after="0" w:before="0" w:line="240" w:lineRule="auto"/>
              <w:jc w:val="left"/>
            </w:pPr>
            <w:r>
              <w:t>Records the relevant support deadline</w:t>
            </w:r>
          </w:p>
        </w:tc>
      </w:tr>
      <w:tr>
        <w:tc>
          <w:tcPr>
            <w:tcW w:type="dxa" w:w="5400"/>
          </w:tcPr>
          <w:p>
            <w:pPr>
              <w:spacing w:after="0" w:before="0" w:line="240" w:lineRule="auto"/>
              <w:jc w:val="left"/>
            </w:pPr>
            <w:r>
              <w:t>Successor model</w:t>
            </w:r>
          </w:p>
        </w:tc>
        <w:tc>
          <w:tcPr>
            <w:tcW w:type="dxa" w:w="5400"/>
          </w:tcPr>
          <w:p>
            <w:pPr>
              <w:spacing w:after="0" w:before="0" w:line="240" w:lineRule="auto"/>
              <w:jc w:val="left"/>
            </w:pPr>
            <w:r>
              <w:t>Records the proposed replacement</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Records the result of technical validation</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production or safety importance</w:t>
            </w:r>
          </w:p>
        </w:tc>
      </w:tr>
      <w:tr>
        <w:tc>
          <w:tcPr>
            <w:tcW w:type="dxa" w:w="5400"/>
          </w:tcPr>
          <w:p>
            <w:pPr>
              <w:spacing w:after="0" w:before="0" w:line="240" w:lineRule="auto"/>
              <w:jc w:val="left"/>
            </w:pPr>
            <w:r>
              <w:t>Spare quantity</w:t>
            </w:r>
          </w:p>
        </w:tc>
        <w:tc>
          <w:tcPr>
            <w:tcW w:type="dxa" w:w="5400"/>
          </w:tcPr>
          <w:p>
            <w:pPr>
              <w:spacing w:after="0" w:before="0" w:line="240" w:lineRule="auto"/>
              <w:jc w:val="left"/>
            </w:pPr>
            <w:r>
              <w:t>Records available stock</w:t>
            </w:r>
          </w:p>
        </w:tc>
      </w:tr>
      <w:tr>
        <w:tc>
          <w:tcPr>
            <w:tcW w:type="dxa" w:w="5400"/>
          </w:tcPr>
          <w:p>
            <w:pPr>
              <w:spacing w:after="0" w:before="0" w:line="240" w:lineRule="auto"/>
              <w:jc w:val="left"/>
            </w:pPr>
            <w:r>
              <w:t>Lead time</w:t>
            </w:r>
          </w:p>
        </w:tc>
        <w:tc>
          <w:tcPr>
            <w:tcW w:type="dxa" w:w="5400"/>
          </w:tcPr>
          <w:p>
            <w:pPr>
              <w:spacing w:after="0" w:before="0" w:line="240" w:lineRule="auto"/>
              <w:jc w:val="left"/>
            </w:pPr>
            <w:r>
              <w:t>Supports recovery planning</w:t>
            </w:r>
          </w:p>
        </w:tc>
      </w:tr>
      <w:tr>
        <w:tc>
          <w:tcPr>
            <w:tcW w:type="dxa" w:w="5400"/>
          </w:tcPr>
          <w:p>
            <w:pPr>
              <w:spacing w:after="0" w:before="0" w:line="240" w:lineRule="auto"/>
              <w:jc w:val="left"/>
            </w:pPr>
            <w:r>
              <w:t>Risk score</w:t>
            </w:r>
          </w:p>
        </w:tc>
        <w:tc>
          <w:tcPr>
            <w:tcW w:type="dxa" w:w="5400"/>
          </w:tcPr>
          <w:p>
            <w:pPr>
              <w:spacing w:after="0" w:before="0" w:line="240" w:lineRule="auto"/>
              <w:jc w:val="left"/>
            </w:pPr>
            <w:r>
              <w:t>Prioritizes mitigation</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Assigns accountability</w:t>
            </w:r>
          </w:p>
        </w:tc>
      </w:tr>
      <w:tr>
        <w:tc>
          <w:tcPr>
            <w:tcW w:type="dxa" w:w="5400"/>
          </w:tcPr>
          <w:p>
            <w:pPr>
              <w:spacing w:after="0" w:before="0" w:line="240" w:lineRule="auto"/>
              <w:jc w:val="left"/>
            </w:pPr>
            <w:r>
              <w:t>Target date</w:t>
            </w:r>
          </w:p>
        </w:tc>
        <w:tc>
          <w:tcPr>
            <w:tcW w:type="dxa" w:w="5400"/>
          </w:tcPr>
          <w:p>
            <w:pPr>
              <w:spacing w:after="0" w:before="0" w:line="240" w:lineRule="auto"/>
              <w:jc w:val="left"/>
            </w:pPr>
            <w:r>
              <w:t>Controls planned completion</w:t>
            </w:r>
          </w:p>
        </w:tc>
      </w:tr>
      <w:tr>
        <w:tc>
          <w:tcPr>
            <w:tcW w:type="dxa" w:w="5400"/>
          </w:tcPr>
          <w:p>
            <w:pPr>
              <w:spacing w:after="0" w:before="0" w:line="240" w:lineRule="auto"/>
              <w:jc w:val="left"/>
            </w:pPr>
            <w:r>
              <w:t>Evidence location</w:t>
            </w:r>
          </w:p>
        </w:tc>
        <w:tc>
          <w:tcPr>
            <w:tcW w:type="dxa" w:w="5400"/>
          </w:tcPr>
          <w:p>
            <w:pPr>
              <w:spacing w:after="0" w:before="0" w:line="240" w:lineRule="auto"/>
              <w:jc w:val="left"/>
            </w:pPr>
            <w:r>
              <w:t>Stores official notices and engineering documents</w:t>
            </w:r>
          </w:p>
        </w:tc>
      </w:tr>
    </w:tbl>
    <w:p/>
    <w:p>
      <w:r>
        <w:t>Use separate fields for unknown dates and confirmed dates. A blank date should not silently be interpreted as unlimited support.</w:t>
      </w:r>
    </w:p>
    <w:p>
      <w:pPr>
        <w:pStyle w:val="Heading2"/>
      </w:pPr>
      <w:r>
        <w:t>10. Lifecycle Risk Assessment</w:t>
      </w:r>
    </w:p>
    <w:p>
      <w:r>
        <w:t>Lifecycle status alone is not sufficient to decide replacement priority.</w:t>
      </w:r>
    </w:p>
    <w:p>
      <w:r>
        <w:t>Evaluate the following factors:</w:t>
      </w:r>
    </w:p>
    <w:p>
      <w:pPr>
        <w:pStyle w:val="ListBullet"/>
      </w:pPr>
      <w:r>
        <w:t>Equipment criticality.</w:t>
      </w:r>
    </w:p>
    <w:p>
      <w:pPr>
        <w:pStyle w:val="ListBullet"/>
      </w:pPr>
      <w:r>
        <w:t>Failure probability and historical reliability.</w:t>
      </w:r>
    </w:p>
    <w:p>
      <w:pPr>
        <w:pStyle w:val="ListBullet"/>
      </w:pPr>
      <w:r>
        <w:t>Spare availability.</w:t>
      </w:r>
    </w:p>
    <w:p>
      <w:pPr>
        <w:pStyle w:val="ListBullet"/>
      </w:pPr>
      <w:r>
        <w:t>Supplier lead time.</w:t>
      </w:r>
    </w:p>
    <w:p>
      <w:pPr>
        <w:pStyle w:val="ListBullet"/>
      </w:pPr>
      <w:r>
        <w:t>Repair capability.</w:t>
      </w:r>
    </w:p>
    <w:p>
      <w:pPr>
        <w:pStyle w:val="ListBullet"/>
      </w:pPr>
      <w:r>
        <w:t>Consequence of prolonged downtime.</w:t>
      </w:r>
    </w:p>
    <w:p>
      <w:pPr>
        <w:pStyle w:val="ListBullet"/>
      </w:pPr>
      <w:r>
        <w:t>Cybersecurity exposure.</w:t>
      </w:r>
    </w:p>
    <w:p>
      <w:pPr>
        <w:pStyle w:val="ListBullet"/>
      </w:pPr>
      <w:r>
        <w:t>Software and engineering-tool availability.</w:t>
      </w:r>
    </w:p>
    <w:p>
      <w:pPr>
        <w:pStyle w:val="ListBullet"/>
      </w:pPr>
      <w:r>
        <w:t>Compatibility with current systems.</w:t>
      </w:r>
    </w:p>
    <w:p>
      <w:pPr>
        <w:pStyle w:val="ListBullet"/>
      </w:pPr>
      <w:r>
        <w:t>Safety and regulatory implications.</w:t>
      </w:r>
    </w:p>
    <w:p>
      <w:pPr>
        <w:pStyle w:val="ListBullet"/>
      </w:pPr>
      <w:r>
        <w:t>Planned machine upgrades.</w:t>
      </w:r>
    </w:p>
    <w:p>
      <w:pPr>
        <w:pStyle w:val="ListBullet"/>
      </w:pPr>
      <w:r>
        <w:t>Replacement and migration cost.</w:t>
      </w:r>
    </w:p>
    <w:p>
      <w:pPr>
        <w:pStyle w:val="Heading3"/>
      </w:pPr>
      <w:r>
        <w:t>10.1 Example Risk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Lifecycle condition</w:t>
            </w:r>
          </w:p>
        </w:tc>
        <w:tc>
          <w:tcPr>
            <w:tcW w:type="dxa" w:w="2700"/>
            <w:shd w:val="clear" w:color="auto" w:fill="EEF2F7"/>
          </w:tcPr>
          <w:p>
            <w:pPr>
              <w:spacing w:after="0" w:before="0" w:line="240" w:lineRule="auto"/>
              <w:jc w:val="left"/>
            </w:pPr>
            <w:r>
              <w:rPr>
                <w:b/>
                <w:color w:val="1A2E4A"/>
              </w:rPr>
              <w:t>Spare availability</w:t>
            </w:r>
          </w:p>
        </w:tc>
        <w:tc>
          <w:tcPr>
            <w:tcW w:type="dxa" w:w="2700"/>
            <w:shd w:val="clear" w:color="auto" w:fill="EEF2F7"/>
          </w:tcPr>
          <w:p>
            <w:pPr>
              <w:spacing w:after="0" w:before="0" w:line="240" w:lineRule="auto"/>
              <w:jc w:val="left"/>
            </w:pPr>
            <w:r>
              <w:rPr>
                <w:b/>
                <w:color w:val="1A2E4A"/>
              </w:rPr>
              <w:t>Equipment criticality</w:t>
            </w:r>
          </w:p>
        </w:tc>
        <w:tc>
          <w:tcPr>
            <w:tcW w:type="dxa" w:w="2700"/>
            <w:shd w:val="clear" w:color="auto" w:fill="EEF2F7"/>
          </w:tcPr>
          <w:p>
            <w:pPr>
              <w:spacing w:after="0" w:before="0" w:line="240" w:lineRule="auto"/>
              <w:jc w:val="left"/>
            </w:pPr>
            <w:r>
              <w:rPr>
                <w:b/>
                <w:color w:val="1A2E4A"/>
              </w:rPr>
              <w:t>Typical priority</w:t>
            </w:r>
          </w:p>
        </w:tc>
      </w:tr>
      <w:tr>
        <w:tc>
          <w:tcPr>
            <w:tcW w:type="dxa" w:w="2700"/>
          </w:tcPr>
          <w:p>
            <w:pPr>
              <w:spacing w:after="0" w:before="0" w:line="240" w:lineRule="auto"/>
              <w:jc w:val="left"/>
            </w:pPr>
            <w:r>
              <w:t>Active</w:t>
            </w:r>
          </w:p>
        </w:tc>
        <w:tc>
          <w:tcPr>
            <w:tcW w:type="dxa" w:w="2700"/>
          </w:tcPr>
          <w:p>
            <w:pPr>
              <w:spacing w:after="0" w:before="0" w:line="240" w:lineRule="auto"/>
              <w:jc w:val="left"/>
            </w:pPr>
            <w:r>
              <w:t>Readily available</w:t>
            </w:r>
          </w:p>
        </w:tc>
        <w:tc>
          <w:tcPr>
            <w:tcW w:type="dxa" w:w="2700"/>
          </w:tcPr>
          <w:p>
            <w:pPr>
              <w:spacing w:after="0" w:before="0" w:line="240" w:lineRule="auto"/>
              <w:jc w:val="left"/>
            </w:pPr>
            <w:r>
              <w:t>Low</w:t>
            </w:r>
          </w:p>
        </w:tc>
        <w:tc>
          <w:tcPr>
            <w:tcW w:type="dxa" w:w="2700"/>
          </w:tcPr>
          <w:p>
            <w:pPr>
              <w:spacing w:after="0" w:before="0" w:line="240" w:lineRule="auto"/>
              <w:jc w:val="left"/>
            </w:pPr>
            <w:r>
              <w:t>Routine monitoring</w:t>
            </w:r>
          </w:p>
        </w:tc>
      </w:tr>
      <w:tr>
        <w:tc>
          <w:tcPr>
            <w:tcW w:type="dxa" w:w="2700"/>
          </w:tcPr>
          <w:p>
            <w:pPr>
              <w:spacing w:after="0" w:before="0" w:line="240" w:lineRule="auto"/>
              <w:jc w:val="left"/>
            </w:pPr>
            <w:r>
              <w:t>Discontinued</w:t>
            </w:r>
          </w:p>
        </w:tc>
        <w:tc>
          <w:tcPr>
            <w:tcW w:type="dxa" w:w="2700"/>
          </w:tcPr>
          <w:p>
            <w:pPr>
              <w:spacing w:after="0" w:before="0" w:line="240" w:lineRule="auto"/>
              <w:jc w:val="left"/>
            </w:pPr>
            <w:r>
              <w:t>Readily available</w:t>
            </w:r>
          </w:p>
        </w:tc>
        <w:tc>
          <w:tcPr>
            <w:tcW w:type="dxa" w:w="2700"/>
          </w:tcPr>
          <w:p>
            <w:pPr>
              <w:spacing w:after="0" w:before="0" w:line="240" w:lineRule="auto"/>
              <w:jc w:val="left"/>
            </w:pPr>
            <w:r>
              <w:t>Medium</w:t>
            </w:r>
          </w:p>
        </w:tc>
        <w:tc>
          <w:tcPr>
            <w:tcW w:type="dxa" w:w="2700"/>
          </w:tcPr>
          <w:p>
            <w:pPr>
              <w:spacing w:after="0" w:before="0" w:line="240" w:lineRule="auto"/>
              <w:jc w:val="left"/>
            </w:pPr>
            <w:r>
              <w:t>Planned lifecycle review</w:t>
            </w:r>
          </w:p>
        </w:tc>
      </w:tr>
      <w:tr>
        <w:tc>
          <w:tcPr>
            <w:tcW w:type="dxa" w:w="2700"/>
          </w:tcPr>
          <w:p>
            <w:pPr>
              <w:spacing w:after="0" w:before="0" w:line="240" w:lineRule="auto"/>
              <w:jc w:val="left"/>
            </w:pPr>
            <w:r>
              <w:t>Unsupported</w:t>
            </w:r>
          </w:p>
        </w:tc>
        <w:tc>
          <w:tcPr>
            <w:tcW w:type="dxa" w:w="2700"/>
          </w:tcPr>
          <w:p>
            <w:pPr>
              <w:spacing w:after="0" w:before="0" w:line="240" w:lineRule="auto"/>
              <w:jc w:val="left"/>
            </w:pPr>
            <w:r>
              <w:t>Limited</w:t>
            </w:r>
          </w:p>
        </w:tc>
        <w:tc>
          <w:tcPr>
            <w:tcW w:type="dxa" w:w="2700"/>
          </w:tcPr>
          <w:p>
            <w:pPr>
              <w:spacing w:after="0" w:before="0" w:line="240" w:lineRule="auto"/>
              <w:jc w:val="left"/>
            </w:pPr>
            <w:r>
              <w:t>High</w:t>
            </w:r>
          </w:p>
        </w:tc>
        <w:tc>
          <w:tcPr>
            <w:tcW w:type="dxa" w:w="2700"/>
          </w:tcPr>
          <w:p>
            <w:pPr>
              <w:spacing w:after="0" w:before="0" w:line="240" w:lineRule="auto"/>
              <w:jc w:val="left"/>
            </w:pPr>
            <w:r>
              <w:t>High-priority mitigation</w:t>
            </w:r>
          </w:p>
        </w:tc>
      </w:tr>
      <w:tr>
        <w:tc>
          <w:tcPr>
            <w:tcW w:type="dxa" w:w="2700"/>
          </w:tcPr>
          <w:p>
            <w:pPr>
              <w:spacing w:after="0" w:before="0" w:line="240" w:lineRule="auto"/>
              <w:jc w:val="left"/>
            </w:pPr>
            <w:r>
              <w:t>Obsolete</w:t>
            </w:r>
          </w:p>
        </w:tc>
        <w:tc>
          <w:tcPr>
            <w:tcW w:type="dxa" w:w="2700"/>
          </w:tcPr>
          <w:p>
            <w:pPr>
              <w:spacing w:after="0" w:before="0" w:line="240" w:lineRule="auto"/>
              <w:jc w:val="left"/>
            </w:pPr>
            <w:r>
              <w:t>Unavailable</w:t>
            </w:r>
          </w:p>
        </w:tc>
        <w:tc>
          <w:tcPr>
            <w:tcW w:type="dxa" w:w="2700"/>
          </w:tcPr>
          <w:p>
            <w:pPr>
              <w:spacing w:after="0" w:before="0" w:line="240" w:lineRule="auto"/>
              <w:jc w:val="left"/>
            </w:pPr>
            <w:r>
              <w:t>High</w:t>
            </w:r>
          </w:p>
        </w:tc>
        <w:tc>
          <w:tcPr>
            <w:tcW w:type="dxa" w:w="2700"/>
          </w:tcPr>
          <w:p>
            <w:pPr>
              <w:spacing w:after="0" w:before="0" w:line="240" w:lineRule="auto"/>
              <w:jc w:val="left"/>
            </w:pPr>
            <w:r>
              <w:t>Urgent replacement or contingency planning</w:t>
            </w:r>
          </w:p>
        </w:tc>
      </w:tr>
      <w:tr>
        <w:tc>
          <w:tcPr>
            <w:tcW w:type="dxa" w:w="2700"/>
          </w:tcPr>
          <w:p>
            <w:pPr>
              <w:spacing w:after="0" w:before="0" w:line="240" w:lineRule="auto"/>
              <w:jc w:val="left"/>
            </w:pPr>
            <w:r>
              <w:t>Unsupported</w:t>
            </w:r>
          </w:p>
        </w:tc>
        <w:tc>
          <w:tcPr>
            <w:tcW w:type="dxa" w:w="2700"/>
          </w:tcPr>
          <w:p>
            <w:pPr>
              <w:spacing w:after="0" w:before="0" w:line="240" w:lineRule="auto"/>
              <w:jc w:val="left"/>
            </w:pPr>
            <w:r>
              <w:t>Unavailable</w:t>
            </w:r>
          </w:p>
        </w:tc>
        <w:tc>
          <w:tcPr>
            <w:tcW w:type="dxa" w:w="2700"/>
          </w:tcPr>
          <w:p>
            <w:pPr>
              <w:spacing w:after="0" w:before="0" w:line="240" w:lineRule="auto"/>
              <w:jc w:val="left"/>
            </w:pPr>
            <w:r>
              <w:t>Safety-critical</w:t>
            </w:r>
          </w:p>
        </w:tc>
        <w:tc>
          <w:tcPr>
            <w:tcW w:type="dxa" w:w="2700"/>
          </w:tcPr>
          <w:p>
            <w:pPr>
              <w:spacing w:after="0" w:before="0" w:line="240" w:lineRule="auto"/>
              <w:jc w:val="left"/>
            </w:pPr>
            <w:r>
              <w:t>Immediate engineering and safety risk assessment</w:t>
            </w:r>
          </w:p>
        </w:tc>
      </w:tr>
    </w:tbl>
    <w:p/>
    <w:p>
      <w:r>
        <w:t>The table provides general guidance. A safety-critical system or known cybersecurity vulnerability can require urgent action even when spare parts are available.</w:t>
      </w:r>
    </w:p>
    <w:p>
      <w:pPr>
        <w:pStyle w:val="Heading2"/>
      </w:pPr>
      <w:r>
        <w:t>11. Lifecycle Risk Scoring</w:t>
      </w:r>
    </w:p>
    <w:p>
      <w:r>
        <w:t>A plant may use a scoring model to compare lifecycle risks consistently.</w:t>
      </w:r>
    </w:p>
    <w:p>
      <w:r>
        <w:t>For example, assign each factor a score from 1 to 5, where 1 represents low concern and 5 represents high concern.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Factor</w:t>
            </w:r>
          </w:p>
        </w:tc>
        <w:tc>
          <w:tcPr>
            <w:tcW w:type="dxa" w:w="2700"/>
            <w:shd w:val="clear" w:color="auto" w:fill="EEF2F7"/>
          </w:tcPr>
          <w:p>
            <w:pPr>
              <w:spacing w:after="0" w:before="0" w:line="240" w:lineRule="auto"/>
              <w:jc w:val="left"/>
            </w:pPr>
            <w:r>
              <w:rPr>
                <w:b/>
                <w:color w:val="1A2E4A"/>
              </w:rPr>
              <w:t>Score 1</w:t>
            </w:r>
          </w:p>
        </w:tc>
        <w:tc>
          <w:tcPr>
            <w:tcW w:type="dxa" w:w="2700"/>
            <w:shd w:val="clear" w:color="auto" w:fill="EEF2F7"/>
          </w:tcPr>
          <w:p>
            <w:pPr>
              <w:spacing w:after="0" w:before="0" w:line="240" w:lineRule="auto"/>
              <w:jc w:val="left"/>
            </w:pPr>
            <w:r>
              <w:rPr>
                <w:b/>
                <w:color w:val="1A2E4A"/>
              </w:rPr>
              <w:t>Score 3</w:t>
            </w:r>
          </w:p>
        </w:tc>
        <w:tc>
          <w:tcPr>
            <w:tcW w:type="dxa" w:w="2700"/>
            <w:shd w:val="clear" w:color="auto" w:fill="EEF2F7"/>
          </w:tcPr>
          <w:p>
            <w:pPr>
              <w:spacing w:after="0" w:before="0" w:line="240" w:lineRule="auto"/>
              <w:jc w:val="left"/>
            </w:pPr>
            <w:r>
              <w:rPr>
                <w:b/>
                <w:color w:val="1A2E4A"/>
              </w:rPr>
              <w:t>Score 5</w:t>
            </w:r>
          </w:p>
        </w:tc>
      </w:tr>
      <w:tr>
        <w:tc>
          <w:tcPr>
            <w:tcW w:type="dxa" w:w="2700"/>
          </w:tcPr>
          <w:p>
            <w:pPr>
              <w:spacing w:after="0" w:before="0" w:line="240" w:lineRule="auto"/>
              <w:jc w:val="left"/>
            </w:pPr>
            <w:r>
              <w:t>Lifecycle status</w:t>
            </w:r>
          </w:p>
        </w:tc>
        <w:tc>
          <w:tcPr>
            <w:tcW w:type="dxa" w:w="2700"/>
          </w:tcPr>
          <w:p>
            <w:pPr>
              <w:spacing w:after="0" w:before="0" w:line="240" w:lineRule="auto"/>
              <w:jc w:val="left"/>
            </w:pPr>
            <w:r>
              <w:t>Active</w:t>
            </w:r>
          </w:p>
        </w:tc>
        <w:tc>
          <w:tcPr>
            <w:tcW w:type="dxa" w:w="2700"/>
          </w:tcPr>
          <w:p>
            <w:pPr>
              <w:spacing w:after="0" w:before="0" w:line="240" w:lineRule="auto"/>
              <w:jc w:val="left"/>
            </w:pPr>
            <w:r>
              <w:t>Discontinued</w:t>
            </w:r>
          </w:p>
        </w:tc>
        <w:tc>
          <w:tcPr>
            <w:tcW w:type="dxa" w:w="2700"/>
          </w:tcPr>
          <w:p>
            <w:pPr>
              <w:spacing w:after="0" w:before="0" w:line="240" w:lineRule="auto"/>
              <w:jc w:val="left"/>
            </w:pPr>
            <w:r>
              <w:t>Unsupported or obsolete</w:t>
            </w:r>
          </w:p>
        </w:tc>
      </w:tr>
      <w:tr>
        <w:tc>
          <w:tcPr>
            <w:tcW w:type="dxa" w:w="2700"/>
          </w:tcPr>
          <w:p>
            <w:pPr>
              <w:spacing w:after="0" w:before="0" w:line="240" w:lineRule="auto"/>
              <w:jc w:val="left"/>
            </w:pPr>
            <w:r>
              <w:t>Spare availability</w:t>
            </w:r>
          </w:p>
        </w:tc>
        <w:tc>
          <w:tcPr>
            <w:tcW w:type="dxa" w:w="2700"/>
          </w:tcPr>
          <w:p>
            <w:pPr>
              <w:spacing w:after="0" w:before="0" w:line="240" w:lineRule="auto"/>
              <w:jc w:val="left"/>
            </w:pPr>
            <w:r>
              <w:t>Readily available</w:t>
            </w:r>
          </w:p>
        </w:tc>
        <w:tc>
          <w:tcPr>
            <w:tcW w:type="dxa" w:w="2700"/>
          </w:tcPr>
          <w:p>
            <w:pPr>
              <w:spacing w:after="0" w:before="0" w:line="240" w:lineRule="auto"/>
              <w:jc w:val="left"/>
            </w:pPr>
            <w:r>
              <w:t>Limited</w:t>
            </w:r>
          </w:p>
        </w:tc>
        <w:tc>
          <w:tcPr>
            <w:tcW w:type="dxa" w:w="2700"/>
          </w:tcPr>
          <w:p>
            <w:pPr>
              <w:spacing w:after="0" w:before="0" w:line="240" w:lineRule="auto"/>
              <w:jc w:val="left"/>
            </w:pPr>
            <w:r>
              <w:t>Unavailable</w:t>
            </w:r>
          </w:p>
        </w:tc>
      </w:tr>
      <w:tr>
        <w:tc>
          <w:tcPr>
            <w:tcW w:type="dxa" w:w="2700"/>
          </w:tcPr>
          <w:p>
            <w:pPr>
              <w:spacing w:after="0" w:before="0" w:line="240" w:lineRule="auto"/>
              <w:jc w:val="left"/>
            </w:pPr>
            <w:r>
              <w:t>Equipment criticality</w:t>
            </w:r>
          </w:p>
        </w:tc>
        <w:tc>
          <w:tcPr>
            <w:tcW w:type="dxa" w:w="2700"/>
          </w:tcPr>
          <w:p>
            <w:pPr>
              <w:spacing w:after="0" w:before="0" w:line="240" w:lineRule="auto"/>
              <w:jc w:val="left"/>
            </w:pPr>
            <w:r>
              <w:t>Low</w:t>
            </w:r>
          </w:p>
        </w:tc>
        <w:tc>
          <w:tcPr>
            <w:tcW w:type="dxa" w:w="2700"/>
          </w:tcPr>
          <w:p>
            <w:pPr>
              <w:spacing w:after="0" w:before="0" w:line="240" w:lineRule="auto"/>
              <w:jc w:val="left"/>
            </w:pPr>
            <w:r>
              <w:t>Medium</w:t>
            </w:r>
          </w:p>
        </w:tc>
        <w:tc>
          <w:tcPr>
            <w:tcW w:type="dxa" w:w="2700"/>
          </w:tcPr>
          <w:p>
            <w:pPr>
              <w:spacing w:after="0" w:before="0" w:line="240" w:lineRule="auto"/>
              <w:jc w:val="left"/>
            </w:pPr>
            <w:r>
              <w:t>Very high</w:t>
            </w:r>
          </w:p>
        </w:tc>
      </w:tr>
      <w:tr>
        <w:tc>
          <w:tcPr>
            <w:tcW w:type="dxa" w:w="2700"/>
          </w:tcPr>
          <w:p>
            <w:pPr>
              <w:spacing w:after="0" w:before="0" w:line="240" w:lineRule="auto"/>
              <w:jc w:val="left"/>
            </w:pPr>
            <w:r>
              <w:t>Repair lead time</w:t>
            </w:r>
          </w:p>
        </w:tc>
        <w:tc>
          <w:tcPr>
            <w:tcW w:type="dxa" w:w="2700"/>
          </w:tcPr>
          <w:p>
            <w:pPr>
              <w:spacing w:after="0" w:before="0" w:line="240" w:lineRule="auto"/>
              <w:jc w:val="left"/>
            </w:pPr>
            <w:r>
              <w:t>Short</w:t>
            </w:r>
          </w:p>
        </w:tc>
        <w:tc>
          <w:tcPr>
            <w:tcW w:type="dxa" w:w="2700"/>
          </w:tcPr>
          <w:p>
            <w:pPr>
              <w:spacing w:after="0" w:before="0" w:line="240" w:lineRule="auto"/>
              <w:jc w:val="left"/>
            </w:pPr>
            <w:r>
              <w:t>Moderate</w:t>
            </w:r>
          </w:p>
        </w:tc>
        <w:tc>
          <w:tcPr>
            <w:tcW w:type="dxa" w:w="2700"/>
          </w:tcPr>
          <w:p>
            <w:pPr>
              <w:spacing w:after="0" w:before="0" w:line="240" w:lineRule="auto"/>
              <w:jc w:val="left"/>
            </w:pPr>
            <w:r>
              <w:t>Very long or unknown</w:t>
            </w:r>
          </w:p>
        </w:tc>
      </w:tr>
      <w:tr>
        <w:tc>
          <w:tcPr>
            <w:tcW w:type="dxa" w:w="2700"/>
          </w:tcPr>
          <w:p>
            <w:pPr>
              <w:spacing w:after="0" w:before="0" w:line="240" w:lineRule="auto"/>
              <w:jc w:val="left"/>
            </w:pPr>
            <w:r>
              <w:t>Recovery difficulty</w:t>
            </w:r>
          </w:p>
        </w:tc>
        <w:tc>
          <w:tcPr>
            <w:tcW w:type="dxa" w:w="2700"/>
          </w:tcPr>
          <w:p>
            <w:pPr>
              <w:spacing w:after="0" w:before="0" w:line="240" w:lineRule="auto"/>
              <w:jc w:val="left"/>
            </w:pPr>
            <w:r>
              <w:t>Simple replacement</w:t>
            </w:r>
          </w:p>
        </w:tc>
        <w:tc>
          <w:tcPr>
            <w:tcW w:type="dxa" w:w="2700"/>
          </w:tcPr>
          <w:p>
            <w:pPr>
              <w:spacing w:after="0" w:before="0" w:line="240" w:lineRule="auto"/>
              <w:jc w:val="left"/>
            </w:pPr>
            <w:r>
              <w:t>Configuration work</w:t>
            </w:r>
          </w:p>
        </w:tc>
        <w:tc>
          <w:tcPr>
            <w:tcW w:type="dxa" w:w="2700"/>
          </w:tcPr>
          <w:p>
            <w:pPr>
              <w:spacing w:after="0" w:before="0" w:line="240" w:lineRule="auto"/>
              <w:jc w:val="left"/>
            </w:pPr>
            <w:r>
              <w:t>Complex migration or specialist intervention</w:t>
            </w:r>
          </w:p>
        </w:tc>
      </w:tr>
    </w:tbl>
    <w:p/>
    <w:p>
      <w:r>
        <w:t>A simple weighted score can be calculated as:</w:t>
      </w:r>
    </w:p>
    <w:p>
      <w:pPr>
        <w:spacing w:before="120" w:after="160"/>
        <w:jc w:val="center"/>
      </w:pPr>
      <m:oMathPara>
        <m:oMath>
          <m:r>
            <m:t>R=</m:t>
          </m:r>
          <m:nary>
            <m:naryPr>
              <m:chr m:val="∑"/>
              <m:limLoc m:val="subSup"/>
              <m:grow m:val="1"/>
              <m:subHide m:val="off"/>
              <m:supHide m:val="off"/>
            </m:naryPr>
            <m:sub>
              <m:r>
                <m:t>i=1</m:t>
              </m:r>
            </m:sub>
            <m:sup>
              <m:r>
                <m:t>n</m:t>
              </m:r>
            </m:sup>
            <m:e>
              <m:sSub>
                <m:e>
                  <m:r>
                    <m:t>w</m:t>
                  </m:r>
                </m:e>
                <m:sub>
                  <m:r>
                    <m:t>i</m:t>
                  </m:r>
                </m:sub>
              </m:sSub>
            </m:e>
          </m:nary>
          <m:sSub>
            <m:e>
              <m:r>
                <m:t>s</m:t>
              </m:r>
            </m:e>
            <m:sub>
              <m:r>
                <m:t>i</m:t>
              </m:r>
            </m:sub>
          </m:sSub>
        </m:oMath>
      </m:oMathPara>
    </w:p>
    <w:p>
      <w:r>
        <w:t>Where:</w:t>
      </w:r>
    </w:p>
    <w:p>
      <w:pPr>
        <w:pStyle w:val="ListBullet"/>
      </w:pPr>
      <m:oMath>
        <m:r>
          <m:t>R</m:t>
        </m:r>
      </m:oMath>
      <w:r>
        <w:t xml:space="preserve"> is the total risk score.</w:t>
      </w:r>
    </w:p>
    <w:p>
      <w:pPr>
        <w:pStyle w:val="ListBullet"/>
      </w:pPr>
      <m:oMath>
        <m:sSub>
          <m:e>
            <m:r>
              <m:t>w</m:t>
            </m:r>
          </m:e>
          <m:sub>
            <m:r>
              <m:t>i</m:t>
            </m:r>
          </m:sub>
        </m:sSub>
      </m:oMath>
      <w:r>
        <w:t xml:space="preserve"> is the weight assigned to factor </w:t>
      </w:r>
      <m:oMath>
        <m:r>
          <m:t>i</m:t>
        </m:r>
      </m:oMath>
      <w:r>
        <w:t>.</w:t>
      </w:r>
    </w:p>
    <w:p>
      <w:pPr>
        <w:pStyle w:val="ListBullet"/>
      </w:pPr>
      <m:oMath>
        <m:sSub>
          <m:e>
            <m:r>
              <m:t>s</m:t>
            </m:r>
          </m:e>
          <m:sub>
            <m:r>
              <m:t>i</m:t>
            </m:r>
          </m:sub>
        </m:sSub>
      </m:oMath>
      <w:r>
        <w:t xml:space="preserve"> is the score assigned to that factor.</w:t>
      </w:r>
    </w:p>
    <w:p>
      <w:pPr>
        <w:pStyle w:val="ListBullet"/>
      </w:pPr>
      <m:oMath>
        <m:r>
          <m:t>n</m:t>
        </m:r>
      </m:oMath>
      <w:r>
        <w:t xml:space="preserve"> is the number of factors.</w:t>
      </w:r>
    </w:p>
    <w:p>
      <w:r>
        <w:t>Weights should reflect the plant's operating priorities. The result is a prioritization aid, not a substitute for safety or cybersecurity assessment.</w:t>
      </w:r>
    </w:p>
    <w:p>
      <w:pPr>
        <w:pStyle w:val="Heading2"/>
      </w:pPr>
      <w:r>
        <w:t>12. Lifecycle Management Workflow</w:t>
      </w:r>
    </w:p>
    <w:p>
      <w:pPr>
        <w:shd w:val="clear" w:color="auto" w:fill="F4F4F4"/>
        <w:spacing w:before="0" w:after="0" w:line="240" w:lineRule="auto"/>
        <w:ind w:left="216" w:right="216"/>
        <w:jc w:val="left"/>
      </w:pPr>
      <w:r>
        <w:rPr>
          <w:rFonts w:ascii="Consolas" w:hAnsi="Consolas"/>
          <w:color w:val="202020"/>
          <w:sz w:val="18"/>
        </w:rPr>
        <w:t>Identify Installed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Exact Model and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Official Lifecycle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Sale and Support Dates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Successor or Migration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Compatibility and Spare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Production, Safety, and Cybersecurity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Mitigation Priority and Owner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Spare, Repair, or Migration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Track Actions Until Closure</w:t>
      </w:r>
    </w:p>
    <w:p/>
    <w:p>
      <w:r>
        <w:t>Lifecycle data should be reviewed periodically and whenever a manufacturer publishes a discontinuation notice, a major system fault occurs, or a machine modernization project is initiated.</w:t>
      </w:r>
    </w:p>
    <w:p>
      <w:pPr>
        <w:pStyle w:val="Heading2"/>
      </w:pPr>
      <w:r>
        <w:t>13. Spare Strategy by Lifecycle Stage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Lifecycle stage</w:t>
            </w:r>
          </w:p>
        </w:tc>
        <w:tc>
          <w:tcPr>
            <w:tcW w:type="dxa" w:w="5400"/>
            <w:shd w:val="clear" w:color="auto" w:fill="EEF2F7"/>
          </w:tcPr>
          <w:p>
            <w:pPr>
              <w:spacing w:after="0" w:before="0" w:line="240" w:lineRule="auto"/>
              <w:jc w:val="left"/>
            </w:pPr>
            <w:r>
              <w:rPr>
                <w:b/>
                <w:color w:val="1A2E4A"/>
              </w:rPr>
              <w:t>Recommended approach</w:t>
            </w:r>
          </w:p>
        </w:tc>
      </w:tr>
      <w:tr>
        <w:tc>
          <w:tcPr>
            <w:tcW w:type="dxa" w:w="5400"/>
          </w:tcPr>
          <w:p>
            <w:pPr>
              <w:spacing w:after="0" w:before="0" w:line="240" w:lineRule="auto"/>
              <w:jc w:val="left"/>
            </w:pPr>
            <w:r>
              <w:t>Introduction</w:t>
            </w:r>
          </w:p>
        </w:tc>
        <w:tc>
          <w:tcPr>
            <w:tcW w:type="dxa" w:w="5400"/>
          </w:tcPr>
          <w:p>
            <w:pPr>
              <w:spacing w:after="0" w:before="0" w:line="240" w:lineRule="auto"/>
              <w:jc w:val="left"/>
            </w:pPr>
            <w:r>
              <w:t>Validate the product and establish initial spare requirements</w:t>
            </w:r>
          </w:p>
        </w:tc>
      </w:tr>
      <w:tr>
        <w:tc>
          <w:tcPr>
            <w:tcW w:type="dxa" w:w="5400"/>
          </w:tcPr>
          <w:p>
            <w:pPr>
              <w:spacing w:after="0" w:before="0" w:line="240" w:lineRule="auto"/>
              <w:jc w:val="left"/>
            </w:pPr>
            <w:r>
              <w:t>Active support</w:t>
            </w:r>
          </w:p>
        </w:tc>
        <w:tc>
          <w:tcPr>
            <w:tcW w:type="dxa" w:w="5400"/>
          </w:tcPr>
          <w:p>
            <w:pPr>
              <w:spacing w:after="0" w:before="0" w:line="240" w:lineRule="auto"/>
              <w:jc w:val="left"/>
            </w:pPr>
            <w:r>
              <w:t>Maintain normal stock based on criticality and lead time</w:t>
            </w:r>
          </w:p>
        </w:tc>
      </w:tr>
      <w:tr>
        <w:tc>
          <w:tcPr>
            <w:tcW w:type="dxa" w:w="5400"/>
          </w:tcPr>
          <w:p>
            <w:pPr>
              <w:spacing w:after="0" w:before="0" w:line="240" w:lineRule="auto"/>
              <w:jc w:val="left"/>
            </w:pPr>
            <w:r>
              <w:t>Mature</w:t>
            </w:r>
          </w:p>
        </w:tc>
        <w:tc>
          <w:tcPr>
            <w:tcW w:type="dxa" w:w="5400"/>
          </w:tcPr>
          <w:p>
            <w:pPr>
              <w:spacing w:after="0" w:before="0" w:line="240" w:lineRule="auto"/>
              <w:jc w:val="left"/>
            </w:pPr>
            <w:r>
              <w:t>Monitor lifecycle notices and review installed-base exposure</w:t>
            </w:r>
          </w:p>
        </w:tc>
      </w:tr>
      <w:tr>
        <w:tc>
          <w:tcPr>
            <w:tcW w:type="dxa" w:w="5400"/>
          </w:tcPr>
          <w:p>
            <w:pPr>
              <w:spacing w:after="0" w:before="0" w:line="240" w:lineRule="auto"/>
              <w:jc w:val="left"/>
            </w:pPr>
            <w:r>
              <w:t>End of sale</w:t>
            </w:r>
          </w:p>
        </w:tc>
        <w:tc>
          <w:tcPr>
            <w:tcW w:type="dxa" w:w="5400"/>
          </w:tcPr>
          <w:p>
            <w:pPr>
              <w:spacing w:after="0" w:before="0" w:line="240" w:lineRule="auto"/>
              <w:jc w:val="left"/>
            </w:pPr>
            <w:r>
              <w:t>Evaluate last-time-buy decisions and successor compatibility</w:t>
            </w:r>
          </w:p>
        </w:tc>
      </w:tr>
      <w:tr>
        <w:tc>
          <w:tcPr>
            <w:tcW w:type="dxa" w:w="5400"/>
          </w:tcPr>
          <w:p>
            <w:pPr>
              <w:spacing w:after="0" w:before="0" w:line="240" w:lineRule="auto"/>
              <w:jc w:val="left"/>
            </w:pPr>
            <w:r>
              <w:t>End of manufacturing</w:t>
            </w:r>
          </w:p>
        </w:tc>
        <w:tc>
          <w:tcPr>
            <w:tcW w:type="dxa" w:w="5400"/>
          </w:tcPr>
          <w:p>
            <w:pPr>
              <w:spacing w:after="0" w:before="0" w:line="240" w:lineRule="auto"/>
              <w:jc w:val="left"/>
            </w:pPr>
            <w:r>
              <w:t>Secure justified spares and confirm repair channels</w:t>
            </w:r>
          </w:p>
        </w:tc>
      </w:tr>
      <w:tr>
        <w:tc>
          <w:tcPr>
            <w:tcW w:type="dxa" w:w="5400"/>
          </w:tcPr>
          <w:p>
            <w:pPr>
              <w:spacing w:after="0" w:before="0" w:line="240" w:lineRule="auto"/>
              <w:jc w:val="left"/>
            </w:pPr>
            <w:r>
              <w:t>End of support</w:t>
            </w:r>
          </w:p>
        </w:tc>
        <w:tc>
          <w:tcPr>
            <w:tcW w:type="dxa" w:w="5400"/>
          </w:tcPr>
          <w:p>
            <w:pPr>
              <w:spacing w:after="0" w:before="0" w:line="240" w:lineRule="auto"/>
              <w:jc w:val="left"/>
            </w:pPr>
            <w:r>
              <w:t>Assess technical, cybersecurity, and recovery risks</w:t>
            </w:r>
          </w:p>
        </w:tc>
      </w:tr>
      <w:tr>
        <w:tc>
          <w:tcPr>
            <w:tcW w:type="dxa" w:w="5400"/>
          </w:tcPr>
          <w:p>
            <w:pPr>
              <w:spacing w:after="0" w:before="0" w:line="240" w:lineRule="auto"/>
              <w:jc w:val="left"/>
            </w:pPr>
            <w:r>
              <w:t>Obsolete</w:t>
            </w:r>
          </w:p>
        </w:tc>
        <w:tc>
          <w:tcPr>
            <w:tcW w:type="dxa" w:w="5400"/>
          </w:tcPr>
          <w:p>
            <w:pPr>
              <w:spacing w:after="0" w:before="0" w:line="240" w:lineRule="auto"/>
              <w:jc w:val="left"/>
            </w:pPr>
            <w:r>
              <w:t>Implement approved contingency, repair, migration, or replacement plans</w:t>
            </w:r>
          </w:p>
        </w:tc>
      </w:tr>
    </w:tbl>
    <w:p/>
    <w:p>
      <w:r>
        <w:t>A last-time buy should be based on expected consumption, failure probability, storage life, repairability, and the planned migration date. Buying a warehouse full of aging electronics is not a strategy; it is inventory with an identity crisis.</w:t>
      </w:r>
    </w:p>
    <w:p>
      <w:pPr>
        <w:pStyle w:val="Heading2"/>
      </w:pPr>
      <w:r>
        <w:t>14. Last-Time Buy Calculation</w:t>
      </w:r>
    </w:p>
    <w:p>
      <w:r>
        <w:t>A simplified quantity estimate can use the following relationship:</w:t>
      </w:r>
    </w:p>
    <w:p>
      <w:pPr>
        <w:spacing w:before="120" w:after="160"/>
        <w:jc w:val="center"/>
      </w:pPr>
      <m:oMathPara>
        <m:oMath>
          <m:r>
            <m:t>Q=D×T−S</m:t>
          </m:r>
        </m:oMath>
      </m:oMathPara>
    </w:p>
    <w:p>
      <w:r>
        <w:t>Where:</w:t>
      </w:r>
    </w:p>
    <w:p>
      <w:pPr>
        <w:pStyle w:val="ListBullet"/>
      </w:pPr>
      <m:oMath>
        <m:r>
          <m:t>Q</m:t>
        </m:r>
      </m:oMath>
      <w:r>
        <w:t xml:space="preserve"> is the estimated additional quantity required.</w:t>
      </w:r>
    </w:p>
    <w:p>
      <w:pPr>
        <w:pStyle w:val="ListBullet"/>
      </w:pPr>
      <m:oMath>
        <m:r>
          <m:t>D</m:t>
        </m:r>
      </m:oMath>
      <w:r>
        <w:t xml:space="preserve"> is expected annual consumption.</w:t>
      </w:r>
    </w:p>
    <w:p>
      <w:pPr>
        <w:pStyle w:val="ListBullet"/>
      </w:pPr>
      <m:oMath>
        <m:r>
          <m:t>T</m:t>
        </m:r>
      </m:oMath>
      <w:r>
        <w:t xml:space="preserve"> is the coverage period in years.</w:t>
      </w:r>
    </w:p>
    <w:p>
      <w:pPr>
        <w:pStyle w:val="ListBullet"/>
      </w:pPr>
      <m:oMath>
        <m:r>
          <m:t>S</m:t>
        </m:r>
      </m:oMath>
      <w:r>
        <w:t xml:space="preserve"> is usable stock already available.</w:t>
      </w:r>
    </w:p>
    <w:p>
      <w:r>
        <w:t>For example, if expected consumption is 2 units per year, the required coverage period is 3 years, and 2 usable units are already available:</w:t>
      </w:r>
    </w:p>
    <w:p>
      <w:pPr>
        <w:spacing w:before="120" w:after="160"/>
        <w:jc w:val="center"/>
      </w:pPr>
      <m:oMathPara>
        <m:oMath>
          <m:r>
            <m:t>Q=2×3−2=4</m:t>
          </m:r>
        </m:oMath>
      </m:oMathPara>
    </w:p>
    <w:p>
      <w:r>
        <w:t>The estimate suggests 4 additional units before adjustment for risk and constraints.</w:t>
      </w:r>
    </w:p>
    <w:p>
      <w:r>
        <w:t>This simple calculation does not account for variable failure rates, repair returns, storage degradation, supplier uncertainty, or the possibility that the equipment will be migrated earlier. Those factors must be evaluated before purchasing.</w:t>
      </w:r>
    </w:p>
    <w:p>
      <w:pPr>
        <w:pStyle w:val="Heading2"/>
      </w:pPr>
      <w:r>
        <w:t>15. Product Lifecycle and Cybersecurity</w:t>
      </w:r>
    </w:p>
    <w:p>
      <w:r>
        <w:t>Unsupported automation products can create cybersecurity risks when vulnerabilities are no longer patched or compatible security tools are unavailable.</w:t>
      </w:r>
    </w:p>
    <w:p>
      <w:r>
        <w:t>Potential risks include:</w:t>
      </w:r>
    </w:p>
    <w:p>
      <w:pPr>
        <w:pStyle w:val="ListBullet"/>
      </w:pPr>
      <w:r>
        <w:t>Unpatched firmware or operating systems.</w:t>
      </w:r>
    </w:p>
    <w:p>
      <w:pPr>
        <w:pStyle w:val="ListBullet"/>
      </w:pPr>
      <w:r>
        <w:t>Unsupported remote-access components.</w:t>
      </w:r>
    </w:p>
    <w:p>
      <w:pPr>
        <w:pStyle w:val="ListBullet"/>
      </w:pPr>
      <w:r>
        <w:t>Weak or outdated authentication mechanisms.</w:t>
      </w:r>
    </w:p>
    <w:p>
      <w:pPr>
        <w:pStyle w:val="ListBullet"/>
      </w:pPr>
      <w:r>
        <w:t>Incompatible security software.</w:t>
      </w:r>
    </w:p>
    <w:p>
      <w:pPr>
        <w:pStyle w:val="ListBullet"/>
      </w:pPr>
      <w:r>
        <w:t>Unsupported network protocols.</w:t>
      </w:r>
    </w:p>
    <w:p>
      <w:pPr>
        <w:pStyle w:val="ListBullet"/>
      </w:pPr>
      <w:r>
        <w:t>Inability to install validated security updates.</w:t>
      </w:r>
    </w:p>
    <w:p>
      <w:pPr>
        <w:pStyle w:val="ListBullet"/>
      </w:pPr>
      <w:r>
        <w:t>Limited vendor assistance during an incident.</w:t>
      </w:r>
    </w:p>
    <w:p>
      <w:r>
        <w:t>Mitigation may include network segmentation, restricted remote access, controlled engineering workstations, secure backups, application allowlisting where appropriate, monitoring, and a planned upgrade or replacement.</w:t>
      </w:r>
    </w:p>
    <w:p>
      <w:r>
        <w:t>Compensating controls can reduce exposure but do not make every unsupported product acceptable indefinitely.</w:t>
      </w:r>
    </w:p>
    <w:p>
      <w:pPr>
        <w:pStyle w:val="Heading2"/>
      </w:pPr>
      <w:r>
        <w:t>16. Product Lifecycle and Software Compatibility</w:t>
      </w:r>
    </w:p>
    <w:p>
      <w:r>
        <w:t>Hardware lifecycle management must include associated software.</w:t>
      </w:r>
    </w:p>
    <w:p>
      <w:r>
        <w:t>A newer replacement product may require a different version of the engineering environment, firmware, operating system, communication driver, or licensing model.</w:t>
      </w:r>
    </w:p>
    <w:p>
      <w:r>
        <w:t>Before migration, check:</w:t>
      </w:r>
    </w:p>
    <w:p>
      <w:pPr>
        <w:pStyle w:val="ListBullet"/>
      </w:pPr>
      <w:r>
        <w:t>Project conversion support.</w:t>
      </w:r>
    </w:p>
    <w:p>
      <w:pPr>
        <w:pStyle w:val="ListBullet"/>
      </w:pPr>
      <w:r>
        <w:t>Firmware compatibility.</w:t>
      </w:r>
    </w:p>
    <w:p>
      <w:pPr>
        <w:pStyle w:val="ListBullet"/>
      </w:pPr>
      <w:r>
        <w:t>Hardware configuration differences.</w:t>
      </w:r>
    </w:p>
    <w:p>
      <w:pPr>
        <w:pStyle w:val="ListBullet"/>
      </w:pPr>
      <w:r>
        <w:t>I/O addressing and data types.</w:t>
      </w:r>
    </w:p>
    <w:p>
      <w:pPr>
        <w:pStyle w:val="ListBullet"/>
      </w:pPr>
      <w:r>
        <w:t>Communication protocols.</w:t>
      </w:r>
    </w:p>
    <w:p>
      <w:pPr>
        <w:pStyle w:val="ListBullet"/>
      </w:pPr>
      <w:r>
        <w:t>Libraries and function blocks.</w:t>
      </w:r>
    </w:p>
    <w:p>
      <w:pPr>
        <w:pStyle w:val="ListBullet"/>
      </w:pPr>
      <w:r>
        <w:t>Third-party device integration.</w:t>
      </w:r>
    </w:p>
    <w:p>
      <w:pPr>
        <w:pStyle w:val="ListBullet"/>
      </w:pPr>
      <w:r>
        <w:t>HMI tag and alarm behavior.</w:t>
      </w:r>
    </w:p>
    <w:p>
      <w:pPr>
        <w:pStyle w:val="ListBullet"/>
      </w:pPr>
      <w:r>
        <w:t>Historical data and recipe retention.</w:t>
      </w:r>
    </w:p>
    <w:p>
      <w:pPr>
        <w:pStyle w:val="ListBullet"/>
      </w:pPr>
      <w:r>
        <w:t>Backup restoration.</w:t>
      </w:r>
    </w:p>
    <w:p>
      <w:pPr>
        <w:pStyle w:val="ListBullet"/>
      </w:pPr>
      <w:r>
        <w:t>Software license availability.</w:t>
      </w:r>
    </w:p>
    <w:p>
      <w:pPr>
        <w:pStyle w:val="ListBullet"/>
      </w:pPr>
      <w:r>
        <w:t>Version-control and change-management requirements.</w:t>
      </w:r>
    </w:p>
    <w:p>
      <w:r>
        <w:t>A hardware replacement is not complete merely because the power LED turns green. The control logic, communications, safety functions, process sequence, and operator interface must all be validated.</w:t>
      </w:r>
    </w:p>
    <w:p>
      <w:pPr>
        <w:pStyle w:val="Heading2"/>
      </w:pPr>
      <w:r>
        <w:t>17. Practical Case Study</w:t>
      </w:r>
    </w:p>
    <w:p>
      <w:pPr>
        <w:pStyle w:val="Heading3"/>
      </w:pPr>
      <w:r>
        <w:t>Case: Discontinued PLC CPU on a Critical Test Bench</w:t>
      </w:r>
    </w:p>
    <w:p>
      <w:r>
        <w:t>Situation: A production test bench uses an older PLC CPU. The controller is healthy, but the manufacturer has announced that the product is discontinued. The machine is important to production, and replacement parts have a long lead time.</w:t>
      </w:r>
    </w:p>
    <w:p>
      <w:r>
        <w:t>Assessment:</w:t>
      </w:r>
    </w:p>
    <w:p>
      <w:pPr>
        <w:tabs>
          <w:tab w:pos="403" w:val="left"/>
        </w:tabs>
        <w:spacing w:after="40" w:line="276" w:lineRule="auto"/>
        <w:ind w:left="403" w:hanging="403"/>
        <w:jc w:val="left"/>
      </w:pPr>
      <w:r>
        <w:rPr>
          <w:color w:val="1A2E4A"/>
        </w:rPr>
        <w:t>1.</w:t>
        <w:tab/>
      </w:r>
      <w:r>
        <w:t>Record the CPU model, firmware, communication modules, I/O configuration, and engineering software version.</w:t>
      </w:r>
    </w:p>
    <w:p>
      <w:pPr>
        <w:tabs>
          <w:tab w:pos="403" w:val="left"/>
        </w:tabs>
        <w:spacing w:after="40" w:line="276" w:lineRule="auto"/>
        <w:ind w:left="403" w:hanging="403"/>
        <w:jc w:val="left"/>
      </w:pPr>
      <w:r>
        <w:rPr>
          <w:color w:val="1A2E4A"/>
        </w:rPr>
        <w:t>2.</w:t>
        <w:tab/>
      </w:r>
      <w:r>
        <w:t>Check the official lifecycle notice and available repair support.</w:t>
      </w:r>
    </w:p>
    <w:p>
      <w:pPr>
        <w:tabs>
          <w:tab w:pos="403" w:val="left"/>
        </w:tabs>
        <w:spacing w:after="40" w:line="276" w:lineRule="auto"/>
        <w:ind w:left="403" w:hanging="403"/>
        <w:jc w:val="left"/>
      </w:pPr>
      <w:r>
        <w:rPr>
          <w:color w:val="1A2E4A"/>
        </w:rPr>
        <w:t>3.</w:t>
        <w:tab/>
      </w:r>
      <w:r>
        <w:t>Verify the availability and condition of installed-base spares.</w:t>
      </w:r>
    </w:p>
    <w:p>
      <w:pPr>
        <w:tabs>
          <w:tab w:pos="403" w:val="left"/>
        </w:tabs>
        <w:spacing w:after="40" w:line="276" w:lineRule="auto"/>
        <w:ind w:left="403" w:hanging="403"/>
        <w:jc w:val="left"/>
      </w:pPr>
      <w:r>
        <w:rPr>
          <w:color w:val="1A2E4A"/>
        </w:rPr>
        <w:t>4.</w:t>
        <w:tab/>
      </w:r>
      <w:r>
        <w:t>Back up the program, hardware configuration, HMI project, drive parameters, and relevant network configuration.</w:t>
      </w:r>
    </w:p>
    <w:p>
      <w:pPr>
        <w:tabs>
          <w:tab w:pos="403" w:val="left"/>
        </w:tabs>
        <w:spacing w:after="40" w:line="276" w:lineRule="auto"/>
        <w:ind w:left="403" w:hanging="403"/>
        <w:jc w:val="left"/>
      </w:pPr>
      <w:r>
        <w:rPr>
          <w:color w:val="1A2E4A"/>
        </w:rPr>
        <w:t>5.</w:t>
        <w:tab/>
      </w:r>
      <w:r>
        <w:t>Identify the manufacturer-designated successor and validate compatibility.</w:t>
      </w:r>
    </w:p>
    <w:p>
      <w:pPr>
        <w:tabs>
          <w:tab w:pos="403" w:val="left"/>
        </w:tabs>
        <w:spacing w:after="40" w:line="276" w:lineRule="auto"/>
        <w:ind w:left="403" w:hanging="403"/>
        <w:jc w:val="left"/>
      </w:pPr>
      <w:r>
        <w:rPr>
          <w:color w:val="1A2E4A"/>
        </w:rPr>
        <w:t>6.</w:t>
        <w:tab/>
      </w:r>
      <w:r>
        <w:t>Assess downtime exposure, repair lead time, and migration complexity.</w:t>
      </w:r>
    </w:p>
    <w:p>
      <w:pPr>
        <w:tabs>
          <w:tab w:pos="403" w:val="left"/>
        </w:tabs>
        <w:spacing w:after="40" w:line="276" w:lineRule="auto"/>
        <w:ind w:left="403" w:hanging="403"/>
        <w:jc w:val="left"/>
      </w:pPr>
      <w:r>
        <w:rPr>
          <w:color w:val="1A2E4A"/>
        </w:rPr>
        <w:t>7.</w:t>
        <w:tab/>
      </w:r>
      <w:r>
        <w:t>Prepare a migration plan, including testing, rollback, and production approval.</w:t>
      </w:r>
    </w:p>
    <w:p>
      <w:pPr>
        <w:tabs>
          <w:tab w:pos="403" w:val="left"/>
        </w:tabs>
        <w:spacing w:after="40" w:line="276" w:lineRule="auto"/>
        <w:ind w:left="403" w:hanging="403"/>
        <w:jc w:val="left"/>
      </w:pPr>
      <w:r>
        <w:rPr>
          <w:color w:val="1A2E4A"/>
        </w:rPr>
        <w:t>8.</w:t>
        <w:tab/>
      </w:r>
      <w:r>
        <w:t>Assign an owner and target completion date.</w:t>
      </w:r>
    </w:p>
    <w:p>
      <w:r>
        <w:t>Expected outcome: The plant has a documented risk and recovery strategy before the controller fails. The existing PLC may remain in service temporarily if the assessed risks and approved controls permit it.</w:t>
      </w:r>
    </w:p>
    <w:p>
      <w:pPr>
        <w:pStyle w:val="Heading2"/>
      </w:pPr>
      <w:r>
        <w:t>18. Common Lifecycle Management Mistakes</w:t>
      </w:r>
    </w:p>
    <w:p>
      <w:pPr>
        <w:pStyle w:val="ListBullet"/>
      </w:pPr>
      <w:r>
        <w:t>Treating end of sale as an immediate mandatory shutdown.</w:t>
      </w:r>
    </w:p>
    <w:p>
      <w:pPr>
        <w:pStyle w:val="ListBullet"/>
      </w:pPr>
      <w:r>
        <w:t>Treating a functioning product as risk-free despite discontinued support.</w:t>
      </w:r>
    </w:p>
    <w:p>
      <w:pPr>
        <w:pStyle w:val="ListBullet"/>
      </w:pPr>
      <w:r>
        <w:t>Recording only the product family instead of the exact model.</w:t>
      </w:r>
    </w:p>
    <w:p>
      <w:pPr>
        <w:pStyle w:val="ListBullet"/>
      </w:pPr>
      <w:r>
        <w:t>Ignoring firmware, accessories, and software dependencies.</w:t>
      </w:r>
    </w:p>
    <w:p>
      <w:pPr>
        <w:pStyle w:val="ListBullet"/>
      </w:pPr>
      <w:r>
        <w:t>Assuming the successor is a drop-in replacement.</w:t>
      </w:r>
    </w:p>
    <w:p>
      <w:pPr>
        <w:pStyle w:val="ListBullet"/>
      </w:pPr>
      <w:r>
        <w:t>Purchasing excessive obsolete stock without a coverage calculation.</w:t>
      </w:r>
    </w:p>
    <w:p>
      <w:pPr>
        <w:pStyle w:val="ListBullet"/>
      </w:pPr>
      <w:r>
        <w:t>Failing to preserve programs, licenses, parameters, and recovery procedures.</w:t>
      </w:r>
    </w:p>
    <w:p>
      <w:pPr>
        <w:pStyle w:val="ListBullet"/>
      </w:pPr>
      <w:r>
        <w:t>Relying exclusively on distributor listings instead of official lifecycle information.</w:t>
      </w:r>
    </w:p>
    <w:p>
      <w:pPr>
        <w:pStyle w:val="ListBullet"/>
      </w:pPr>
      <w:r>
        <w:t>Ignoring cybersecurity implications.</w:t>
      </w:r>
    </w:p>
    <w:p>
      <w:pPr>
        <w:pStyle w:val="ListBullet"/>
      </w:pPr>
      <w:r>
        <w:t>Assigning lifecycle actions without owners or deadlines.</w:t>
      </w:r>
    </w:p>
    <w:p>
      <w:pPr>
        <w:pStyle w:val="ListBullet"/>
      </w:pPr>
      <w:r>
        <w:t>Replacing components without validating the complete machine sequence.</w:t>
      </w:r>
    </w:p>
    <w:p>
      <w:pPr>
        <w:pStyle w:val="ListBullet"/>
      </w:pPr>
      <w:r>
        <w:t>Treating a lifecycle score as a substitute for safety engineering.</w:t>
      </w:r>
    </w:p>
    <w:p>
      <w:pPr>
        <w:pStyle w:val="Heading2"/>
      </w:pPr>
      <w:r>
        <w:t>19. Interview Questions and Answers</w:t>
      </w:r>
    </w:p>
    <w:p>
      <w:pPr>
        <w:pStyle w:val="Heading3"/>
      </w:pPr>
      <w:r>
        <w:t>Q1. What is product lifecycle management?</w:t>
      </w:r>
    </w:p>
    <w:p>
      <w:r>
        <w:t>It is the process of tracking a product's stages from introduction through active support and discontinuation to end of support, replacement, or decommissioning.</w:t>
      </w:r>
    </w:p>
    <w:p>
      <w:pPr>
        <w:pStyle w:val="Heading3"/>
      </w:pPr>
      <w:r>
        <w:t>Q2. What is the difference between end of sale and end of support?</w:t>
      </w:r>
    </w:p>
    <w:p>
      <w:r>
        <w:t>End of sale refers to the ending of commercial sales. End of support refers to the ending of one or more support services. The dates and services involved may differ.</w:t>
      </w:r>
    </w:p>
    <w:p>
      <w:pPr>
        <w:pStyle w:val="Heading3"/>
      </w:pPr>
      <w:r>
        <w:t>Q3. Does a discontinued PLC need immediate replacement?</w:t>
      </w:r>
    </w:p>
    <w:p>
      <w:r>
        <w:t>Not necessarily. Its criticality, support status, spare availability, recovery time, cybersecurity exposure, and migration complexity must be assessed.</w:t>
      </w:r>
    </w:p>
    <w:p>
      <w:pPr>
        <w:pStyle w:val="Heading3"/>
      </w:pPr>
      <w:r>
        <w:t>Q4. What is a last-time buy?</w:t>
      </w:r>
    </w:p>
    <w:p>
      <w:r>
        <w:t>It is a final procurement opportunity before a product is discontinued or becomes unavailable through the normal supply channel.</w:t>
      </w:r>
    </w:p>
    <w:p>
      <w:pPr>
        <w:pStyle w:val="Heading3"/>
      </w:pPr>
      <w:r>
        <w:t>Q5. Why is successor compatibility important?</w:t>
      </w:r>
    </w:p>
    <w:p>
      <w:r>
        <w:t>A successor may differ in hardware, firmware, communication interfaces, engineering software, addressing, or configuration. Compatibility must be verified before substitution.</w:t>
      </w:r>
    </w:p>
    <w:p>
      <w:pPr>
        <w:pStyle w:val="Heading3"/>
      </w:pPr>
      <w:r>
        <w:t>Q6. What is the difference between a legacy system and an obsolete product?</w:t>
      </w:r>
    </w:p>
    <w:p>
      <w:r>
        <w:t>A legacy system is an older system still in use. An obsolete product is one whose availability or support has ended or become impractical. A legacy system can contain both supported and obsolete components.</w:t>
      </w:r>
    </w:p>
    <w:p>
      <w:pPr>
        <w:pStyle w:val="Heading3"/>
      </w:pPr>
      <w:r>
        <w:t>Q7. How should a plant prioritize obsolete equipment?</w:t>
      </w:r>
    </w:p>
    <w:p>
      <w:r>
        <w:t>Use equipment criticality, failure history, spare availability, recovery time, support status, cybersecurity exposure, and safety implications. Assign mitigation owners and target dates.</w:t>
      </w:r>
    </w:p>
    <w:p>
      <w:pPr>
        <w:pStyle w:val="Heading3"/>
      </w:pPr>
      <w:r>
        <w:t>Q8. Why should software be included in lifecycle planning?</w:t>
      </w:r>
    </w:p>
    <w:p>
      <w:r>
        <w:t>Hardware replacement may depend on engineering software, licenses, firmware, drivers, project conversion, and operating-system compatibility.</w:t>
      </w:r>
    </w:p>
    <w:p>
      <w:pPr>
        <w:pStyle w:val="Heading3"/>
      </w:pPr>
      <w:r>
        <w:t>Q9. What is a drop-in replacement?</w:t>
      </w:r>
    </w:p>
    <w:p>
      <w:r>
        <w:t>It is a replacement designed to fit a defined interface with minimal changes. Suitability still requires verification of all relevant electrical, mechanical, software, and application requirements.</w:t>
      </w:r>
    </w:p>
    <w:p>
      <w:pPr>
        <w:pStyle w:val="Heading3"/>
      </w:pPr>
      <w:r>
        <w:t>Q10. What should a lifecycle register contain?</w:t>
      </w:r>
    </w:p>
    <w:p>
      <w:r>
        <w:t>At minimum, asset identity, exact model, revision, lifecycle status, relevant dates, successor, compatibility status, spare availability, risk score, action owner, target date, and supporting evidence.</w:t>
      </w:r>
    </w:p>
    <w:p>
      <w:pPr>
        <w:pStyle w:val="Heading2"/>
      </w:pPr>
      <w:r>
        <w:t>20. Practical Competency Checklist</w:t>
      </w:r>
    </w:p>
    <w:p>
      <w:pPr>
        <w:pStyle w:val="ListBullet"/>
      </w:pPr>
      <w:r>
        <w:t>Explain the stages of an industrial product lifecycle.</w:t>
      </w:r>
    </w:p>
    <w:p>
      <w:pPr>
        <w:pStyle w:val="ListBullet"/>
      </w:pPr>
      <w:r>
        <w:t>Distinguish active, mature, discontinued, unsupported, and obsolete products.</w:t>
      </w:r>
    </w:p>
    <w:p>
      <w:pPr>
        <w:pStyle w:val="ListBullet"/>
      </w:pPr>
      <w:r>
        <w:t>Verify lifecycle status using official manufacturer information.</w:t>
      </w:r>
    </w:p>
    <w:p>
      <w:pPr>
        <w:pStyle w:val="ListBullet"/>
      </w:pPr>
      <w:r>
        <w:t>Record exact model numbers, revisions, and firmware versions.</w:t>
      </w:r>
    </w:p>
    <w:p>
      <w:pPr>
        <w:pStyle w:val="ListBullet"/>
      </w:pPr>
      <w:r>
        <w:t>Identify successor products and verify compatibility.</w:t>
      </w:r>
    </w:p>
    <w:p>
      <w:pPr>
        <w:pStyle w:val="ListBullet"/>
      </w:pPr>
      <w:r>
        <w:t>Maintain a lifecycle register for PLCs, HMIs, VFDs, CNCs, robots, and network devices.</w:t>
      </w:r>
    </w:p>
    <w:p>
      <w:pPr>
        <w:pStyle w:val="ListBullet"/>
      </w:pPr>
      <w:r>
        <w:t>Assess lifecycle risk using criticality and recovery requirements.</w:t>
      </w:r>
    </w:p>
    <w:p>
      <w:pPr>
        <w:pStyle w:val="ListBullet"/>
      </w:pPr>
      <w:r>
        <w:t>Calculate justified last-time-buy quantities.</w:t>
      </w:r>
    </w:p>
    <w:p>
      <w:pPr>
        <w:pStyle w:val="ListBullet"/>
      </w:pPr>
      <w:r>
        <w:t>Include software, licenses, backups, and cybersecurity in migration planning.</w:t>
      </w:r>
    </w:p>
    <w:p>
      <w:pPr>
        <w:pStyle w:val="ListBullet"/>
      </w:pPr>
      <w:r>
        <w:t>Create migration actions with owners, dates, and validation requirements.</w:t>
      </w:r>
    </w:p>
    <w:p>
      <w:pPr>
        <w:pStyle w:val="ListBullet"/>
      </w:pPr>
      <w:r>
        <w:t>Integrate lifecycle records with spare management and installed-base mapping.</w:t>
      </w:r>
    </w:p>
    <w:p>
      <w:pPr>
        <w:pStyle w:val="ListBullet"/>
      </w:pPr>
      <w:r>
        <w:t>Review lifecycle status periodically and after manufacturer notices.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02_PLAN_WISE_2026\02_INDUSTRY3_0\24_Obsolescence\02_Legacy_Systems - Legacy systems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Lifecycle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