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Last-Time Buy in Industrial Maintenance and Automation</w:t>
      </w:r>
    </w:p>
    <w:p>
      <w:pPr>
        <w:pStyle w:val="Heading2"/>
      </w:pPr>
      <w:r>
        <w:t>1. Definition</w:t>
      </w:r>
    </w:p>
    <w:p>
      <w:r>
        <w:t>A Last-Time Buy (LTB) is a planned purchase made before a manufacturer or supplier closes the final ordering window for a product that is being discontinued or entering a defined end-of-sale stage.</w:t>
      </w:r>
    </w:p>
    <w:p>
      <w:r>
        <w:t>In industrial maintenance, LTB is used to secure components that may be needed to maintain existing equipment after normal replenishment becomes unavailable.</w:t>
      </w:r>
    </w:p>
    <w:p>
      <w:r>
        <w:t>Typical examples include:</w:t>
      </w:r>
    </w:p>
    <w:p>
      <w:pPr>
        <w:pStyle w:val="ListBullet"/>
      </w:pPr>
      <w:r>
        <w:t>PLC CPUs, I/O modules, and communication cards.</w:t>
      </w:r>
    </w:p>
    <w:p>
      <w:pPr>
        <w:pStyle w:val="ListBullet"/>
      </w:pPr>
      <w:r>
        <w:t>HMI panels and industrial PCs.</w:t>
      </w:r>
    </w:p>
    <w:p>
      <w:pPr>
        <w:pStyle w:val="ListBullet"/>
      </w:pPr>
      <w:r>
        <w:t>VFDs, servo drives, and feedback modules.</w:t>
      </w:r>
    </w:p>
    <w:p>
      <w:pPr>
        <w:pStyle w:val="ListBullet"/>
      </w:pPr>
      <w:r>
        <w:t>CNC controller boards and robot-controller components.</w:t>
      </w:r>
    </w:p>
    <w:p>
      <w:pPr>
        <w:pStyle w:val="ListBullet"/>
      </w:pPr>
      <w:r>
        <w:t>Safety relays, scanners, and specialized sensors.</w:t>
      </w:r>
    </w:p>
    <w:p>
      <w:pPr>
        <w:pStyle w:val="ListBullet"/>
      </w:pPr>
      <w:r>
        <w:t>Proprietary cables, connectors, and interface modules.</w:t>
      </w:r>
    </w:p>
    <w:p>
      <w:r>
        <w:t>The objective is not to buy as many discontinued parts as possible. It is to purchase a justified quantity that supports safe, reliable operation until repair, replacement, or migration becomes practical.</w:t>
      </w:r>
    </w:p>
    <w:p>
      <w:pPr>
        <w:pStyle w:val="Heading2"/>
      </w:pPr>
      <w:r>
        <w:t>2. Why Last-Time Buy Is Necessary</w:t>
      </w:r>
    </w:p>
    <w:p>
      <w:r>
        <w:t>When a product reaches its final ordering window, the organization may face several risks:</w:t>
      </w:r>
    </w:p>
    <w:p>
      <w:pPr>
        <w:pStyle w:val="ListBullet"/>
      </w:pPr>
      <w:r>
        <w:t>Normal spare replenishment becomes impossible.</w:t>
      </w:r>
    </w:p>
    <w:p>
      <w:pPr>
        <w:pStyle w:val="ListBullet"/>
      </w:pPr>
      <w:r>
        <w:t>Remaining market stock may be limited or expensive.</w:t>
      </w:r>
    </w:p>
    <w:p>
      <w:pPr>
        <w:pStyle w:val="ListBullet"/>
      </w:pPr>
      <w:r>
        <w:t>Lead times may increase as inventory declines.</w:t>
      </w:r>
    </w:p>
    <w:p>
      <w:pPr>
        <w:pStyle w:val="ListBullet"/>
      </w:pPr>
      <w:r>
        <w:t>Unverified substitutes may introduce technical or safety problems.</w:t>
      </w:r>
    </w:p>
    <w:p>
      <w:pPr>
        <w:pStyle w:val="ListBullet"/>
      </w:pPr>
      <w:r>
        <w:t>Emergency purchases may come from unreliable sources.</w:t>
      </w:r>
    </w:p>
    <w:p>
      <w:pPr>
        <w:pStyle w:val="ListBullet"/>
      </w:pPr>
      <w:r>
        <w:t>Equipment migration may take months or years to complete.</w:t>
      </w:r>
    </w:p>
    <w:p>
      <w:r>
        <w:t>LTB provides a temporary supply bridge between the end of normal procurement and the point at which the equipment is repaired, migrated, or retired.</w:t>
      </w:r>
    </w:p>
    <w:p>
      <w:pPr>
        <w:pStyle w:val="Heading2"/>
      </w:pPr>
      <w:r>
        <w:t>3. Important Lifecycle Terms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Maintenance implication</w:t>
            </w:r>
          </w:p>
        </w:tc>
      </w:tr>
      <w:tr>
        <w:tc>
          <w:tcPr>
            <w:tcW w:type="dxa" w:w="3600"/>
          </w:tcPr>
          <w:p>
            <w:pPr>
              <w:spacing w:after="0" w:before="0" w:line="240" w:lineRule="auto"/>
              <w:jc w:val="left"/>
            </w:pPr>
            <w:r>
              <w:t>End of sale</w:t>
            </w:r>
          </w:p>
        </w:tc>
        <w:tc>
          <w:tcPr>
            <w:tcW w:type="dxa" w:w="3600"/>
          </w:tcPr>
          <w:p>
            <w:pPr>
              <w:spacing w:after="0" w:before="0" w:line="240" w:lineRule="auto"/>
              <w:jc w:val="left"/>
            </w:pPr>
            <w:r>
              <w:t>Normal product sales stop or become restricted</w:t>
            </w:r>
          </w:p>
        </w:tc>
        <w:tc>
          <w:tcPr>
            <w:tcW w:type="dxa" w:w="3600"/>
          </w:tcPr>
          <w:p>
            <w:pPr>
              <w:spacing w:after="0" w:before="0" w:line="240" w:lineRule="auto"/>
              <w:jc w:val="left"/>
            </w:pPr>
            <w:r>
              <w:t>Confirm the final purchasing opportunity</w:t>
            </w:r>
          </w:p>
        </w:tc>
      </w:tr>
      <w:tr>
        <w:tc>
          <w:tcPr>
            <w:tcW w:type="dxa" w:w="3600"/>
          </w:tcPr>
          <w:p>
            <w:pPr>
              <w:spacing w:after="0" w:before="0" w:line="240" w:lineRule="auto"/>
              <w:jc w:val="left"/>
            </w:pPr>
            <w:r>
              <w:t>Last-time-buy notice</w:t>
            </w:r>
          </w:p>
        </w:tc>
        <w:tc>
          <w:tcPr>
            <w:tcW w:type="dxa" w:w="3600"/>
          </w:tcPr>
          <w:p>
            <w:pPr>
              <w:spacing w:after="0" w:before="0" w:line="240" w:lineRule="auto"/>
              <w:jc w:val="left"/>
            </w:pPr>
            <w:r>
              <w:t>Manufacturer communicates a final ordering window</w:t>
            </w:r>
          </w:p>
        </w:tc>
        <w:tc>
          <w:tcPr>
            <w:tcW w:type="dxa" w:w="3600"/>
          </w:tcPr>
          <w:p>
            <w:pPr>
              <w:spacing w:after="0" w:before="0" w:line="240" w:lineRule="auto"/>
              <w:jc w:val="left"/>
            </w:pPr>
            <w:r>
              <w:t>Verify the exact order deadline and conditions</w:t>
            </w:r>
          </w:p>
        </w:tc>
      </w:tr>
      <w:tr>
        <w:tc>
          <w:tcPr>
            <w:tcW w:type="dxa" w:w="3600"/>
          </w:tcPr>
          <w:p>
            <w:pPr>
              <w:spacing w:after="0" w:before="0" w:line="240" w:lineRule="auto"/>
              <w:jc w:val="left"/>
            </w:pPr>
            <w:r>
              <w:t>Last-time-buy date</w:t>
            </w:r>
          </w:p>
        </w:tc>
        <w:tc>
          <w:tcPr>
            <w:tcW w:type="dxa" w:w="3600"/>
          </w:tcPr>
          <w:p>
            <w:pPr>
              <w:spacing w:after="0" w:before="0" w:line="240" w:lineRule="auto"/>
              <w:jc w:val="left"/>
            </w:pPr>
            <w:r>
              <w:t>Final date for eligible orders under the notice</w:t>
            </w:r>
          </w:p>
        </w:tc>
        <w:tc>
          <w:tcPr>
            <w:tcW w:type="dxa" w:w="3600"/>
          </w:tcPr>
          <w:p>
            <w:pPr>
              <w:spacing w:after="0" w:before="0" w:line="240" w:lineRule="auto"/>
              <w:jc w:val="left"/>
            </w:pPr>
            <w:r>
              <w:t>Complete approved purchasing before the deadline</w:t>
            </w:r>
          </w:p>
        </w:tc>
      </w:tr>
      <w:tr>
        <w:tc>
          <w:tcPr>
            <w:tcW w:type="dxa" w:w="3600"/>
          </w:tcPr>
          <w:p>
            <w:pPr>
              <w:spacing w:after="0" w:before="0" w:line="240" w:lineRule="auto"/>
              <w:jc w:val="left"/>
            </w:pPr>
            <w:r>
              <w:t>Last shipment date</w:t>
            </w:r>
          </w:p>
        </w:tc>
        <w:tc>
          <w:tcPr>
            <w:tcW w:type="dxa" w:w="3600"/>
          </w:tcPr>
          <w:p>
            <w:pPr>
              <w:spacing w:after="0" w:before="0" w:line="240" w:lineRule="auto"/>
              <w:jc w:val="left"/>
            </w:pPr>
            <w:r>
              <w:t>Final scheduled shipment date, where specified</w:t>
            </w:r>
          </w:p>
        </w:tc>
        <w:tc>
          <w:tcPr>
            <w:tcW w:type="dxa" w:w="3600"/>
          </w:tcPr>
          <w:p>
            <w:pPr>
              <w:spacing w:after="0" w:before="0" w:line="240" w:lineRule="auto"/>
              <w:jc w:val="left"/>
            </w:pPr>
            <w:r>
              <w:t>Confirm when material can actually arrive</w:t>
            </w:r>
          </w:p>
        </w:tc>
      </w:tr>
      <w:tr>
        <w:tc>
          <w:tcPr>
            <w:tcW w:type="dxa" w:w="3600"/>
          </w:tcPr>
          <w:p>
            <w:pPr>
              <w:spacing w:after="0" w:before="0" w:line="240" w:lineRule="auto"/>
              <w:jc w:val="left"/>
            </w:pPr>
            <w:r>
              <w:t>End of manufacturing</w:t>
            </w:r>
          </w:p>
        </w:tc>
        <w:tc>
          <w:tcPr>
            <w:tcW w:type="dxa" w:w="3600"/>
          </w:tcPr>
          <w:p>
            <w:pPr>
              <w:spacing w:after="0" w:before="0" w:line="240" w:lineRule="auto"/>
              <w:jc w:val="left"/>
            </w:pPr>
            <w:r>
              <w:t>Normal production of the product ends</w:t>
            </w:r>
          </w:p>
        </w:tc>
        <w:tc>
          <w:tcPr>
            <w:tcW w:type="dxa" w:w="3600"/>
          </w:tcPr>
          <w:p>
            <w:pPr>
              <w:spacing w:after="0" w:before="0" w:line="240" w:lineRule="auto"/>
              <w:jc w:val="left"/>
            </w:pPr>
            <w:r>
              <w:t>Future supply may depend on existing inventory</w:t>
            </w:r>
          </w:p>
        </w:tc>
      </w:tr>
      <w:tr>
        <w:tc>
          <w:tcPr>
            <w:tcW w:type="dxa" w:w="3600"/>
          </w:tcPr>
          <w:p>
            <w:pPr>
              <w:spacing w:after="0" w:before="0" w:line="240" w:lineRule="auto"/>
              <w:jc w:val="left"/>
            </w:pPr>
            <w:r>
              <w:t>End of support</w:t>
            </w:r>
          </w:p>
        </w:tc>
        <w:tc>
          <w:tcPr>
            <w:tcW w:type="dxa" w:w="3600"/>
          </w:tcPr>
          <w:p>
            <w:pPr>
              <w:spacing w:after="0" w:before="0" w:line="240" w:lineRule="auto"/>
              <w:jc w:val="left"/>
            </w:pPr>
            <w:r>
              <w:t>Defined technical support services end</w:t>
            </w:r>
          </w:p>
        </w:tc>
        <w:tc>
          <w:tcPr>
            <w:tcW w:type="dxa" w:w="3600"/>
          </w:tcPr>
          <w:p>
            <w:pPr>
              <w:spacing w:after="0" w:before="0" w:line="240" w:lineRule="auto"/>
              <w:jc w:val="left"/>
            </w:pPr>
            <w:r>
              <w:t>Confirm repair and engineering support arrangements</w:t>
            </w:r>
          </w:p>
        </w:tc>
      </w:tr>
      <w:tr>
        <w:tc>
          <w:tcPr>
            <w:tcW w:type="dxa" w:w="3600"/>
          </w:tcPr>
          <w:p>
            <w:pPr>
              <w:spacing w:after="0" w:before="0" w:line="240" w:lineRule="auto"/>
              <w:jc w:val="left"/>
            </w:pPr>
            <w:r>
              <w:t>End of repair</w:t>
            </w:r>
          </w:p>
        </w:tc>
        <w:tc>
          <w:tcPr>
            <w:tcW w:type="dxa" w:w="3600"/>
          </w:tcPr>
          <w:p>
            <w:pPr>
              <w:spacing w:after="0" w:before="0" w:line="240" w:lineRule="auto"/>
              <w:jc w:val="left"/>
            </w:pPr>
            <w:r>
              <w:t>Manufacturer repair services end</w:t>
            </w:r>
          </w:p>
        </w:tc>
        <w:tc>
          <w:tcPr>
            <w:tcW w:type="dxa" w:w="3600"/>
          </w:tcPr>
          <w:p>
            <w:pPr>
              <w:spacing w:after="0" w:before="0" w:line="240" w:lineRule="auto"/>
              <w:jc w:val="left"/>
            </w:pPr>
            <w:r>
              <w:t>Assess independent repair and replacement options</w:t>
            </w:r>
          </w:p>
        </w:tc>
      </w:tr>
      <w:tr>
        <w:tc>
          <w:tcPr>
            <w:tcW w:type="dxa" w:w="3600"/>
          </w:tcPr>
          <w:p>
            <w:pPr>
              <w:spacing w:after="0" w:before="0" w:line="240" w:lineRule="auto"/>
              <w:jc w:val="left"/>
            </w:pPr>
            <w:r>
              <w:t>Migration deadline</w:t>
            </w:r>
          </w:p>
        </w:tc>
        <w:tc>
          <w:tcPr>
            <w:tcW w:type="dxa" w:w="3600"/>
          </w:tcPr>
          <w:p>
            <w:pPr>
              <w:spacing w:after="0" w:before="0" w:line="240" w:lineRule="auto"/>
              <w:jc w:val="left"/>
            </w:pPr>
            <w:r>
              <w:t>Organization's planned date for leaving the legacy platform</w:t>
            </w:r>
          </w:p>
        </w:tc>
        <w:tc>
          <w:tcPr>
            <w:tcW w:type="dxa" w:w="3600"/>
          </w:tcPr>
          <w:p>
            <w:pPr>
              <w:spacing w:after="0" w:before="0" w:line="240" w:lineRule="auto"/>
              <w:jc w:val="left"/>
            </w:pPr>
            <w:r>
              <w:t>Calculate spare coverage until migration</w:t>
            </w:r>
          </w:p>
        </w:tc>
      </w:tr>
    </w:tbl>
    <w:p/>
    <w:p>
      <w:r>
        <w:t>These milestones are not interchangeable. A manufacturer may stop accepting orders before the final shipment date, and repair support may continue after manufacturing ends.</w:t>
      </w:r>
    </w:p>
    <w:p>
      <w:pPr>
        <w:pStyle w:val="Heading2"/>
      </w:pPr>
      <w:r>
        <w:t>4. What Must Be Verified Before an LTB</w:t>
      </w:r>
    </w:p>
    <w:p>
      <w:r>
        <w:t>Never base an LTB decision solely on a supplier saying, "This is the last chance." Commercial urgency is not technical evidence.</w:t>
      </w:r>
    </w:p>
    <w:p>
      <w:r>
        <w:t>Verify the following:</w:t>
      </w:r>
    </w:p>
    <w:p>
      <w:pPr>
        <w:tabs>
          <w:tab w:pos="403" w:val="left"/>
        </w:tabs>
        <w:spacing w:after="40" w:line="276" w:lineRule="auto"/>
        <w:ind w:left="403" w:hanging="403"/>
        <w:jc w:val="left"/>
      </w:pPr>
      <w:r>
        <w:rPr>
          <w:color w:val="1A2E4A"/>
        </w:rPr>
        <w:t>1.</w:t>
        <w:tab/>
      </w:r>
      <w:r>
        <w:t>Exact manufacturer and part number.</w:t>
      </w:r>
    </w:p>
    <w:p>
      <w:pPr>
        <w:tabs>
          <w:tab w:pos="403" w:val="left"/>
        </w:tabs>
        <w:spacing w:after="40" w:line="276" w:lineRule="auto"/>
        <w:ind w:left="403" w:hanging="403"/>
        <w:jc w:val="left"/>
      </w:pPr>
      <w:r>
        <w:rPr>
          <w:color w:val="1A2E4A"/>
        </w:rPr>
        <w:t>2.</w:t>
        <w:tab/>
      </w:r>
      <w:r>
        <w:t>Applicable hardware revision and product variant.</w:t>
      </w:r>
    </w:p>
    <w:p>
      <w:pPr>
        <w:tabs>
          <w:tab w:pos="403" w:val="left"/>
        </w:tabs>
        <w:spacing w:after="40" w:line="276" w:lineRule="auto"/>
        <w:ind w:left="403" w:hanging="403"/>
        <w:jc w:val="left"/>
      </w:pPr>
      <w:r>
        <w:rPr>
          <w:color w:val="1A2E4A"/>
        </w:rPr>
        <w:t>3.</w:t>
        <w:tab/>
      </w:r>
      <w:r>
        <w:t>Official lifecycle or discontinuation notice.</w:t>
      </w:r>
    </w:p>
    <w:p>
      <w:pPr>
        <w:tabs>
          <w:tab w:pos="403" w:val="left"/>
        </w:tabs>
        <w:spacing w:after="40" w:line="276" w:lineRule="auto"/>
        <w:ind w:left="403" w:hanging="403"/>
        <w:jc w:val="left"/>
      </w:pPr>
      <w:r>
        <w:rPr>
          <w:color w:val="1A2E4A"/>
        </w:rPr>
        <w:t>4.</w:t>
        <w:tab/>
      </w:r>
      <w:r>
        <w:t>Final order date and any order restrictions.</w:t>
      </w:r>
    </w:p>
    <w:p>
      <w:pPr>
        <w:tabs>
          <w:tab w:pos="403" w:val="left"/>
        </w:tabs>
        <w:spacing w:after="40" w:line="276" w:lineRule="auto"/>
        <w:ind w:left="403" w:hanging="403"/>
        <w:jc w:val="left"/>
      </w:pPr>
      <w:r>
        <w:rPr>
          <w:color w:val="1A2E4A"/>
        </w:rPr>
        <w:t>5.</w:t>
        <w:tab/>
      </w:r>
      <w:r>
        <w:t>Expected shipment date and delivery commitment.</w:t>
      </w:r>
    </w:p>
    <w:p>
      <w:pPr>
        <w:tabs>
          <w:tab w:pos="403" w:val="left"/>
        </w:tabs>
        <w:spacing w:after="40" w:line="276" w:lineRule="auto"/>
        <w:ind w:left="403" w:hanging="403"/>
        <w:jc w:val="left"/>
      </w:pPr>
      <w:r>
        <w:rPr>
          <w:color w:val="1A2E4A"/>
        </w:rPr>
        <w:t>6.</w:t>
        <w:tab/>
      </w:r>
      <w:r>
        <w:t>Whether the manufacturer accepts cancellations or quantity changes.</w:t>
      </w:r>
    </w:p>
    <w:p>
      <w:pPr>
        <w:tabs>
          <w:tab w:pos="403" w:val="left"/>
        </w:tabs>
        <w:spacing w:after="40" w:line="276" w:lineRule="auto"/>
        <w:ind w:left="403" w:hanging="403"/>
        <w:jc w:val="left"/>
      </w:pPr>
      <w:r>
        <w:rPr>
          <w:color w:val="1A2E4A"/>
        </w:rPr>
        <w:t>7.</w:t>
        <w:tab/>
      </w:r>
      <w:r>
        <w:t>Product authenticity and authorized supply channel.</w:t>
      </w:r>
    </w:p>
    <w:p>
      <w:pPr>
        <w:tabs>
          <w:tab w:pos="403" w:val="left"/>
        </w:tabs>
        <w:spacing w:after="40" w:line="276" w:lineRule="auto"/>
        <w:ind w:left="403" w:hanging="403"/>
        <w:jc w:val="left"/>
      </w:pPr>
      <w:r>
        <w:rPr>
          <w:color w:val="1A2E4A"/>
        </w:rPr>
        <w:t>8.</w:t>
        <w:tab/>
      </w:r>
      <w:r>
        <w:t>Warranty, storage, and return conditions.</w:t>
      </w:r>
    </w:p>
    <w:p>
      <w:pPr>
        <w:tabs>
          <w:tab w:pos="403" w:val="left"/>
        </w:tabs>
        <w:spacing w:after="40" w:line="276" w:lineRule="auto"/>
        <w:ind w:left="403" w:hanging="403"/>
        <w:jc w:val="left"/>
      </w:pPr>
      <w:r>
        <w:rPr>
          <w:color w:val="1A2E4A"/>
        </w:rPr>
        <w:t>9.</w:t>
        <w:tab/>
      </w:r>
      <w:r>
        <w:t>Repair availability and compatible successors.</w:t>
      </w:r>
    </w:p>
    <w:p>
      <w:pPr>
        <w:tabs>
          <w:tab w:pos="403" w:val="left"/>
        </w:tabs>
        <w:spacing w:after="40" w:line="276" w:lineRule="auto"/>
        <w:ind w:left="403" w:hanging="403"/>
        <w:jc w:val="left"/>
      </w:pPr>
      <w:r>
        <w:rPr>
          <w:color w:val="1A2E4A"/>
        </w:rPr>
        <w:t>10.</w:t>
        <w:tab/>
      </w:r>
      <w:r>
        <w:t>Whether the proposed purchase will cover the planned remaining service period.</w:t>
      </w:r>
    </w:p>
    <w:p>
      <w:r>
        <w:t>Retain the manufacturer's notice, quotation, technical documents, and approval records.</w:t>
      </w:r>
    </w:p>
    <w:p>
      <w:pPr>
        <w:pStyle w:val="Heading2"/>
      </w:pPr>
      <w:r>
        <w:t>5. LTB Decision-Making Process</w:t>
      </w:r>
    </w:p>
    <w:p>
      <w:pPr>
        <w:shd w:val="clear" w:color="auto" w:fill="F4F4F4"/>
        <w:spacing w:before="0" w:after="0" w:line="240" w:lineRule="auto"/>
        <w:ind w:left="216" w:right="216"/>
        <w:jc w:val="left"/>
      </w:pPr>
      <w:r>
        <w:rPr>
          <w:rFonts w:ascii="Consolas" w:hAnsi="Consolas"/>
          <w:color w:val="202020"/>
          <w:sz w:val="18"/>
        </w:rPr>
        <w:t>Identify the Discontinued Product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the Official LTB Notice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Map All Installed Assets Using the Product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Criticality and Failure Consequences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Usable Stock and Repair Availability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Estimate Required Coverage Until Migration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Evaluate Alternatives and Total Lifecycle Cost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 the Quantity and Budget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Place the Order Before the Deadline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Receive, Inspect, Register, and Store the Spares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Coverage Until the Legacy Asset Is Retired</w:t>
      </w:r>
    </w:p>
    <w:p/>
    <w:p>
      <w:r>
        <w:t>The LTB process should involve maintenance, engineering, procurement, stores, finance, and production as appropriate. A purchasing decision made without engineering input can produce a warehouse full of technically incompatible optimism.</w:t>
      </w:r>
    </w:p>
    <w:p>
      <w:pPr>
        <w:pStyle w:val="Heading2"/>
      </w:pPr>
      <w:r>
        <w:t>6. LTB Quantity Calculation</w:t>
      </w:r>
    </w:p>
    <w:p>
      <w:r>
        <w:t>The quantity must cover the expected requirement over a defined period, considering usable stock and credible recovery options.</w:t>
      </w:r>
    </w:p>
    <w:p>
      <w:pPr>
        <w:pStyle w:val="Heading3"/>
      </w:pPr>
      <w:r>
        <w:t>6.1 Basic Formula</w:t>
      </w:r>
    </w:p>
    <w:p>
      <w:pPr>
        <w:spacing w:before="120" w:after="160"/>
        <w:jc w:val="center"/>
      </w:pPr>
      <m:oMathPara>
        <m:oMath>
          <m:sSub>
            <m:e>
              <m:r>
                <m:t>Q</m:t>
              </m:r>
            </m:e>
            <m:sub>
              <m:r>
                <m:rPr>
                  <m:nor/>
                </m:rPr>
                <m:t>LTB</m:t>
              </m:r>
            </m:sub>
          </m:sSub>
          <m:r>
            <m:t>=max(0,D×T−S)</m:t>
          </m:r>
        </m:oMath>
      </m:oMathPara>
    </w:p>
    <w:p>
      <w:r>
        <w:t>Where:</w:t>
      </w:r>
    </w:p>
    <w:p>
      <w:pPr>
        <w:pStyle w:val="ListBullet"/>
      </w:pPr>
      <m:oMath>
        <m:sSub>
          <m:e>
            <m:r>
              <m:t>Q</m:t>
            </m:r>
          </m:e>
          <m:sub>
            <m:r>
              <m:rPr>
                <m:nor/>
              </m:rPr>
              <m:t>LTB</m:t>
            </m:r>
          </m:sub>
        </m:sSub>
      </m:oMath>
      <w:r>
        <w:t xml:space="preserve"> = estimated additional quantity to purchase.</w:t>
      </w:r>
    </w:p>
    <w:p>
      <w:pPr>
        <w:pStyle w:val="ListBullet"/>
      </w:pPr>
      <m:oMath>
        <m:r>
          <m:t>D</m:t>
        </m:r>
      </m:oMath>
      <w:r>
        <w:t xml:space="preserve"> = expected annual consumption in units per year.</w:t>
      </w:r>
    </w:p>
    <w:p>
      <w:pPr>
        <w:pStyle w:val="ListBullet"/>
      </w:pPr>
      <m:oMath>
        <m:r>
          <m:t>T</m:t>
        </m:r>
      </m:oMath>
      <w:r>
        <w:t xml:space="preserve"> = required coverage period in years.</w:t>
      </w:r>
    </w:p>
    <w:p>
      <w:pPr>
        <w:pStyle w:val="ListBullet"/>
      </w:pPr>
      <m:oMath>
        <m:r>
          <m:t>S</m:t>
        </m:r>
      </m:oMath>
      <w:r>
        <w:t xml:space="preserve"> = usable stock already available.</w:t>
      </w:r>
    </w:p>
    <w:p>
      <w:r>
        <w:t>This is a preliminary estimate. It assumes a reasonably stable consumption rate and does not account for uncertainty, repair returns, or the timing of individual failures.</w:t>
      </w:r>
    </w:p>
    <w:p>
      <w:pPr>
        <w:pStyle w:val="Heading3"/>
      </w:pPr>
      <w:r>
        <w:t>6.2 Example: PLC Communication Module</w:t>
      </w:r>
    </w:p>
    <w:p>
      <w:r>
        <w:t>A critical production machine uses a discontinued PLC communication module.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Value</w:t>
            </w:r>
          </w:p>
        </w:tc>
      </w:tr>
      <w:tr>
        <w:tc>
          <w:tcPr>
            <w:tcW w:type="dxa" w:w="5400"/>
          </w:tcPr>
          <w:p>
            <w:pPr>
              <w:spacing w:after="0" w:before="0" w:line="240" w:lineRule="auto"/>
              <w:jc w:val="left"/>
            </w:pPr>
            <w:r>
              <w:t>Installed machines using the module</w:t>
            </w:r>
          </w:p>
        </w:tc>
        <w:tc>
          <w:tcPr>
            <w:tcW w:type="dxa" w:w="5400"/>
          </w:tcPr>
          <w:p>
            <w:pPr>
              <w:spacing w:after="0" w:before="0" w:line="240" w:lineRule="auto"/>
              <w:jc w:val="left"/>
            </w:pPr>
            <w:r>
              <w:t>8</w:t>
            </w:r>
          </w:p>
        </w:tc>
      </w:tr>
      <w:tr>
        <w:tc>
          <w:tcPr>
            <w:tcW w:type="dxa" w:w="5400"/>
          </w:tcPr>
          <w:p>
            <w:pPr>
              <w:spacing w:after="0" w:before="0" w:line="240" w:lineRule="auto"/>
              <w:jc w:val="left"/>
            </w:pPr>
            <w:r>
              <w:t>Expected annual consumption</w:t>
            </w:r>
          </w:p>
        </w:tc>
        <w:tc>
          <w:tcPr>
            <w:tcW w:type="dxa" w:w="5400"/>
          </w:tcPr>
          <w:p>
            <w:pPr>
              <w:spacing w:after="0" w:before="0" w:line="240" w:lineRule="auto"/>
              <w:jc w:val="left"/>
            </w:pPr>
            <w:r>
              <w:t>1.2 units/year</w:t>
            </w:r>
          </w:p>
        </w:tc>
      </w:tr>
      <w:tr>
        <w:tc>
          <w:tcPr>
            <w:tcW w:type="dxa" w:w="5400"/>
          </w:tcPr>
          <w:p>
            <w:pPr>
              <w:spacing w:after="0" w:before="0" w:line="240" w:lineRule="auto"/>
              <w:jc w:val="left"/>
            </w:pPr>
            <w:r>
              <w:t>Planned migration period</w:t>
            </w:r>
          </w:p>
        </w:tc>
        <w:tc>
          <w:tcPr>
            <w:tcW w:type="dxa" w:w="5400"/>
          </w:tcPr>
          <w:p>
            <w:pPr>
              <w:spacing w:after="0" w:before="0" w:line="240" w:lineRule="auto"/>
              <w:jc w:val="left"/>
            </w:pPr>
            <w:r>
              <w:t>3 years</w:t>
            </w:r>
          </w:p>
        </w:tc>
      </w:tr>
      <w:tr>
        <w:tc>
          <w:tcPr>
            <w:tcW w:type="dxa" w:w="5400"/>
          </w:tcPr>
          <w:p>
            <w:pPr>
              <w:spacing w:after="0" w:before="0" w:line="240" w:lineRule="auto"/>
              <w:jc w:val="left"/>
            </w:pPr>
            <w:r>
              <w:t>Usable stock</w:t>
            </w:r>
          </w:p>
        </w:tc>
        <w:tc>
          <w:tcPr>
            <w:tcW w:type="dxa" w:w="5400"/>
          </w:tcPr>
          <w:p>
            <w:pPr>
              <w:spacing w:after="0" w:before="0" w:line="240" w:lineRule="auto"/>
              <w:jc w:val="left"/>
            </w:pPr>
            <w:r>
              <w:t>1 unit</w:t>
            </w:r>
          </w:p>
        </w:tc>
      </w:tr>
      <w:tr>
        <w:tc>
          <w:tcPr>
            <w:tcW w:type="dxa" w:w="5400"/>
          </w:tcPr>
          <w:p>
            <w:pPr>
              <w:spacing w:after="0" w:before="0" w:line="240" w:lineRule="auto"/>
              <w:jc w:val="left"/>
            </w:pPr>
            <w:r>
              <w:t>Basic estimated requirement</w:t>
            </w:r>
          </w:p>
        </w:tc>
        <w:tc>
          <w:tcPr>
            <w:tcW w:type="dxa" w:w="5400"/>
          </w:tcPr>
          <w:p>
            <w:pPr>
              <w:spacing w:after="0" w:before="0" w:line="240" w:lineRule="auto"/>
              <w:jc w:val="left"/>
            </w:pPr>
            <w:r>
              <w:t>3.6 units</w:t>
            </w:r>
          </w:p>
        </w:tc>
      </w:tr>
      <w:tr>
        <w:tc>
          <w:tcPr>
            <w:tcW w:type="dxa" w:w="5400"/>
          </w:tcPr>
          <w:p>
            <w:pPr>
              <w:spacing w:after="0" w:before="0" w:line="240" w:lineRule="auto"/>
              <w:jc w:val="left"/>
            </w:pPr>
            <w:r>
              <w:t>Preliminary additional quantity</w:t>
            </w:r>
          </w:p>
        </w:tc>
        <w:tc>
          <w:tcPr>
            <w:tcW w:type="dxa" w:w="5400"/>
          </w:tcPr>
          <w:p>
            <w:pPr>
              <w:spacing w:after="0" w:before="0" w:line="240" w:lineRule="auto"/>
              <w:jc w:val="left"/>
            </w:pPr>
            <w:r>
              <w:t>2.6 units</w:t>
            </w:r>
          </w:p>
        </w:tc>
      </w:tr>
    </w:tbl>
    <w:p/>
    <w:p>
      <w:r>
        <w:t>Because modules are purchased in whole units, the preliminary quantity is rounded up to 3 units.</w:t>
      </w:r>
    </w:p>
    <w:p>
      <w:r>
        <w:t>The organization should then validate whether this quantity is sufficient for the actual failure pattern, delivery timing, repair availability, and migration schedule. The installed quantity of eight modules does not automatically mean eight spare modules are needed.</w:t>
      </w:r>
    </w:p>
    <w:p>
      <w:pPr>
        <w:pStyle w:val="Heading2"/>
      </w:pPr>
      <w:r>
        <w:t>7. More Detailed LTB Planning</w:t>
      </w:r>
    </w:p>
    <w:p>
      <w:r>
        <w:t>For critical assets, a consumption-only formula may be insufficient.</w:t>
      </w:r>
    </w:p>
    <w:p>
      <w:pPr>
        <w:pStyle w:val="Heading3"/>
      </w:pPr>
      <w:r>
        <w:t>7.1 Failure-Rate-Based Estimate</w:t>
      </w:r>
    </w:p>
    <w:p>
      <w:r>
        <w:t>If failures are reasonably modeled using a constant average failure rate:</w:t>
      </w:r>
    </w:p>
    <w:p>
      <w:pPr>
        <w:spacing w:before="120" w:after="160"/>
        <w:jc w:val="center"/>
      </w:pPr>
      <m:oMathPara>
        <m:oMath>
          <m:r>
            <m:t>E[N]=λ×n×T</m:t>
          </m:r>
        </m:oMath>
      </m:oMathPara>
    </w:p>
    <w:p>
      <w:r>
        <w:t>Where:</w:t>
      </w:r>
    </w:p>
    <w:p>
      <w:pPr>
        <w:pStyle w:val="ListBullet"/>
      </w:pPr>
      <m:oMath>
        <m:r>
          <m:t>E[N]</m:t>
        </m:r>
      </m:oMath>
      <w:r>
        <w:t xml:space="preserve"> = expected number of failures.</w:t>
      </w:r>
    </w:p>
    <w:p>
      <w:pPr>
        <w:pStyle w:val="ListBullet"/>
      </w:pPr>
      <m:oMath>
        <m:r>
          <m:t>λ</m:t>
        </m:r>
      </m:oMath>
      <w:r>
        <w:t xml:space="preserve"> = average failure rate per unit-year.</w:t>
      </w:r>
    </w:p>
    <w:p>
      <w:pPr>
        <w:pStyle w:val="ListBullet"/>
      </w:pPr>
      <m:oMath>
        <m:r>
          <m:t>n</m:t>
        </m:r>
      </m:oMath>
      <w:r>
        <w:t xml:space="preserve"> = number of installed units.</w:t>
      </w:r>
    </w:p>
    <w:p>
      <w:pPr>
        <w:pStyle w:val="ListBullet"/>
      </w:pPr>
      <m:oMath>
        <m:r>
          <m:t>T</m:t>
        </m:r>
      </m:oMath>
      <w:r>
        <w:t xml:space="preserve"> = coverage period in years.</w:t>
      </w:r>
    </w:p>
    <w:p>
      <w:r>
        <w:t>For example, if 10 installed modules each have an estimated failure rate of 0.08 failures per unit-year over 3 years:</w:t>
      </w:r>
    </w:p>
    <w:p>
      <w:pPr>
        <w:spacing w:before="120" w:after="160"/>
        <w:jc w:val="center"/>
      </w:pPr>
      <m:oMathPara>
        <m:oMath>
          <m:r>
            <m:t>E[N]=0.08×10×3=2.4</m:t>
          </m:r>
        </m:oMath>
      </m:oMathPara>
    </w:p>
    <w:p>
      <w:r>
        <w:t>The expected number of failures is 2.4. This is not a guarantee that three spare modules will be sufficient. Actual failures vary, and a critical application may require a higher confidence level than the average alone provides.</w:t>
      </w:r>
    </w:p>
    <w:p>
      <w:pPr>
        <w:pStyle w:val="Heading3"/>
      </w:pPr>
      <w:r>
        <w:t>7.2 Repair Returns</w:t>
      </w:r>
    </w:p>
    <w:p>
      <w:r>
        <w:t>A failed module may be repairable and returned to service. Account for:</w:t>
      </w:r>
    </w:p>
    <w:p>
      <w:pPr>
        <w:pStyle w:val="ListBullet"/>
      </w:pPr>
      <w:r>
        <w:t>Probability that repair is successful.</w:t>
      </w:r>
    </w:p>
    <w:p>
      <w:pPr>
        <w:pStyle w:val="ListBullet"/>
      </w:pPr>
      <w:r>
        <w:t>Average repair turnaround time.</w:t>
      </w:r>
    </w:p>
    <w:p>
      <w:pPr>
        <w:pStyle w:val="ListBullet"/>
      </w:pPr>
      <w:r>
        <w:t>Availability of temporary replacement units.</w:t>
      </w:r>
    </w:p>
    <w:p>
      <w:pPr>
        <w:pStyle w:val="ListBullet"/>
      </w:pPr>
      <w:r>
        <w:t>Transport and diagnostic delays.</w:t>
      </w:r>
    </w:p>
    <w:p>
      <w:pPr>
        <w:pStyle w:val="ListBullet"/>
      </w:pPr>
      <w:r>
        <w:t>Whether repair services remain available throughout the coverage period.</w:t>
      </w:r>
    </w:p>
    <w:p>
      <w:r>
        <w:t>Do not count a failed or untested repair return as usable stock.</w:t>
      </w:r>
    </w:p>
    <w:p>
      <w:pPr>
        <w:pStyle w:val="Heading3"/>
      </w:pPr>
      <w:r>
        <w:t>7.3 Lead-Time Coverage</w:t>
      </w:r>
    </w:p>
    <w:p>
      <w:r>
        <w:t>For replenishable products, lead-time demand is commonly estimated as:</w:t>
      </w:r>
    </w:p>
    <w:p>
      <w:pPr>
        <w:spacing w:before="120" w:after="160"/>
        <w:jc w:val="center"/>
      </w:pPr>
      <m:oMathPara>
        <m:oMath>
          <m:sSub>
            <m:e>
              <m:r>
                <m:t>Q</m:t>
              </m:r>
            </m:e>
            <m:sub>
              <m:r>
                <m:rPr>
                  <m:nor/>
                </m:rPr>
                <m:t>LT</m:t>
              </m:r>
            </m:sub>
          </m:sSub>
          <m:r>
            <m:t>=D×</m:t>
          </m:r>
          <m:f>
            <m:fPr>
              <m:type m:val="bar"/>
            </m:fPr>
            <m:num>
              <m:r>
                <m:t>L</m:t>
              </m:r>
            </m:num>
            <m:den>
              <m:r>
                <m:t>365</m:t>
              </m:r>
            </m:den>
          </m:f>
        </m:oMath>
      </m:oMathPara>
    </w:p>
    <w:p>
      <w:r>
        <w:t xml:space="preserve">Where </w:t>
      </w:r>
      <m:oMath>
        <m:r>
          <m:t>L</m:t>
        </m:r>
      </m:oMath>
      <w:r>
        <w:t xml:space="preserve"> is the lead time in calendar days and </w:t>
      </w:r>
      <m:oMath>
        <m:r>
          <m:t>D</m:t>
        </m:r>
      </m:oMath>
      <w:r>
        <w:t xml:space="preserve"> is annual demand.</w:t>
      </w:r>
    </w:p>
    <w:p>
      <w:r>
        <w:t>For a genuine LTB product, normal replenishment may no longer be possible. In that case, lead time remains important for ensuring the final order arrives before the organization needs it, but it does not replace the full coverage calculation.</w:t>
      </w:r>
    </w:p>
    <w:p>
      <w:pPr>
        <w:pStyle w:val="Heading2"/>
      </w:pPr>
      <w:r>
        <w:t>8. Safety Stock and Uncertainty</w:t>
      </w:r>
    </w:p>
    <w:p>
      <w:r>
        <w:t>Demand may be unpredictable because electronic failures are often intermittent, clustered, or affected by temperature, vibration, power quality, and operating conditions.</w:t>
      </w:r>
    </w:p>
    <w:p>
      <w:r>
        <w:t>The required LTB quantity should account for:</w:t>
      </w:r>
    </w:p>
    <w:p>
      <w:pPr>
        <w:pStyle w:val="ListBullet"/>
      </w:pPr>
      <w:r>
        <w:t>Variability in failure rates.</w:t>
      </w:r>
    </w:p>
    <w:p>
      <w:pPr>
        <w:pStyle w:val="ListBullet"/>
      </w:pPr>
      <w:r>
        <w:t>Equipment age and operating hours.</w:t>
      </w:r>
    </w:p>
    <w:p>
      <w:pPr>
        <w:pStyle w:val="ListBullet"/>
      </w:pPr>
      <w:r>
        <w:t>Environmental conditions.</w:t>
      </w:r>
    </w:p>
    <w:p>
      <w:pPr>
        <w:pStyle w:val="ListBullet"/>
      </w:pPr>
      <w:r>
        <w:t>Common-cause failures affecting several units.</w:t>
      </w:r>
    </w:p>
    <w:p>
      <w:pPr>
        <w:pStyle w:val="ListBullet"/>
      </w:pPr>
      <w:r>
        <w:t>Repair turnaround uncertainty.</w:t>
      </w:r>
    </w:p>
    <w:p>
      <w:pPr>
        <w:pStyle w:val="ListBullet"/>
      </w:pPr>
      <w:r>
        <w:t>Supplier delivery risk.</w:t>
      </w:r>
    </w:p>
    <w:p>
      <w:pPr>
        <w:pStyle w:val="ListBullet"/>
      </w:pPr>
      <w:r>
        <w:t>Planned production changes.</w:t>
      </w:r>
    </w:p>
    <w:p>
      <w:pPr>
        <w:pStyle w:val="ListBullet"/>
      </w:pPr>
      <w:r>
        <w:t>Migration delays.</w:t>
      </w:r>
    </w:p>
    <w:p>
      <w:r>
        <w:t>A statistical safety-stock calculation is useful only when the underlying data and assumptions are credible. For rare, high-consequence failures, engineering judgment and scenario analysis may be more appropriate than a simple average.</w:t>
      </w:r>
    </w:p>
    <w:p>
      <w:pPr>
        <w:pStyle w:val="Heading2"/>
      </w:pPr>
      <w:r>
        <w:t>9. LTB Versus Normal Spare Procurement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Factor</w:t>
            </w:r>
          </w:p>
        </w:tc>
        <w:tc>
          <w:tcPr>
            <w:tcW w:type="dxa" w:w="3600"/>
            <w:shd w:val="clear" w:color="auto" w:fill="EEF2F7"/>
          </w:tcPr>
          <w:p>
            <w:pPr>
              <w:spacing w:after="0" w:before="0" w:line="240" w:lineRule="auto"/>
              <w:jc w:val="left"/>
            </w:pPr>
            <w:r>
              <w:rPr>
                <w:b/>
                <w:color w:val="1A2E4A"/>
              </w:rPr>
              <w:t>Normal procurement</w:t>
            </w:r>
          </w:p>
        </w:tc>
        <w:tc>
          <w:tcPr>
            <w:tcW w:type="dxa" w:w="3600"/>
            <w:shd w:val="clear" w:color="auto" w:fill="EEF2F7"/>
          </w:tcPr>
          <w:p>
            <w:pPr>
              <w:spacing w:after="0" w:before="0" w:line="240" w:lineRule="auto"/>
              <w:jc w:val="left"/>
            </w:pPr>
            <w:r>
              <w:rPr>
                <w:b/>
                <w:color w:val="1A2E4A"/>
              </w:rPr>
              <w:t>Last-time buy</w:t>
            </w:r>
          </w:p>
        </w:tc>
      </w:tr>
      <w:tr>
        <w:tc>
          <w:tcPr>
            <w:tcW w:type="dxa" w:w="3600"/>
          </w:tcPr>
          <w:p>
            <w:pPr>
              <w:spacing w:after="0" w:before="0" w:line="240" w:lineRule="auto"/>
              <w:jc w:val="left"/>
            </w:pPr>
            <w:r>
              <w:t>Replenishment</w:t>
            </w:r>
          </w:p>
        </w:tc>
        <w:tc>
          <w:tcPr>
            <w:tcW w:type="dxa" w:w="3600"/>
          </w:tcPr>
          <w:p>
            <w:pPr>
              <w:spacing w:after="0" w:before="0" w:line="240" w:lineRule="auto"/>
              <w:jc w:val="left"/>
            </w:pPr>
            <w:r>
              <w:t>Normally possible</w:t>
            </w:r>
          </w:p>
        </w:tc>
        <w:tc>
          <w:tcPr>
            <w:tcW w:type="dxa" w:w="3600"/>
          </w:tcPr>
          <w:p>
            <w:pPr>
              <w:spacing w:after="0" w:before="0" w:line="240" w:lineRule="auto"/>
              <w:jc w:val="left"/>
            </w:pPr>
            <w:r>
              <w:t>May become impossible after the deadline</w:t>
            </w:r>
          </w:p>
        </w:tc>
      </w:tr>
      <w:tr>
        <w:tc>
          <w:tcPr>
            <w:tcW w:type="dxa" w:w="3600"/>
          </w:tcPr>
          <w:p>
            <w:pPr>
              <w:spacing w:after="0" w:before="0" w:line="240" w:lineRule="auto"/>
              <w:jc w:val="left"/>
            </w:pPr>
            <w:r>
              <w:t>Quantity decision</w:t>
            </w:r>
          </w:p>
        </w:tc>
        <w:tc>
          <w:tcPr>
            <w:tcW w:type="dxa" w:w="3600"/>
          </w:tcPr>
          <w:p>
            <w:pPr>
              <w:spacing w:after="0" w:before="0" w:line="240" w:lineRule="auto"/>
              <w:jc w:val="left"/>
            </w:pPr>
            <w:r>
              <w:t>Driven by routine demand and lead time</w:t>
            </w:r>
          </w:p>
        </w:tc>
        <w:tc>
          <w:tcPr>
            <w:tcW w:type="dxa" w:w="3600"/>
          </w:tcPr>
          <w:p>
            <w:pPr>
              <w:spacing w:after="0" w:before="0" w:line="240" w:lineRule="auto"/>
              <w:jc w:val="left"/>
            </w:pPr>
            <w:r>
              <w:t>Driven by remaining service life and future risk</w:t>
            </w:r>
          </w:p>
        </w:tc>
      </w:tr>
      <w:tr>
        <w:tc>
          <w:tcPr>
            <w:tcW w:type="dxa" w:w="3600"/>
          </w:tcPr>
          <w:p>
            <w:pPr>
              <w:spacing w:after="0" w:before="0" w:line="240" w:lineRule="auto"/>
              <w:jc w:val="left"/>
            </w:pPr>
            <w:r>
              <w:t>Delivery risk</w:t>
            </w:r>
          </w:p>
        </w:tc>
        <w:tc>
          <w:tcPr>
            <w:tcW w:type="dxa" w:w="3600"/>
          </w:tcPr>
          <w:p>
            <w:pPr>
              <w:spacing w:after="0" w:before="0" w:line="240" w:lineRule="auto"/>
              <w:jc w:val="left"/>
            </w:pPr>
            <w:r>
              <w:t>Managed through normal supplier arrangements</w:t>
            </w:r>
          </w:p>
        </w:tc>
        <w:tc>
          <w:tcPr>
            <w:tcW w:type="dxa" w:w="3600"/>
          </w:tcPr>
          <w:p>
            <w:pPr>
              <w:spacing w:after="0" w:before="0" w:line="240" w:lineRule="auto"/>
              <w:jc w:val="left"/>
            </w:pPr>
            <w:r>
              <w:t>Includes final-order and final-shipment constraints</w:t>
            </w:r>
          </w:p>
        </w:tc>
      </w:tr>
      <w:tr>
        <w:tc>
          <w:tcPr>
            <w:tcW w:type="dxa" w:w="3600"/>
          </w:tcPr>
          <w:p>
            <w:pPr>
              <w:spacing w:after="0" w:before="0" w:line="240" w:lineRule="auto"/>
              <w:jc w:val="left"/>
            </w:pPr>
            <w:r>
              <w:t>Obsolescence risk</w:t>
            </w:r>
          </w:p>
        </w:tc>
        <w:tc>
          <w:tcPr>
            <w:tcW w:type="dxa" w:w="3600"/>
          </w:tcPr>
          <w:p>
            <w:pPr>
              <w:spacing w:after="0" w:before="0" w:line="240" w:lineRule="auto"/>
              <w:jc w:val="left"/>
            </w:pPr>
            <w:r>
              <w:t>Usually lower for active products</w:t>
            </w:r>
          </w:p>
        </w:tc>
        <w:tc>
          <w:tcPr>
            <w:tcW w:type="dxa" w:w="3600"/>
          </w:tcPr>
          <w:p>
            <w:pPr>
              <w:spacing w:after="0" w:before="0" w:line="240" w:lineRule="auto"/>
              <w:jc w:val="left"/>
            </w:pPr>
            <w:r>
              <w:t>High risk of unused stock after migration</w:t>
            </w:r>
          </w:p>
        </w:tc>
      </w:tr>
      <w:tr>
        <w:tc>
          <w:tcPr>
            <w:tcW w:type="dxa" w:w="3600"/>
          </w:tcPr>
          <w:p>
            <w:pPr>
              <w:spacing w:after="0" w:before="0" w:line="240" w:lineRule="auto"/>
              <w:jc w:val="left"/>
            </w:pPr>
            <w:r>
              <w:t>Replacement options</w:t>
            </w:r>
          </w:p>
        </w:tc>
        <w:tc>
          <w:tcPr>
            <w:tcW w:type="dxa" w:w="3600"/>
          </w:tcPr>
          <w:p>
            <w:pPr>
              <w:spacing w:after="0" w:before="0" w:line="240" w:lineRule="auto"/>
              <w:jc w:val="left"/>
            </w:pPr>
            <w:r>
              <w:t>Can often be evaluated over time</w:t>
            </w:r>
          </w:p>
        </w:tc>
        <w:tc>
          <w:tcPr>
            <w:tcW w:type="dxa" w:w="3600"/>
          </w:tcPr>
          <w:p>
            <w:pPr>
              <w:spacing w:after="0" w:before="0" w:line="240" w:lineRule="auto"/>
              <w:jc w:val="left"/>
            </w:pPr>
            <w:r>
              <w:t>Must be assessed before the deadline</w:t>
            </w:r>
          </w:p>
        </w:tc>
      </w:tr>
      <w:tr>
        <w:tc>
          <w:tcPr>
            <w:tcW w:type="dxa" w:w="3600"/>
          </w:tcPr>
          <w:p>
            <w:pPr>
              <w:spacing w:after="0" w:before="0" w:line="240" w:lineRule="auto"/>
              <w:jc w:val="left"/>
            </w:pPr>
            <w:r>
              <w:t>Financial exposure</w:t>
            </w:r>
          </w:p>
        </w:tc>
        <w:tc>
          <w:tcPr>
            <w:tcW w:type="dxa" w:w="3600"/>
          </w:tcPr>
          <w:p>
            <w:pPr>
              <w:spacing w:after="0" w:before="0" w:line="240" w:lineRule="auto"/>
              <w:jc w:val="left"/>
            </w:pPr>
            <w:r>
              <w:t>Recurring inventory commitment</w:t>
            </w:r>
          </w:p>
        </w:tc>
        <w:tc>
          <w:tcPr>
            <w:tcW w:type="dxa" w:w="3600"/>
          </w:tcPr>
          <w:p>
            <w:pPr>
              <w:spacing w:after="0" w:before="0" w:line="240" w:lineRule="auto"/>
              <w:jc w:val="left"/>
            </w:pPr>
            <w:r>
              <w:t>Potentially large one-time inventory commitment</w:t>
            </w:r>
          </w:p>
        </w:tc>
      </w:tr>
      <w:tr>
        <w:tc>
          <w:tcPr>
            <w:tcW w:type="dxa" w:w="3600"/>
          </w:tcPr>
          <w:p>
            <w:pPr>
              <w:spacing w:after="0" w:before="0" w:line="240" w:lineRule="auto"/>
              <w:jc w:val="left"/>
            </w:pPr>
            <w:r>
              <w:t>Review frequency</w:t>
            </w:r>
          </w:p>
        </w:tc>
        <w:tc>
          <w:tcPr>
            <w:tcW w:type="dxa" w:w="3600"/>
          </w:tcPr>
          <w:p>
            <w:pPr>
              <w:spacing w:after="0" w:before="0" w:line="240" w:lineRule="auto"/>
              <w:jc w:val="left"/>
            </w:pPr>
            <w:r>
              <w:t>Routine stock review</w:t>
            </w:r>
          </w:p>
        </w:tc>
        <w:tc>
          <w:tcPr>
            <w:tcW w:type="dxa" w:w="3600"/>
          </w:tcPr>
          <w:p>
            <w:pPr>
              <w:spacing w:after="0" w:before="0" w:line="240" w:lineRule="auto"/>
              <w:jc w:val="left"/>
            </w:pPr>
            <w:r>
              <w:t>Lifecycle and migration milestone reviews</w:t>
            </w:r>
          </w:p>
        </w:tc>
      </w:tr>
    </w:tbl>
    <w:p/>
    <w:p>
      <w:pPr>
        <w:pStyle w:val="Heading2"/>
      </w:pPr>
      <w:r>
        <w:t>10. LTB Versus Migration</w:t>
      </w:r>
    </w:p>
    <w:p>
      <w:r>
        <w:t>LTB and migration solve different problems.</w:t>
      </w:r>
    </w:p>
    <w:p>
      <w:pPr>
        <w:pStyle w:val="ListBullet"/>
      </w:pPr>
      <w:r>
        <w:t>LTB secures temporary access to discontinued parts.</w:t>
      </w:r>
    </w:p>
    <w:p>
      <w:pPr>
        <w:pStyle w:val="ListBullet"/>
      </w:pPr>
      <w:r>
        <w:t>Migration replaces or redesigns the equipment, platform, or system.</w:t>
      </w:r>
    </w:p>
    <w:p>
      <w:pPr>
        <w:pStyle w:val="ListBullet"/>
      </w:pPr>
      <w:r>
        <w:t>Repair restores existing equipment where a suitable repair service exists.</w:t>
      </w:r>
    </w:p>
    <w:p>
      <w:pPr>
        <w:pStyle w:val="ListBullet"/>
      </w:pPr>
      <w:r>
        <w:t>Retrofit replaces selected subsystems while retaining other machine elements.</w:t>
      </w:r>
    </w:p>
    <w:p>
      <w:r>
        <w:t>LTB should normally support a defined transition plan rather than become a permanent substitute for lifecycle management.</w:t>
      </w:r>
    </w:p>
    <w:p>
      <w:r>
        <w:t>For example, purchasing obsolete PLC modules may be reasonable when migration requires a planned shutdown two years later. It is less defensible when no migration date, risk assessment, or review mechanism exists.</w:t>
      </w:r>
    </w:p>
    <w:p>
      <w:pPr>
        <w:pStyle w:val="Heading2"/>
      </w:pPr>
      <w:r>
        <w:t>11. Technical Compatibility and Revision Control</w:t>
      </w:r>
    </w:p>
    <w:p>
      <w:r>
        <w:t>Before purchasing discontinued stock, confirm that it is compatible with the installed system.</w:t>
      </w:r>
    </w:p>
    <w:p>
      <w:r>
        <w:t>Check:</w:t>
      </w:r>
    </w:p>
    <w:p>
      <w:pPr>
        <w:pStyle w:val="ListBullet"/>
      </w:pPr>
      <w:r>
        <w:t>Exact catalog number and hardware revision.</w:t>
      </w:r>
    </w:p>
    <w:p>
      <w:pPr>
        <w:pStyle w:val="ListBullet"/>
      </w:pPr>
      <w:r>
        <w:t>Firmware compatibility.</w:t>
      </w:r>
    </w:p>
    <w:p>
      <w:pPr>
        <w:pStyle w:val="ListBullet"/>
      </w:pPr>
      <w:r>
        <w:t>Electrical and mechanical specifications.</w:t>
      </w:r>
    </w:p>
    <w:p>
      <w:pPr>
        <w:pStyle w:val="ListBullet"/>
      </w:pPr>
      <w:r>
        <w:t>Communication protocol and network compatibility.</w:t>
      </w:r>
    </w:p>
    <w:p>
      <w:pPr>
        <w:pStyle w:val="ListBullet"/>
      </w:pPr>
      <w:r>
        <w:t>Engineering software and programming-tool versions.</w:t>
      </w:r>
    </w:p>
    <w:p>
      <w:pPr>
        <w:pStyle w:val="ListBullet"/>
      </w:pPr>
      <w:r>
        <w:t>Connector and terminal arrangements.</w:t>
      </w:r>
    </w:p>
    <w:p>
      <w:pPr>
        <w:pStyle w:val="ListBullet"/>
      </w:pPr>
      <w:r>
        <w:t>Required accessories and memory devices.</w:t>
      </w:r>
    </w:p>
    <w:p>
      <w:pPr>
        <w:pStyle w:val="ListBullet"/>
      </w:pPr>
      <w:r>
        <w:t>Safety certification, where applicable.</w:t>
      </w:r>
    </w:p>
    <w:p>
      <w:pPr>
        <w:pStyle w:val="ListBullet"/>
      </w:pPr>
      <w:r>
        <w:t>Machine-builder restrictions or approved configurations.</w:t>
      </w:r>
    </w:p>
    <w:p>
      <w:r>
        <w:t>A similar-looking part is not necessarily an equivalent part. Differences in firmware, revision, or certification may prevent installation or invalidate the intended application.</w:t>
      </w:r>
    </w:p>
    <w:p>
      <w:pPr>
        <w:pStyle w:val="Heading2"/>
      </w:pPr>
      <w:r>
        <w:t>12. Counterfeit and Storage Risks</w:t>
      </w:r>
    </w:p>
    <w:p>
      <w:r>
        <w:t>Scarcity can increase the likelihood of encountering questionable stock, refurbished products sold as new, or parts with uncertain provenance.</w:t>
      </w:r>
    </w:p>
    <w:p>
      <w:pPr>
        <w:pStyle w:val="Heading3"/>
      </w:pPr>
      <w:r>
        <w:t>Procurement controls</w:t>
      </w:r>
    </w:p>
    <w:p>
      <w:pPr>
        <w:pStyle w:val="ListBullet"/>
      </w:pPr>
      <w:r>
        <w:t>Use approved suppliers where possible.</w:t>
      </w:r>
    </w:p>
    <w:p>
      <w:pPr>
        <w:pStyle w:val="ListBullet"/>
      </w:pPr>
      <w:r>
        <w:t>Verify manufacturer labels and traceability.</w:t>
      </w:r>
    </w:p>
    <w:p>
      <w:pPr>
        <w:pStyle w:val="ListBullet"/>
      </w:pPr>
      <w:r>
        <w:t>Record serial numbers and batch information.</w:t>
      </w:r>
    </w:p>
    <w:p>
      <w:pPr>
        <w:pStyle w:val="ListBullet"/>
      </w:pPr>
      <w:r>
        <w:t>Inspect packaging and physical condition.</w:t>
      </w:r>
    </w:p>
    <w:p>
      <w:pPr>
        <w:pStyle w:val="ListBullet"/>
      </w:pPr>
      <w:r>
        <w:t>Confirm warranty and return terms.</w:t>
      </w:r>
    </w:p>
    <w:p>
      <w:pPr>
        <w:pStyle w:val="ListBullet"/>
      </w:pPr>
      <w:r>
        <w:t>Quarantine suspicious or unverified material.</w:t>
      </w:r>
    </w:p>
    <w:p>
      <w:pPr>
        <w:pStyle w:val="Heading3"/>
      </w:pPr>
      <w:r>
        <w:t>Storage controls</w:t>
      </w:r>
    </w:p>
    <w:p>
      <w:pPr>
        <w:pStyle w:val="ListBullet"/>
      </w:pPr>
      <w:r>
        <w:t>Follow manufacturer storage temperature and humidity limits.</w:t>
      </w:r>
    </w:p>
    <w:p>
      <w:pPr>
        <w:pStyle w:val="ListBullet"/>
      </w:pPr>
      <w:r>
        <w:t>Protect against electrostatic discharge where required.</w:t>
      </w:r>
    </w:p>
    <w:p>
      <w:pPr>
        <w:pStyle w:val="ListBullet"/>
      </w:pPr>
      <w:r>
        <w:t>Use suitable packaging for electronic components.</w:t>
      </w:r>
    </w:p>
    <w:p>
      <w:pPr>
        <w:pStyle w:val="ListBullet"/>
      </w:pPr>
      <w:r>
        <w:t>Apply FIFO or another approved inventory method where appropriate.</w:t>
      </w:r>
    </w:p>
    <w:p>
      <w:pPr>
        <w:pStyle w:val="ListBullet"/>
      </w:pPr>
      <w:r>
        <w:t>Inspect stored parts periodically.</w:t>
      </w:r>
    </w:p>
    <w:p>
      <w:pPr>
        <w:pStyle w:val="ListBullet"/>
      </w:pPr>
      <w:r>
        <w:t>Track shelf-life limits for batteries, capacitors, and other age-sensitive components.</w:t>
      </w:r>
    </w:p>
    <w:p>
      <w:pPr>
        <w:pStyle w:val="ListBullet"/>
      </w:pPr>
      <w:r>
        <w:t>Test parts according to an approved procedure before relying on them for critical service.</w:t>
      </w:r>
    </w:p>
    <w:p>
      <w:r>
        <w:t>Long-term storage does not guarantee long-term reliability. Electronics do not become immortal merely because procurement has assigned them a shelf number.</w:t>
      </w:r>
    </w:p>
    <w:p>
      <w:pPr>
        <w:pStyle w:val="Heading2"/>
      </w:pPr>
      <w:r>
        <w:t>13. Financial Evaluation</w:t>
      </w:r>
    </w:p>
    <w:p>
      <w:r>
        <w:t>An LTB decision should consider total lifecycle cost, not just the unit purchase price.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Cost element</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Purchase cost</w:t>
            </w:r>
          </w:p>
        </w:tc>
        <w:tc>
          <w:tcPr>
            <w:tcW w:type="dxa" w:w="5400"/>
          </w:tcPr>
          <w:p>
            <w:pPr>
              <w:spacing w:after="0" w:before="0" w:line="240" w:lineRule="auto"/>
              <w:jc w:val="left"/>
            </w:pPr>
            <w:r>
              <w:t>Cost of the final spare-part order</w:t>
            </w:r>
          </w:p>
        </w:tc>
      </w:tr>
      <w:tr>
        <w:tc>
          <w:tcPr>
            <w:tcW w:type="dxa" w:w="5400"/>
          </w:tcPr>
          <w:p>
            <w:pPr>
              <w:spacing w:after="0" w:before="0" w:line="240" w:lineRule="auto"/>
              <w:jc w:val="left"/>
            </w:pPr>
            <w:r>
              <w:t>Storage cost</w:t>
            </w:r>
          </w:p>
        </w:tc>
        <w:tc>
          <w:tcPr>
            <w:tcW w:type="dxa" w:w="5400"/>
          </w:tcPr>
          <w:p>
            <w:pPr>
              <w:spacing w:after="0" w:before="0" w:line="240" w:lineRule="auto"/>
              <w:jc w:val="left"/>
            </w:pPr>
            <w:r>
              <w:t>Space, handling, packaging, and inventory administration</w:t>
            </w:r>
          </w:p>
        </w:tc>
      </w:tr>
      <w:tr>
        <w:tc>
          <w:tcPr>
            <w:tcW w:type="dxa" w:w="5400"/>
          </w:tcPr>
          <w:p>
            <w:pPr>
              <w:spacing w:after="0" w:before="0" w:line="240" w:lineRule="auto"/>
              <w:jc w:val="left"/>
            </w:pPr>
            <w:r>
              <w:t>Capital cost</w:t>
            </w:r>
          </w:p>
        </w:tc>
        <w:tc>
          <w:tcPr>
            <w:tcW w:type="dxa" w:w="5400"/>
          </w:tcPr>
          <w:p>
            <w:pPr>
              <w:spacing w:after="0" w:before="0" w:line="240" w:lineRule="auto"/>
              <w:jc w:val="left"/>
            </w:pPr>
            <w:r>
              <w:t>Money tied up in stock</w:t>
            </w:r>
          </w:p>
        </w:tc>
      </w:tr>
      <w:tr>
        <w:tc>
          <w:tcPr>
            <w:tcW w:type="dxa" w:w="5400"/>
          </w:tcPr>
          <w:p>
            <w:pPr>
              <w:spacing w:after="0" w:before="0" w:line="240" w:lineRule="auto"/>
              <w:jc w:val="left"/>
            </w:pPr>
            <w:r>
              <w:t>Inspection cost</w:t>
            </w:r>
          </w:p>
        </w:tc>
        <w:tc>
          <w:tcPr>
            <w:tcW w:type="dxa" w:w="5400"/>
          </w:tcPr>
          <w:p>
            <w:pPr>
              <w:spacing w:after="0" w:before="0" w:line="240" w:lineRule="auto"/>
              <w:jc w:val="left"/>
            </w:pPr>
            <w:r>
              <w:t>Incoming inspection and periodic condition checks</w:t>
            </w:r>
          </w:p>
        </w:tc>
      </w:tr>
      <w:tr>
        <w:tc>
          <w:tcPr>
            <w:tcW w:type="dxa" w:w="5400"/>
          </w:tcPr>
          <w:p>
            <w:pPr>
              <w:spacing w:after="0" w:before="0" w:line="240" w:lineRule="auto"/>
              <w:jc w:val="left"/>
            </w:pPr>
            <w:r>
              <w:t>Repair cost</w:t>
            </w:r>
          </w:p>
        </w:tc>
        <w:tc>
          <w:tcPr>
            <w:tcW w:type="dxa" w:w="5400"/>
          </w:tcPr>
          <w:p>
            <w:pPr>
              <w:spacing w:after="0" w:before="0" w:line="240" w:lineRule="auto"/>
              <w:jc w:val="left"/>
            </w:pPr>
            <w:r>
              <w:t>Diagnosis, refurbishment, transport, and testing</w:t>
            </w:r>
          </w:p>
        </w:tc>
      </w:tr>
      <w:tr>
        <w:tc>
          <w:tcPr>
            <w:tcW w:type="dxa" w:w="5400"/>
          </w:tcPr>
          <w:p>
            <w:pPr>
              <w:spacing w:after="0" w:before="0" w:line="240" w:lineRule="auto"/>
              <w:jc w:val="left"/>
            </w:pPr>
            <w:r>
              <w:t>Downtime exposure</w:t>
            </w:r>
          </w:p>
        </w:tc>
        <w:tc>
          <w:tcPr>
            <w:tcW w:type="dxa" w:w="5400"/>
          </w:tcPr>
          <w:p>
            <w:pPr>
              <w:spacing w:after="0" w:before="0" w:line="240" w:lineRule="auto"/>
              <w:jc w:val="left"/>
            </w:pPr>
            <w:r>
              <w:t>Potential production loss if a spare is unavailable</w:t>
            </w:r>
          </w:p>
        </w:tc>
      </w:tr>
      <w:tr>
        <w:tc>
          <w:tcPr>
            <w:tcW w:type="dxa" w:w="5400"/>
          </w:tcPr>
          <w:p>
            <w:pPr>
              <w:spacing w:after="0" w:before="0" w:line="240" w:lineRule="auto"/>
              <w:jc w:val="left"/>
            </w:pPr>
            <w:r>
              <w:t>Migration cost</w:t>
            </w:r>
          </w:p>
        </w:tc>
        <w:tc>
          <w:tcPr>
            <w:tcW w:type="dxa" w:w="5400"/>
          </w:tcPr>
          <w:p>
            <w:pPr>
              <w:spacing w:after="0" w:before="0" w:line="240" w:lineRule="auto"/>
              <w:jc w:val="left"/>
            </w:pPr>
            <w:r>
              <w:t>Engineering, hardware, commissioning, and validation</w:t>
            </w:r>
          </w:p>
        </w:tc>
      </w:tr>
      <w:tr>
        <w:tc>
          <w:tcPr>
            <w:tcW w:type="dxa" w:w="5400"/>
          </w:tcPr>
          <w:p>
            <w:pPr>
              <w:spacing w:after="0" w:before="0" w:line="240" w:lineRule="auto"/>
              <w:jc w:val="left"/>
            </w:pPr>
            <w:r>
              <w:t>Residual inventory cost</w:t>
            </w:r>
          </w:p>
        </w:tc>
        <w:tc>
          <w:tcPr>
            <w:tcW w:type="dxa" w:w="5400"/>
          </w:tcPr>
          <w:p>
            <w:pPr>
              <w:spacing w:after="0" w:before="0" w:line="240" w:lineRule="auto"/>
              <w:jc w:val="left"/>
            </w:pPr>
            <w:r>
              <w:t>Value of unused parts after migration</w:t>
            </w:r>
          </w:p>
        </w:tc>
      </w:tr>
    </w:tbl>
    <w:p/>
    <w:p>
      <w:r>
        <w:t>A useful comparison is:</w:t>
      </w:r>
    </w:p>
    <w:p>
      <w:pPr>
        <w:spacing w:before="120" w:after="160"/>
        <w:jc w:val="center"/>
      </w:pPr>
      <m:oMathPara>
        <m:oMath>
          <m:sSub>
            <m:e>
              <m:r>
                <m:t>C</m:t>
              </m:r>
            </m:e>
            <m:sub>
              <m:r>
                <m:rPr>
                  <m:nor/>
                </m:rPr>
                <m:t>total</m:t>
              </m:r>
            </m:sub>
          </m:sSub>
          <m:r>
            <m:t>=</m:t>
          </m:r>
          <m:sSub>
            <m:e>
              <m:r>
                <m:t>C</m:t>
              </m:r>
            </m:e>
            <m:sub>
              <m:r>
                <m:rPr>
                  <m:nor/>
                </m:rPr>
                <m:t>purchase</m:t>
              </m:r>
            </m:sub>
          </m:sSub>
          <m:r>
            <m:t>+</m:t>
          </m:r>
          <m:sSub>
            <m:e>
              <m:r>
                <m:t>C</m:t>
              </m:r>
            </m:e>
            <m:sub>
              <m:r>
                <m:rPr>
                  <m:nor/>
                </m:rPr>
                <m:t>storage</m:t>
              </m:r>
            </m:sub>
          </m:sSub>
          <m:r>
            <m:t>+</m:t>
          </m:r>
          <m:sSub>
            <m:e>
              <m:r>
                <m:t>C</m:t>
              </m:r>
            </m:e>
            <m:sub>
              <m:r>
                <m:rPr>
                  <m:nor/>
                </m:rPr>
                <m:t>inspection</m:t>
              </m:r>
            </m:sub>
          </m:sSub>
          <m:r>
            <m:t>+</m:t>
          </m:r>
          <m:sSub>
            <m:e>
              <m:r>
                <m:t>C</m:t>
              </m:r>
            </m:e>
            <m:sub>
              <m:r>
                <m:rPr>
                  <m:nor/>
                </m:rPr>
                <m:t>expected failure</m:t>
              </m:r>
            </m:sub>
          </m:sSub>
          <m:r>
            <m:t>+</m:t>
          </m:r>
          <m:sSub>
            <m:e>
              <m:r>
                <m:t>C</m:t>
              </m:r>
            </m:e>
            <m:sub>
              <m:r>
                <m:rPr>
                  <m:nor/>
                </m:rPr>
                <m:t>residual</m:t>
              </m:r>
            </m:sub>
          </m:sSub>
        </m:oMath>
      </m:oMathPara>
    </w:p>
    <w:p>
      <w:r>
        <w:t>The terms must be defined consistently for the options being compared. Expected failure cost should reflect the relevant probability and consequence of failure, while residual cost should account for the possibility that unused parts have little resale or reuse value.</w:t>
      </w:r>
    </w:p>
    <w:p>
      <w:r>
        <w:t>A more expensive LTB order may be justified if it substantially reduces expected production losses during a necessary transition period. Conversely, buying stock for a machine scheduled for retirement soon may waste capital.</w:t>
      </w:r>
    </w:p>
    <w:p>
      <w:pPr>
        <w:pStyle w:val="Heading2"/>
      </w:pPr>
      <w:r>
        <w:t>14. LTB Approval and Governance</w:t>
      </w:r>
    </w:p>
    <w:p>
      <w:r>
        <w:t>A controlled LTB request should document:</w:t>
      </w:r>
    </w:p>
    <w:p>
      <w:pPr>
        <w:pStyle w:val="ListBullet"/>
      </w:pPr>
      <w:r>
        <w:t>Business justification and official notice.</w:t>
      </w:r>
    </w:p>
    <w:p>
      <w:pPr>
        <w:pStyle w:val="ListBullet"/>
      </w:pPr>
      <w:r>
        <w:t>Affected machines and installed quantity.</w:t>
      </w:r>
    </w:p>
    <w:p>
      <w:pPr>
        <w:pStyle w:val="ListBullet"/>
      </w:pPr>
      <w:r>
        <w:t>Current usable stock and repair capability.</w:t>
      </w:r>
    </w:p>
    <w:p>
      <w:pPr>
        <w:pStyle w:val="ListBullet"/>
      </w:pPr>
      <w:r>
        <w:t>Required coverage period.</w:t>
      </w:r>
    </w:p>
    <w:p>
      <w:pPr>
        <w:pStyle w:val="ListBullet"/>
      </w:pPr>
      <w:r>
        <w:t>Quantity calculation and assumptions.</w:t>
      </w:r>
    </w:p>
    <w:p>
      <w:pPr>
        <w:pStyle w:val="ListBullet"/>
      </w:pPr>
      <w:r>
        <w:t>Technical compatibility assessment.</w:t>
      </w:r>
    </w:p>
    <w:p>
      <w:pPr>
        <w:pStyle w:val="ListBullet"/>
      </w:pPr>
      <w:r>
        <w:t>Alternatives considered.</w:t>
      </w:r>
    </w:p>
    <w:p>
      <w:pPr>
        <w:pStyle w:val="ListBullet"/>
      </w:pPr>
      <w:r>
        <w:t>Financial comparison and budget approval.</w:t>
      </w:r>
    </w:p>
    <w:p>
      <w:pPr>
        <w:pStyle w:val="ListBullet"/>
      </w:pPr>
      <w:r>
        <w:t>Supplier authenticity and delivery confirmation.</w:t>
      </w:r>
    </w:p>
    <w:p>
      <w:pPr>
        <w:pStyle w:val="ListBullet"/>
      </w:pPr>
      <w:r>
        <w:t>Storage and inventory ownership.</w:t>
      </w:r>
    </w:p>
    <w:p>
      <w:pPr>
        <w:pStyle w:val="ListBullet"/>
      </w:pPr>
      <w:r>
        <w:t>Migration plan and target date.</w:t>
      </w:r>
    </w:p>
    <w:p>
      <w:pPr>
        <w:pStyle w:val="ListBullet"/>
      </w:pPr>
      <w:r>
        <w:t>Review date and closure criteria.</w:t>
      </w:r>
    </w:p>
    <w:p>
      <w:r>
        <w:t>Suggested responsibilities: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Function</w:t>
            </w:r>
          </w:p>
        </w:tc>
        <w:tc>
          <w:tcPr>
            <w:tcW w:type="dxa" w:w="5400"/>
            <w:shd w:val="clear" w:color="auto" w:fill="EEF2F7"/>
          </w:tcPr>
          <w:p>
            <w:pPr>
              <w:spacing w:after="0" w:before="0" w:line="240" w:lineRule="auto"/>
              <w:jc w:val="left"/>
            </w:pPr>
            <w:r>
              <w:rPr>
                <w:b/>
                <w:color w:val="1A2E4A"/>
              </w:rPr>
              <w:t>Responsibility</w:t>
            </w:r>
          </w:p>
        </w:tc>
      </w:tr>
      <w:tr>
        <w:tc>
          <w:tcPr>
            <w:tcW w:type="dxa" w:w="5400"/>
          </w:tcPr>
          <w:p>
            <w:pPr>
              <w:spacing w:after="0" w:before="0" w:line="240" w:lineRule="auto"/>
              <w:jc w:val="left"/>
            </w:pPr>
            <w:r>
              <w:t>Maintenance</w:t>
            </w:r>
          </w:p>
        </w:tc>
        <w:tc>
          <w:tcPr>
            <w:tcW w:type="dxa" w:w="5400"/>
          </w:tcPr>
          <w:p>
            <w:pPr>
              <w:spacing w:after="0" w:before="0" w:line="240" w:lineRule="auto"/>
              <w:jc w:val="left"/>
            </w:pPr>
            <w:r>
              <w:t>Identify failures, installed assets, and recovery needs</w:t>
            </w:r>
          </w:p>
        </w:tc>
      </w:tr>
      <w:tr>
        <w:tc>
          <w:tcPr>
            <w:tcW w:type="dxa" w:w="5400"/>
          </w:tcPr>
          <w:p>
            <w:pPr>
              <w:spacing w:after="0" w:before="0" w:line="240" w:lineRule="auto"/>
              <w:jc w:val="left"/>
            </w:pPr>
            <w:r>
              <w:t>Engineering</w:t>
            </w:r>
          </w:p>
        </w:tc>
        <w:tc>
          <w:tcPr>
            <w:tcW w:type="dxa" w:w="5400"/>
          </w:tcPr>
          <w:p>
            <w:pPr>
              <w:spacing w:after="0" w:before="0" w:line="240" w:lineRule="auto"/>
              <w:jc w:val="left"/>
            </w:pPr>
            <w:r>
              <w:t>Validate compatibility and technical alternatives</w:t>
            </w:r>
          </w:p>
        </w:tc>
      </w:tr>
      <w:tr>
        <w:tc>
          <w:tcPr>
            <w:tcW w:type="dxa" w:w="5400"/>
          </w:tcPr>
          <w:p>
            <w:pPr>
              <w:spacing w:after="0" w:before="0" w:line="240" w:lineRule="auto"/>
              <w:jc w:val="left"/>
            </w:pPr>
            <w:r>
              <w:t>Procurement</w:t>
            </w:r>
          </w:p>
        </w:tc>
        <w:tc>
          <w:tcPr>
            <w:tcW w:type="dxa" w:w="5400"/>
          </w:tcPr>
          <w:p>
            <w:pPr>
              <w:spacing w:after="0" w:before="0" w:line="240" w:lineRule="auto"/>
              <w:jc w:val="left"/>
            </w:pPr>
            <w:r>
              <w:t>Verify supply conditions, price, and delivery</w:t>
            </w:r>
          </w:p>
        </w:tc>
      </w:tr>
      <w:tr>
        <w:tc>
          <w:tcPr>
            <w:tcW w:type="dxa" w:w="5400"/>
          </w:tcPr>
          <w:p>
            <w:pPr>
              <w:spacing w:after="0" w:before="0" w:line="240" w:lineRule="auto"/>
              <w:jc w:val="left"/>
            </w:pPr>
            <w:r>
              <w:t>Stores</w:t>
            </w:r>
          </w:p>
        </w:tc>
        <w:tc>
          <w:tcPr>
            <w:tcW w:type="dxa" w:w="5400"/>
          </w:tcPr>
          <w:p>
            <w:pPr>
              <w:spacing w:after="0" w:before="0" w:line="240" w:lineRule="auto"/>
              <w:jc w:val="left"/>
            </w:pPr>
            <w:r>
              <w:t>Inspect, identify, preserve, and issue stock</w:t>
            </w:r>
          </w:p>
        </w:tc>
      </w:tr>
      <w:tr>
        <w:tc>
          <w:tcPr>
            <w:tcW w:type="dxa" w:w="5400"/>
          </w:tcPr>
          <w:p>
            <w:pPr>
              <w:spacing w:after="0" w:before="0" w:line="240" w:lineRule="auto"/>
              <w:jc w:val="left"/>
            </w:pPr>
            <w:r>
              <w:t>Production</w:t>
            </w:r>
          </w:p>
        </w:tc>
        <w:tc>
          <w:tcPr>
            <w:tcW w:type="dxa" w:w="5400"/>
          </w:tcPr>
          <w:p>
            <w:pPr>
              <w:spacing w:after="0" w:before="0" w:line="240" w:lineRule="auto"/>
              <w:jc w:val="left"/>
            </w:pPr>
            <w:r>
              <w:t>Confirm downtime consequences and shutdown windows</w:t>
            </w:r>
          </w:p>
        </w:tc>
      </w:tr>
      <w:tr>
        <w:tc>
          <w:tcPr>
            <w:tcW w:type="dxa" w:w="5400"/>
          </w:tcPr>
          <w:p>
            <w:pPr>
              <w:spacing w:after="0" w:before="0" w:line="240" w:lineRule="auto"/>
              <w:jc w:val="left"/>
            </w:pPr>
            <w:r>
              <w:t>Finance</w:t>
            </w:r>
          </w:p>
        </w:tc>
        <w:tc>
          <w:tcPr>
            <w:tcW w:type="dxa" w:w="5400"/>
          </w:tcPr>
          <w:p>
            <w:pPr>
              <w:spacing w:after="0" w:before="0" w:line="240" w:lineRule="auto"/>
              <w:jc w:val="left"/>
            </w:pPr>
            <w:r>
              <w:t>Evaluate capital commitment and lifecycle cost</w:t>
            </w:r>
          </w:p>
        </w:tc>
      </w:tr>
      <w:tr>
        <w:tc>
          <w:tcPr>
            <w:tcW w:type="dxa" w:w="5400"/>
          </w:tcPr>
          <w:p>
            <w:pPr>
              <w:spacing w:after="0" w:before="0" w:line="240" w:lineRule="auto"/>
              <w:jc w:val="left"/>
            </w:pPr>
            <w:r>
              <w:t>Management</w:t>
            </w:r>
          </w:p>
        </w:tc>
        <w:tc>
          <w:tcPr>
            <w:tcW w:type="dxa" w:w="5400"/>
          </w:tcPr>
          <w:p>
            <w:pPr>
              <w:spacing w:after="0" w:before="0" w:line="240" w:lineRule="auto"/>
              <w:jc w:val="left"/>
            </w:pPr>
            <w:r>
              <w:t>Approve risk acceptance, budget, and migration priorities</w:t>
            </w:r>
          </w:p>
        </w:tc>
      </w:tr>
    </w:tbl>
    <w:p/>
    <w:p>
      <w:pPr>
        <w:pStyle w:val="Heading2"/>
      </w:pPr>
      <w:r>
        <w:t>15. LTB Register and Tracking</w:t>
      </w:r>
    </w:p>
    <w:p>
      <w:r>
        <w:t>Maintain a dedicated register linked to the EOL register and installed-base mapping.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Part number</w:t>
            </w:r>
          </w:p>
        </w:tc>
        <w:tc>
          <w:tcPr>
            <w:tcW w:type="dxa" w:w="5400"/>
          </w:tcPr>
          <w:p>
            <w:pPr>
              <w:spacing w:after="0" w:before="0" w:line="240" w:lineRule="auto"/>
              <w:jc w:val="left"/>
            </w:pPr>
            <w:r>
              <w:t>Identifies the exact item</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Confirms product ownership</w:t>
            </w:r>
          </w:p>
        </w:tc>
      </w:tr>
      <w:tr>
        <w:tc>
          <w:tcPr>
            <w:tcW w:type="dxa" w:w="5400"/>
          </w:tcPr>
          <w:p>
            <w:pPr>
              <w:spacing w:after="0" w:before="0" w:line="240" w:lineRule="auto"/>
              <w:jc w:val="left"/>
            </w:pPr>
            <w:r>
              <w:t>LTB notice reference</w:t>
            </w:r>
          </w:p>
        </w:tc>
        <w:tc>
          <w:tcPr>
            <w:tcW w:type="dxa" w:w="5400"/>
          </w:tcPr>
          <w:p>
            <w:pPr>
              <w:spacing w:after="0" w:before="0" w:line="240" w:lineRule="auto"/>
              <w:jc w:val="left"/>
            </w:pPr>
            <w:r>
              <w:t>Links the official announcement</w:t>
            </w:r>
          </w:p>
        </w:tc>
      </w:tr>
      <w:tr>
        <w:tc>
          <w:tcPr>
            <w:tcW w:type="dxa" w:w="5400"/>
          </w:tcPr>
          <w:p>
            <w:pPr>
              <w:spacing w:after="0" w:before="0" w:line="240" w:lineRule="auto"/>
              <w:jc w:val="left"/>
            </w:pPr>
            <w:r>
              <w:t>Final order date</w:t>
            </w:r>
          </w:p>
        </w:tc>
        <w:tc>
          <w:tcPr>
            <w:tcW w:type="dxa" w:w="5400"/>
          </w:tcPr>
          <w:p>
            <w:pPr>
              <w:spacing w:after="0" w:before="0" w:line="240" w:lineRule="auto"/>
              <w:jc w:val="left"/>
            </w:pPr>
            <w:r>
              <w:t>Controls procurement deadline</w:t>
            </w:r>
          </w:p>
        </w:tc>
      </w:tr>
      <w:tr>
        <w:tc>
          <w:tcPr>
            <w:tcW w:type="dxa" w:w="5400"/>
          </w:tcPr>
          <w:p>
            <w:pPr>
              <w:spacing w:after="0" w:before="0" w:line="240" w:lineRule="auto"/>
              <w:jc w:val="left"/>
            </w:pPr>
            <w:r>
              <w:t>Final shipment date</w:t>
            </w:r>
          </w:p>
        </w:tc>
        <w:tc>
          <w:tcPr>
            <w:tcW w:type="dxa" w:w="5400"/>
          </w:tcPr>
          <w:p>
            <w:pPr>
              <w:spacing w:after="0" w:before="0" w:line="240" w:lineRule="auto"/>
              <w:jc w:val="left"/>
            </w:pPr>
            <w:r>
              <w:t>Supports delivery planning</w:t>
            </w:r>
          </w:p>
        </w:tc>
      </w:tr>
      <w:tr>
        <w:tc>
          <w:tcPr>
            <w:tcW w:type="dxa" w:w="5400"/>
          </w:tcPr>
          <w:p>
            <w:pPr>
              <w:spacing w:after="0" w:before="0" w:line="240" w:lineRule="auto"/>
              <w:jc w:val="left"/>
            </w:pPr>
            <w:r>
              <w:t>Installed quantity</w:t>
            </w:r>
          </w:p>
        </w:tc>
        <w:tc>
          <w:tcPr>
            <w:tcW w:type="dxa" w:w="5400"/>
          </w:tcPr>
          <w:p>
            <w:pPr>
              <w:spacing w:after="0" w:before="0" w:line="240" w:lineRule="auto"/>
              <w:jc w:val="left"/>
            </w:pPr>
            <w:r>
              <w:t>Identifies potential demand exposure</w:t>
            </w:r>
          </w:p>
        </w:tc>
      </w:tr>
      <w:tr>
        <w:tc>
          <w:tcPr>
            <w:tcW w:type="dxa" w:w="5400"/>
          </w:tcPr>
          <w:p>
            <w:pPr>
              <w:spacing w:after="0" w:before="0" w:line="240" w:lineRule="auto"/>
              <w:jc w:val="left"/>
            </w:pPr>
            <w:r>
              <w:t>Current usable stock</w:t>
            </w:r>
          </w:p>
        </w:tc>
        <w:tc>
          <w:tcPr>
            <w:tcW w:type="dxa" w:w="5400"/>
          </w:tcPr>
          <w:p>
            <w:pPr>
              <w:spacing w:after="0" w:before="0" w:line="240" w:lineRule="auto"/>
              <w:jc w:val="left"/>
            </w:pPr>
            <w:r>
              <w:t>Records available coverage</w:t>
            </w:r>
          </w:p>
        </w:tc>
      </w:tr>
      <w:tr>
        <w:tc>
          <w:tcPr>
            <w:tcW w:type="dxa" w:w="5400"/>
          </w:tcPr>
          <w:p>
            <w:pPr>
              <w:spacing w:after="0" w:before="0" w:line="240" w:lineRule="auto"/>
              <w:jc w:val="left"/>
            </w:pPr>
            <w:r>
              <w:t>Annual demand estimate</w:t>
            </w:r>
          </w:p>
        </w:tc>
        <w:tc>
          <w:tcPr>
            <w:tcW w:type="dxa" w:w="5400"/>
          </w:tcPr>
          <w:p>
            <w:pPr>
              <w:spacing w:after="0" w:before="0" w:line="240" w:lineRule="auto"/>
              <w:jc w:val="left"/>
            </w:pPr>
            <w:r>
              <w:t>Supports quantity calculation</w:t>
            </w:r>
          </w:p>
        </w:tc>
      </w:tr>
      <w:tr>
        <w:tc>
          <w:tcPr>
            <w:tcW w:type="dxa" w:w="5400"/>
          </w:tcPr>
          <w:p>
            <w:pPr>
              <w:spacing w:after="0" w:before="0" w:line="240" w:lineRule="auto"/>
              <w:jc w:val="left"/>
            </w:pPr>
            <w:r>
              <w:t>Required coverage period</w:t>
            </w:r>
          </w:p>
        </w:tc>
        <w:tc>
          <w:tcPr>
            <w:tcW w:type="dxa" w:w="5400"/>
          </w:tcPr>
          <w:p>
            <w:pPr>
              <w:spacing w:after="0" w:before="0" w:line="240" w:lineRule="auto"/>
              <w:jc w:val="left"/>
            </w:pPr>
            <w:r>
              <w:t>Defines the planning horizon</w:t>
            </w:r>
          </w:p>
        </w:tc>
      </w:tr>
      <w:tr>
        <w:tc>
          <w:tcPr>
            <w:tcW w:type="dxa" w:w="5400"/>
          </w:tcPr>
          <w:p>
            <w:pPr>
              <w:spacing w:after="0" w:before="0" w:line="240" w:lineRule="auto"/>
              <w:jc w:val="left"/>
            </w:pPr>
            <w:r>
              <w:t>Approved LTB quantity</w:t>
            </w:r>
          </w:p>
        </w:tc>
        <w:tc>
          <w:tcPr>
            <w:tcW w:type="dxa" w:w="5400"/>
          </w:tcPr>
          <w:p>
            <w:pPr>
              <w:spacing w:after="0" w:before="0" w:line="240" w:lineRule="auto"/>
              <w:jc w:val="left"/>
            </w:pPr>
            <w:r>
              <w:t>Records the authorized order</w:t>
            </w:r>
          </w:p>
        </w:tc>
      </w:tr>
      <w:tr>
        <w:tc>
          <w:tcPr>
            <w:tcW w:type="dxa" w:w="5400"/>
          </w:tcPr>
          <w:p>
            <w:pPr>
              <w:spacing w:after="0" w:before="0" w:line="240" w:lineRule="auto"/>
              <w:jc w:val="left"/>
            </w:pPr>
            <w:r>
              <w:t>Ordered quantity</w:t>
            </w:r>
          </w:p>
        </w:tc>
        <w:tc>
          <w:tcPr>
            <w:tcW w:type="dxa" w:w="5400"/>
          </w:tcPr>
          <w:p>
            <w:pPr>
              <w:spacing w:after="0" w:before="0" w:line="240" w:lineRule="auto"/>
              <w:jc w:val="left"/>
            </w:pPr>
            <w:r>
              <w:t>Records the procurement commitment</w:t>
            </w:r>
          </w:p>
        </w:tc>
      </w:tr>
      <w:tr>
        <w:tc>
          <w:tcPr>
            <w:tcW w:type="dxa" w:w="5400"/>
          </w:tcPr>
          <w:p>
            <w:pPr>
              <w:spacing w:after="0" w:before="0" w:line="240" w:lineRule="auto"/>
              <w:jc w:val="left"/>
            </w:pPr>
            <w:r>
              <w:t>Received quantity</w:t>
            </w:r>
          </w:p>
        </w:tc>
        <w:tc>
          <w:tcPr>
            <w:tcW w:type="dxa" w:w="5400"/>
          </w:tcPr>
          <w:p>
            <w:pPr>
              <w:spacing w:after="0" w:before="0" w:line="240" w:lineRule="auto"/>
              <w:jc w:val="left"/>
            </w:pPr>
            <w:r>
              <w:t>Confirms actual delivery</w:t>
            </w:r>
          </w:p>
        </w:tc>
      </w:tr>
      <w:tr>
        <w:tc>
          <w:tcPr>
            <w:tcW w:type="dxa" w:w="5400"/>
          </w:tcPr>
          <w:p>
            <w:pPr>
              <w:spacing w:after="0" w:before="0" w:line="240" w:lineRule="auto"/>
              <w:jc w:val="left"/>
            </w:pPr>
            <w:r>
              <w:t>Inspection status</w:t>
            </w:r>
          </w:p>
        </w:tc>
        <w:tc>
          <w:tcPr>
            <w:tcW w:type="dxa" w:w="5400"/>
          </w:tcPr>
          <w:p>
            <w:pPr>
              <w:spacing w:after="0" w:before="0" w:line="240" w:lineRule="auto"/>
              <w:jc w:val="left"/>
            </w:pPr>
            <w:r>
              <w:t>Indicates whether stock is accepted</w:t>
            </w:r>
          </w:p>
        </w:tc>
      </w:tr>
      <w:tr>
        <w:tc>
          <w:tcPr>
            <w:tcW w:type="dxa" w:w="5400"/>
          </w:tcPr>
          <w:p>
            <w:pPr>
              <w:spacing w:after="0" w:before="0" w:line="240" w:lineRule="auto"/>
              <w:jc w:val="left"/>
            </w:pPr>
            <w:r>
              <w:t>Storage location</w:t>
            </w:r>
          </w:p>
        </w:tc>
        <w:tc>
          <w:tcPr>
            <w:tcW w:type="dxa" w:w="5400"/>
          </w:tcPr>
          <w:p>
            <w:pPr>
              <w:spacing w:after="0" w:before="0" w:line="240" w:lineRule="auto"/>
              <w:jc w:val="left"/>
            </w:pPr>
            <w:r>
              <w:t>Enables retrieval</w:t>
            </w:r>
          </w:p>
        </w:tc>
      </w:tr>
      <w:tr>
        <w:tc>
          <w:tcPr>
            <w:tcW w:type="dxa" w:w="5400"/>
          </w:tcPr>
          <w:p>
            <w:pPr>
              <w:spacing w:after="0" w:before="0" w:line="240" w:lineRule="auto"/>
              <w:jc w:val="left"/>
            </w:pPr>
            <w:r>
              <w:t>Repair availability</w:t>
            </w:r>
          </w:p>
        </w:tc>
        <w:tc>
          <w:tcPr>
            <w:tcW w:type="dxa" w:w="5400"/>
          </w:tcPr>
          <w:p>
            <w:pPr>
              <w:spacing w:after="0" w:before="0" w:line="240" w:lineRule="auto"/>
              <w:jc w:val="left"/>
            </w:pPr>
            <w:r>
              <w:t>Records alternative recovery capability</w:t>
            </w:r>
          </w:p>
        </w:tc>
      </w:tr>
      <w:tr>
        <w:tc>
          <w:tcPr>
            <w:tcW w:type="dxa" w:w="5400"/>
          </w:tcPr>
          <w:p>
            <w:pPr>
              <w:spacing w:after="0" w:before="0" w:line="240" w:lineRule="auto"/>
              <w:jc w:val="left"/>
            </w:pPr>
            <w:r>
              <w:t>Migration target date</w:t>
            </w:r>
          </w:p>
        </w:tc>
        <w:tc>
          <w:tcPr>
            <w:tcW w:type="dxa" w:w="5400"/>
          </w:tcPr>
          <w:p>
            <w:pPr>
              <w:spacing w:after="0" w:before="0" w:line="240" w:lineRule="auto"/>
              <w:jc w:val="left"/>
            </w:pPr>
            <w:r>
              <w:t>Defines the expected end of dependence</w:t>
            </w:r>
          </w:p>
        </w:tc>
      </w:tr>
      <w:tr>
        <w:tc>
          <w:tcPr>
            <w:tcW w:type="dxa" w:w="5400"/>
          </w:tcPr>
          <w:p>
            <w:pPr>
              <w:spacing w:after="0" w:before="0" w:line="240" w:lineRule="auto"/>
              <w:jc w:val="left"/>
            </w:pPr>
            <w:r>
              <w:t>Action owner</w:t>
            </w:r>
          </w:p>
        </w:tc>
        <w:tc>
          <w:tcPr>
            <w:tcW w:type="dxa" w:w="5400"/>
          </w:tcPr>
          <w:p>
            <w:pPr>
              <w:spacing w:after="0" w:before="0" w:line="240" w:lineRule="auto"/>
              <w:jc w:val="left"/>
            </w:pPr>
            <w:r>
              <w:t>Assigns accountability</w:t>
            </w:r>
          </w:p>
        </w:tc>
      </w:tr>
      <w:tr>
        <w:tc>
          <w:tcPr>
            <w:tcW w:type="dxa" w:w="5400"/>
          </w:tcPr>
          <w:p>
            <w:pPr>
              <w:spacing w:after="0" w:before="0" w:line="240" w:lineRule="auto"/>
              <w:jc w:val="left"/>
            </w:pPr>
            <w:r>
              <w:t>Review date</w:t>
            </w:r>
          </w:p>
        </w:tc>
        <w:tc>
          <w:tcPr>
            <w:tcW w:type="dxa" w:w="5400"/>
          </w:tcPr>
          <w:p>
            <w:pPr>
              <w:spacing w:after="0" w:before="0" w:line="240" w:lineRule="auto"/>
              <w:jc w:val="left"/>
            </w:pPr>
            <w:r>
              <w:t>Prevents the plan from becoming stale</w:t>
            </w:r>
          </w:p>
        </w:tc>
      </w:tr>
    </w:tbl>
    <w:p/>
    <w:p>
      <w:r>
        <w:t>Useful dashboard indicators include the number of critical EOL parts without approved mitigation, LTB orders approaching deadlines, stock coverage remaining, delayed deliveries, and inventory likely to become unused after migration.</w:t>
      </w:r>
    </w:p>
    <w:p>
      <w:pPr>
        <w:pStyle w:val="Heading2"/>
      </w:pPr>
      <w:r>
        <w:t>16. Practical Case Study: Discontinued HMI Panel</w:t>
      </w:r>
    </w:p>
    <w:p>
      <w:pPr>
        <w:pStyle w:val="Heading3"/>
      </w:pPr>
      <w:r>
        <w:t>Situation</w:t>
      </w:r>
    </w:p>
    <w:p>
      <w:r>
        <w:t>A production test bench uses a discontinued HMI. The panel remains operational, but the manufacturer has announced a final order deadline. The PLC and test software are still supported.</w:t>
      </w:r>
    </w:p>
    <w:p>
      <w:pPr>
        <w:pStyle w:val="Heading3"/>
      </w:pPr>
      <w:r>
        <w:t>Assessment</w:t>
      </w:r>
    </w:p>
    <w:p>
      <w:pPr>
        <w:tabs>
          <w:tab w:pos="403" w:val="left"/>
        </w:tabs>
        <w:spacing w:after="40" w:line="276" w:lineRule="auto"/>
        <w:ind w:left="403" w:hanging="403"/>
        <w:jc w:val="left"/>
      </w:pPr>
      <w:r>
        <w:rPr>
          <w:color w:val="1A2E4A"/>
        </w:rPr>
        <w:t>1.</w:t>
        <w:tab/>
      </w:r>
      <w:r>
        <w:t>Confirm the exact HMI model and the official deadline.</w:t>
      </w:r>
    </w:p>
    <w:p>
      <w:pPr>
        <w:tabs>
          <w:tab w:pos="403" w:val="left"/>
        </w:tabs>
        <w:spacing w:after="40" w:line="276" w:lineRule="auto"/>
        <w:ind w:left="403" w:hanging="403"/>
        <w:jc w:val="left"/>
      </w:pPr>
      <w:r>
        <w:rPr>
          <w:color w:val="1A2E4A"/>
        </w:rPr>
        <w:t>2.</w:t>
        <w:tab/>
      </w:r>
      <w:r>
        <w:t>Identify all machines using the same panel.</w:t>
      </w:r>
    </w:p>
    <w:p>
      <w:pPr>
        <w:tabs>
          <w:tab w:pos="403" w:val="left"/>
        </w:tabs>
        <w:spacing w:after="40" w:line="276" w:lineRule="auto"/>
        <w:ind w:left="403" w:hanging="403"/>
        <w:jc w:val="left"/>
      </w:pPr>
      <w:r>
        <w:rPr>
          <w:color w:val="1A2E4A"/>
        </w:rPr>
        <w:t>3.</w:t>
        <w:tab/>
      </w:r>
      <w:r>
        <w:t>Check existing stock, repair options, and the panel's condition.</w:t>
      </w:r>
    </w:p>
    <w:p>
      <w:pPr>
        <w:tabs>
          <w:tab w:pos="403" w:val="left"/>
        </w:tabs>
        <w:spacing w:after="40" w:line="276" w:lineRule="auto"/>
        <w:ind w:left="403" w:hanging="403"/>
        <w:jc w:val="left"/>
      </w:pPr>
      <w:r>
        <w:rPr>
          <w:color w:val="1A2E4A"/>
        </w:rPr>
        <w:t>4.</w:t>
        <w:tab/>
      </w:r>
      <w:r>
        <w:t>Preserve the HMI project, communication settings, and license information.</w:t>
      </w:r>
    </w:p>
    <w:p>
      <w:pPr>
        <w:tabs>
          <w:tab w:pos="403" w:val="left"/>
        </w:tabs>
        <w:spacing w:after="40" w:line="276" w:lineRule="auto"/>
        <w:ind w:left="403" w:hanging="403"/>
        <w:jc w:val="left"/>
      </w:pPr>
      <w:r>
        <w:rPr>
          <w:color w:val="1A2E4A"/>
        </w:rPr>
        <w:t>5.</w:t>
        <w:tab/>
      </w:r>
      <w:r>
        <w:t>Evaluate the proposed successor against screen layout, communication drivers, alarms, recipes, and operator functions.</w:t>
      </w:r>
    </w:p>
    <w:p>
      <w:pPr>
        <w:tabs>
          <w:tab w:pos="403" w:val="left"/>
        </w:tabs>
        <w:spacing w:after="40" w:line="276" w:lineRule="auto"/>
        <w:ind w:left="403" w:hanging="403"/>
        <w:jc w:val="left"/>
      </w:pPr>
      <w:r>
        <w:rPr>
          <w:color w:val="1A2E4A"/>
        </w:rPr>
        <w:t>6.</w:t>
        <w:tab/>
      </w:r>
      <w:r>
        <w:t>Estimate spare coverage until the planned migration.</w:t>
      </w:r>
    </w:p>
    <w:p>
      <w:pPr>
        <w:tabs>
          <w:tab w:pos="403" w:val="left"/>
        </w:tabs>
        <w:spacing w:after="40" w:line="276" w:lineRule="auto"/>
        <w:ind w:left="403" w:hanging="403"/>
        <w:jc w:val="left"/>
      </w:pPr>
      <w:r>
        <w:rPr>
          <w:color w:val="1A2E4A"/>
        </w:rPr>
        <w:t>7.</w:t>
        <w:tab/>
      </w:r>
      <w:r>
        <w:t>Compare an LTB purchase against a controlled retrofit.</w:t>
      </w:r>
    </w:p>
    <w:p>
      <w:pPr>
        <w:tabs>
          <w:tab w:pos="403" w:val="left"/>
        </w:tabs>
        <w:spacing w:after="40" w:line="276" w:lineRule="auto"/>
        <w:ind w:left="403" w:hanging="403"/>
        <w:jc w:val="left"/>
      </w:pPr>
      <w:r>
        <w:rPr>
          <w:color w:val="1A2E4A"/>
        </w:rPr>
        <w:t>8.</w:t>
        <w:tab/>
      </w:r>
      <w:r>
        <w:t>Approve the selected quantity and record the migration owner and deadline.</w:t>
      </w:r>
    </w:p>
    <w:p>
      <w:pPr>
        <w:pStyle w:val="Heading3"/>
      </w:pPr>
      <w:r>
        <w:t>Expected outcome</w:t>
      </w:r>
    </w:p>
    <w:p>
      <w:r>
        <w:t>The organization has enough justified coverage for the transition period, a verified replacement path, and a defined point at which the old panel will no longer be needed.</w:t>
      </w:r>
    </w:p>
    <w:p>
      <w:pPr>
        <w:pStyle w:val="Heading2"/>
      </w:pPr>
      <w:r>
        <w:t>17. Common Mistakes</w:t>
      </w:r>
    </w:p>
    <w:p>
      <w:pPr>
        <w:pStyle w:val="ListBullet"/>
      </w:pPr>
      <w:r>
        <w:t>Ordering without verifying the official LTB notice.</w:t>
      </w:r>
    </w:p>
    <w:p>
      <w:pPr>
        <w:pStyle w:val="ListBullet"/>
      </w:pPr>
      <w:r>
        <w:t>Confusing final order date with final delivery date.</w:t>
      </w:r>
    </w:p>
    <w:p>
      <w:pPr>
        <w:pStyle w:val="ListBullet"/>
      </w:pPr>
      <w:r>
        <w:t>Calculating quantity from installed equipment count alone.</w:t>
      </w:r>
    </w:p>
    <w:p>
      <w:pPr>
        <w:pStyle w:val="ListBullet"/>
      </w:pPr>
      <w:r>
        <w:t>Ignoring existing usable stock.</w:t>
      </w:r>
    </w:p>
    <w:p>
      <w:pPr>
        <w:pStyle w:val="ListBullet"/>
      </w:pPr>
      <w:r>
        <w:t>Treating average failure demand as a guaranteed requirement.</w:t>
      </w:r>
    </w:p>
    <w:p>
      <w:pPr>
        <w:pStyle w:val="ListBullet"/>
      </w:pPr>
      <w:r>
        <w:t>Ignoring repair returns and repair turnaround time.</w:t>
      </w:r>
    </w:p>
    <w:p>
      <w:pPr>
        <w:pStyle w:val="ListBullet"/>
      </w:pPr>
      <w:r>
        <w:t>Buying parts without checking revisions and compatibility.</w:t>
      </w:r>
    </w:p>
    <w:p>
      <w:pPr>
        <w:pStyle w:val="ListBullet"/>
      </w:pPr>
      <w:r>
        <w:t>Purchasing from unverified suppliers because the product is scarce.</w:t>
      </w:r>
    </w:p>
    <w:p>
      <w:pPr>
        <w:pStyle w:val="ListBullet"/>
      </w:pPr>
      <w:r>
        <w:t>Failing to consider storage life and warranty restrictions.</w:t>
      </w:r>
    </w:p>
    <w:p>
      <w:pPr>
        <w:pStyle w:val="ListBullet"/>
      </w:pPr>
      <w:r>
        <w:t>Ignoring the cost of unused inventory after migration.</w:t>
      </w:r>
    </w:p>
    <w:p>
      <w:pPr>
        <w:pStyle w:val="ListBullet"/>
      </w:pPr>
      <w:r>
        <w:t>Treating LTB as a substitute for a migration plan.</w:t>
      </w:r>
    </w:p>
    <w:p>
      <w:pPr>
        <w:pStyle w:val="ListBullet"/>
      </w:pPr>
      <w:r>
        <w:t>Failing to update SAP material records, stock status, or installed-base records.</w:t>
      </w:r>
    </w:p>
    <w:p>
      <w:pPr>
        <w:pStyle w:val="Heading2"/>
      </w:pPr>
      <w:r>
        <w:t>18. Interview Questions and Answers</w:t>
      </w:r>
    </w:p>
    <w:p>
      <w:pPr>
        <w:pStyle w:val="Heading3"/>
      </w:pPr>
      <w:r>
        <w:t>Q1. What is a last-time buy?</w:t>
      </w:r>
    </w:p>
    <w:p>
      <w:r>
        <w:t>A planned final purchase before normal ordering for a discontinued product closes, intended to support equipment during its remaining service period.</w:t>
      </w:r>
    </w:p>
    <w:p>
      <w:pPr>
        <w:pStyle w:val="Heading3"/>
      </w:pPr>
      <w:r>
        <w:t>Q2. How do you calculate the LTB quantity?</w:t>
      </w:r>
    </w:p>
    <w:p>
      <w:r>
        <w:t>Estimate demand over the required coverage period, subtract usable stock, and then adjust for failure uncertainty, repair options, lead time, storage limitations, and migration plans.</w:t>
      </w:r>
    </w:p>
    <w:p>
      <w:pPr>
        <w:pStyle w:val="Heading3"/>
      </w:pPr>
      <w:r>
        <w:t>Q3. Why is installed quantity not the same as spare quantity?</w:t>
      </w:r>
    </w:p>
    <w:p>
      <w:r>
        <w:t>Not every installed component will fail during the coverage period. Spare requirements depend on failure probability, common-cause risks, repair availability, and recovery targets.</w:t>
      </w:r>
    </w:p>
    <w:p>
      <w:pPr>
        <w:pStyle w:val="Heading3"/>
      </w:pPr>
      <w:r>
        <w:t>Q4. When is an LTB purchase justified?</w:t>
      </w:r>
    </w:p>
    <w:p>
      <w:r>
        <w:t>When the component is important to operations, future supply is uncertain or ending, and the cost and risk of holding stock are justified compared with repair, retrofit, or migration.</w:t>
      </w:r>
    </w:p>
    <w:p>
      <w:pPr>
        <w:pStyle w:val="Heading3"/>
      </w:pPr>
      <w:r>
        <w:t>Q5. What are the major risks of an LTB?</w:t>
      </w:r>
    </w:p>
    <w:p>
      <w:r>
        <w:t>Overstocking, counterfeit parts, incorrect revisions, storage degradation, delayed delivery, and residual inventory that becomes unusable after migration.</w:t>
      </w:r>
    </w:p>
    <w:p>
      <w:pPr>
        <w:pStyle w:val="Heading3"/>
      </w:pPr>
      <w:r>
        <w:t>Q6. Why must migration be considered before the purchase?</w:t>
      </w:r>
    </w:p>
    <w:p>
      <w:r>
        <w:t>The migration date defines how long the organization needs the discontinued component. Without that endpoint, the coverage period and purchase quantity may be unjustifiably large.</w:t>
      </w:r>
    </w:p>
    <w:p>
      <w:pPr>
        <w:pStyle w:val="Heading3"/>
      </w:pPr>
      <w:r>
        <w:t>Q7. How should LTB stock be controlled?</w:t>
      </w:r>
    </w:p>
    <w:p>
      <w:r>
        <w:t>Use traceable procurement, incoming inspection, approved storage, stock records, periodic condition checks, and a clear link to the equipment and migration plan.</w:t>
      </w:r>
    </w:p>
    <w:p>
      <w:pPr>
        <w:pStyle w:val="Heading3"/>
      </w:pPr>
      <w:r>
        <w:t>Q8. What is the difference between LTB and safety stock?</w:t>
      </w:r>
    </w:p>
    <w:p>
      <w:r>
        <w:t>Safety stock protects against demand and lead-time variability during normal replenishment. LTB stock may be the final available supply for the remaining life of a discontinued product.</w:t>
      </w:r>
    </w:p>
    <w:p>
      <w:pPr>
        <w:pStyle w:val="Heading2"/>
      </w:pPr>
      <w:r>
        <w:t>19. Practical Competency Checklist</w:t>
      </w:r>
    </w:p>
    <w:p>
      <w:pPr>
        <w:pStyle w:val="ListBullet"/>
      </w:pPr>
      <w:r>
        <w:t>Verify official last-time-buy notices and deadlines.</w:t>
      </w:r>
    </w:p>
    <w:p>
      <w:pPr>
        <w:pStyle w:val="ListBullet"/>
      </w:pPr>
      <w:r>
        <w:t>Identify all installed equipment using the affected part.</w:t>
      </w:r>
    </w:p>
    <w:p>
      <w:pPr>
        <w:pStyle w:val="ListBullet"/>
      </w:pPr>
      <w:r>
        <w:t>Confirm usable stock and repair capability.</w:t>
      </w:r>
    </w:p>
    <w:p>
      <w:pPr>
        <w:pStyle w:val="ListBullet"/>
      </w:pPr>
      <w:r>
        <w:t>Estimate demand over the remaining service period.</w:t>
      </w:r>
    </w:p>
    <w:p>
      <w:pPr>
        <w:pStyle w:val="ListBullet"/>
      </w:pPr>
      <w:r>
        <w:t>Account for failure uncertainty and recovery requirements.</w:t>
      </w:r>
    </w:p>
    <w:p>
      <w:pPr>
        <w:pStyle w:val="ListBullet"/>
      </w:pPr>
      <w:r>
        <w:t>Verify model, revision, firmware, and application compatibility.</w:t>
      </w:r>
    </w:p>
    <w:p>
      <w:pPr>
        <w:pStyle w:val="ListBullet"/>
      </w:pPr>
      <w:r>
        <w:t>Compare purchase, repair, retrofit, and migration costs.</w:t>
      </w:r>
    </w:p>
    <w:p>
      <w:pPr>
        <w:pStyle w:val="ListBullet"/>
      </w:pPr>
      <w:r>
        <w:t>Confirm supplier authenticity and delivery conditions.</w:t>
      </w:r>
    </w:p>
    <w:p>
      <w:pPr>
        <w:pStyle w:val="ListBullet"/>
      </w:pPr>
      <w:r>
        <w:t>Define inspection and storage requirements.</w:t>
      </w:r>
    </w:p>
    <w:p>
      <w:pPr>
        <w:pStyle w:val="ListBullet"/>
      </w:pPr>
      <w:r>
        <w:t>Obtain engineering, procurement, and financial approvals.</w:t>
      </w:r>
    </w:p>
    <w:p>
      <w:pPr>
        <w:pStyle w:val="ListBullet"/>
      </w:pPr>
      <w:r>
        <w:t>Link the LTB order to the EOL register and migration plan.</w:t>
      </w:r>
    </w:p>
    <w:p>
      <w:pPr>
        <w:pStyle w:val="ListBullet"/>
      </w:pPr>
      <w:r>
        <w:t>Review stock coverage and remove dependence on the obsolete part when migration is complete.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02_PLAN_WISE_2026\02_INDUSTRY3_0\24_Obsolescence\05_Migration_Strategies - Migration strategies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Last-Time Buy in Industrial Maintenance and Automation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