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S7-300 to S7-1500 Migration: STEP 7 to TIA Portal Software Differences</w:t>
      </w:r>
    </w:p>
    <w:p>
      <w:r>
        <w:t xml:space="preserve">Study path: </w:t>
      </w:r>
      <w:r>
        <w:rPr>
          <w:rFonts w:ascii="Consolas" w:hAnsi="Consolas"/>
          <w:color w:val="333333"/>
          <w:sz w:val="19"/>
          <w:shd w:val="clear" w:color="auto" w:fill="EFEFEF"/>
        </w:rPr>
        <w:t>02_PLAN_WISE_2026\02_INDUSTRY3_0\24_Obsolescence\07_Examples\01_S7_300_to_1500\02_Software</w:t>
      </w:r>
    </w:p>
    <w:p>
      <w:pPr>
        <w:pStyle w:val="Heading2"/>
      </w:pPr>
      <w:r>
        <w:t>1. Purpose and Scope</w:t>
      </w:r>
    </w:p>
    <w:p>
      <w:r>
        <w:t>Migrating a Siemens SIMATIC S7-300 PLC to an S7-1500 involves more than opening the old project in a newer programming environment. The engineering software, hardware configuration, program representation, data handling, communication setup, diagnostics, and supported instructions can all change.</w:t>
      </w:r>
    </w:p>
    <w:p>
      <w:r>
        <w:t>The central distinction is between project migration and application conversion:</w:t>
      </w:r>
    </w:p>
    <w:p>
      <w:pPr>
        <w:pStyle w:val="ListBullet"/>
      </w:pPr>
      <w:r>
        <w:t>Project migration moves engineering data from a legacy STEP 7 project into a newer engineering environment.</w:t>
      </w:r>
    </w:p>
    <w:p>
      <w:pPr>
        <w:pStyle w:val="ListBullet"/>
      </w:pPr>
      <w:r>
        <w:t>Application conversion adapts the PLC program and its associated configuration to the target CPU and software platform.</w:t>
      </w:r>
    </w:p>
    <w:p>
      <w:pPr>
        <w:pStyle w:val="ListBullet"/>
      </w:pPr>
      <w:r>
        <w:t>Functional validation demonstrates that the migrated machine still performs its required functions safely and correctly.</w:t>
      </w:r>
    </w:p>
    <w:p>
      <w:r>
        <w:t>A project can convert successfully and still fail to compile, download, communicate, or operate as intended. Software tools can translate a project; they cannot automatically establish that the machine's behavior is correct. Humans remain inconveniently necessary.</w:t>
      </w:r>
    </w:p>
    <w:p>
      <w:pPr>
        <w:pStyle w:val="Heading2"/>
      </w:pPr>
      <w:r>
        <w:t>2. Understanding the Engineering Environments</w:t>
      </w:r>
    </w:p>
    <w:p>
      <w:pPr>
        <w:pStyle w:val="Heading3"/>
      </w:pPr>
      <w:r>
        <w:t>2.1 STEP 7 Classic</w:t>
      </w:r>
    </w:p>
    <w:p>
      <w:r>
        <w:t>STEP 7 Classic is the traditional Siemens engineering environment used for many S7-300 and S7-400 systems. It is commonly associated with SIMATIC Manager and projects containing hardware configuration, program blocks, symbols, and network configuration.</w:t>
      </w:r>
    </w:p>
    <w:p>
      <w:r>
        <w:t>Depending on the original installation, the project may include:</w:t>
      </w:r>
    </w:p>
    <w:p>
      <w:pPr>
        <w:pStyle w:val="ListBullet"/>
      </w:pPr>
      <w:r>
        <w:t>Hardware configuration created using HW Config.</w:t>
      </w:r>
    </w:p>
    <w:p>
      <w:pPr>
        <w:pStyle w:val="ListBullet"/>
      </w:pPr>
      <w:r>
        <w:t>Organization blocks (OBs).</w:t>
      </w:r>
    </w:p>
    <w:p>
      <w:pPr>
        <w:pStyle w:val="ListBullet"/>
      </w:pPr>
      <w:r>
        <w:t>Function blocks (FBs).</w:t>
      </w:r>
    </w:p>
    <w:p>
      <w:pPr>
        <w:pStyle w:val="ListBullet"/>
      </w:pPr>
      <w:r>
        <w:t>Functions (FCs).</w:t>
      </w:r>
    </w:p>
    <w:p>
      <w:pPr>
        <w:pStyle w:val="ListBullet"/>
      </w:pPr>
      <w:r>
        <w:t>Data blocks (DBs).</w:t>
      </w:r>
    </w:p>
    <w:p>
      <w:pPr>
        <w:pStyle w:val="ListBullet"/>
      </w:pPr>
      <w:r>
        <w:t>Symbol tables and absolute addresses.</w:t>
      </w:r>
    </w:p>
    <w:p>
      <w:pPr>
        <w:pStyle w:val="ListBullet"/>
      </w:pPr>
      <w:r>
        <w:t>LAD, FBD, and STL program representations.</w:t>
      </w:r>
    </w:p>
    <w:p>
      <w:pPr>
        <w:pStyle w:val="ListBullet"/>
      </w:pPr>
      <w:r>
        <w:t>Communication configuration for MPI, PROFIBUS, Industrial Ethernet, or installed communication processors.</w:t>
      </w:r>
    </w:p>
    <w:p>
      <w:pPr>
        <w:pStyle w:val="ListBullet"/>
      </w:pPr>
      <w:r>
        <w:t>Technology, diagnostic, and library components.</w:t>
      </w:r>
    </w:p>
    <w:p>
      <w:r>
        <w:t>The exact project structure depends on the STEP 7 version, installed options, CPU, and modules.</w:t>
      </w:r>
    </w:p>
    <w:p>
      <w:pPr>
        <w:pStyle w:val="Heading3"/>
      </w:pPr>
      <w:r>
        <w:t>2.2 TIA Portal</w:t>
      </w:r>
    </w:p>
    <w:p>
      <w:r>
        <w:t>Totally Integrated Automation Portal (TIA Portal) integrates multiple engineering tasks into one environment. Depending on the installed version and licences, it can support PLC programming, hardware configuration, HMI engineering, drive engineering, diagnostics, and other automation tasks.</w:t>
      </w:r>
    </w:p>
    <w:p>
      <w:r>
        <w:t>A TIA Portal project may contain:</w:t>
      </w:r>
    </w:p>
    <w:p>
      <w:pPr>
        <w:pStyle w:val="ListBullet"/>
      </w:pPr>
      <w:r>
        <w:t>PLC devices and their hardware configuration.</w:t>
      </w:r>
    </w:p>
    <w:p>
      <w:pPr>
        <w:pStyle w:val="ListBullet"/>
      </w:pPr>
      <w:r>
        <w:t>PLC program blocks and data blocks.</w:t>
      </w:r>
    </w:p>
    <w:p>
      <w:pPr>
        <w:pStyle w:val="ListBullet"/>
      </w:pPr>
      <w:r>
        <w:t>PLC tags and tag tables.</w:t>
      </w:r>
    </w:p>
    <w:p>
      <w:pPr>
        <w:pStyle w:val="ListBullet"/>
      </w:pPr>
      <w:r>
        <w:t>Device and network views.</w:t>
      </w:r>
    </w:p>
    <w:p>
      <w:pPr>
        <w:pStyle w:val="ListBullet"/>
      </w:pPr>
      <w:r>
        <w:t>HMI devices, screens, alarms, and connections.</w:t>
      </w:r>
    </w:p>
    <w:p>
      <w:pPr>
        <w:pStyle w:val="ListBullet"/>
      </w:pPr>
      <w:r>
        <w:t>Communication and technology configurations.</w:t>
      </w:r>
    </w:p>
    <w:p>
      <w:pPr>
        <w:pStyle w:val="ListBullet"/>
      </w:pPr>
      <w:r>
        <w:t>Cross-references, diagnostics, and project-wide engineering data.</w:t>
      </w:r>
    </w:p>
    <w:p>
      <w:r>
        <w:t>Not every TIA Portal version supports every CPU or legacy project. Support depends on the exact software version, installed packages, licences, and target hardware.</w:t>
      </w:r>
    </w:p>
    <w:p>
      <w:pPr>
        <w:pStyle w:val="Heading3"/>
      </w:pPr>
      <w:r>
        <w:t>2.3 High-level comparison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Area</w:t>
            </w:r>
          </w:p>
        </w:tc>
        <w:tc>
          <w:tcPr>
            <w:tcW w:type="dxa" w:w="2700"/>
            <w:shd w:val="clear" w:color="auto" w:fill="EEF2F7"/>
          </w:tcPr>
          <w:p>
            <w:pPr>
              <w:spacing w:after="0" w:before="0" w:line="240" w:lineRule="auto"/>
              <w:jc w:val="left"/>
            </w:pPr>
            <w:r>
              <w:rPr>
                <w:b/>
                <w:color w:val="1A2E4A"/>
              </w:rPr>
              <w:t>STEP 7 Classic</w:t>
            </w:r>
          </w:p>
        </w:tc>
        <w:tc>
          <w:tcPr>
            <w:tcW w:type="dxa" w:w="2700"/>
            <w:shd w:val="clear" w:color="auto" w:fill="EEF2F7"/>
          </w:tcPr>
          <w:p>
            <w:pPr>
              <w:spacing w:after="0" w:before="0" w:line="240" w:lineRule="auto"/>
              <w:jc w:val="left"/>
            </w:pPr>
            <w:r>
              <w:rPr>
                <w:b/>
                <w:color w:val="1A2E4A"/>
              </w:rPr>
              <w:t>TIA Portal</w:t>
            </w:r>
          </w:p>
        </w:tc>
        <w:tc>
          <w:tcPr>
            <w:tcW w:type="dxa" w:w="2700"/>
            <w:shd w:val="clear" w:color="auto" w:fill="EEF2F7"/>
          </w:tcPr>
          <w:p>
            <w:pPr>
              <w:spacing w:after="0" w:before="0" w:line="240" w:lineRule="auto"/>
              <w:jc w:val="left"/>
            </w:pPr>
            <w:r>
              <w:rPr>
                <w:b/>
                <w:color w:val="1A2E4A"/>
              </w:rPr>
              <w:t>Migration consideration</w:t>
            </w:r>
          </w:p>
        </w:tc>
      </w:tr>
      <w:tr>
        <w:tc>
          <w:tcPr>
            <w:tcW w:type="dxa" w:w="2700"/>
          </w:tcPr>
          <w:p>
            <w:pPr>
              <w:spacing w:after="0" w:before="0" w:line="240" w:lineRule="auto"/>
              <w:jc w:val="left"/>
            </w:pPr>
            <w:r>
              <w:t>Project organisation</w:t>
            </w:r>
          </w:p>
        </w:tc>
        <w:tc>
          <w:tcPr>
            <w:tcW w:type="dxa" w:w="2700"/>
          </w:tcPr>
          <w:p>
            <w:pPr>
              <w:spacing w:after="0" w:before="0" w:line="240" w:lineRule="auto"/>
              <w:jc w:val="left"/>
            </w:pPr>
            <w:r>
              <w:t>SIMATIC Manager and associated editors</w:t>
            </w:r>
          </w:p>
        </w:tc>
        <w:tc>
          <w:tcPr>
            <w:tcW w:type="dxa" w:w="2700"/>
          </w:tcPr>
          <w:p>
            <w:pPr>
              <w:spacing w:after="0" w:before="0" w:line="240" w:lineRule="auto"/>
              <w:jc w:val="left"/>
            </w:pPr>
            <w:r>
              <w:t>Integrated project environment</w:t>
            </w:r>
          </w:p>
        </w:tc>
        <w:tc>
          <w:tcPr>
            <w:tcW w:type="dxa" w:w="2700"/>
          </w:tcPr>
          <w:p>
            <w:pPr>
              <w:spacing w:after="0" w:before="0" w:line="240" w:lineRule="auto"/>
              <w:jc w:val="left"/>
            </w:pPr>
            <w:r>
              <w:t>Project structure changes</w:t>
            </w:r>
          </w:p>
        </w:tc>
      </w:tr>
      <w:tr>
        <w:tc>
          <w:tcPr>
            <w:tcW w:type="dxa" w:w="2700"/>
          </w:tcPr>
          <w:p>
            <w:pPr>
              <w:spacing w:after="0" w:before="0" w:line="240" w:lineRule="auto"/>
              <w:jc w:val="left"/>
            </w:pPr>
            <w:r>
              <w:t>Hardware configuration</w:t>
            </w:r>
          </w:p>
        </w:tc>
        <w:tc>
          <w:tcPr>
            <w:tcW w:type="dxa" w:w="2700"/>
          </w:tcPr>
          <w:p>
            <w:pPr>
              <w:spacing w:after="0" w:before="0" w:line="240" w:lineRule="auto"/>
              <w:jc w:val="left"/>
            </w:pPr>
            <w:r>
              <w:t>HW Config</w:t>
            </w:r>
          </w:p>
        </w:tc>
        <w:tc>
          <w:tcPr>
            <w:tcW w:type="dxa" w:w="2700"/>
          </w:tcPr>
          <w:p>
            <w:pPr>
              <w:spacing w:after="0" w:before="0" w:line="240" w:lineRule="auto"/>
              <w:jc w:val="left"/>
            </w:pPr>
            <w:r>
              <w:t>Device and network views</w:t>
            </w:r>
          </w:p>
        </w:tc>
        <w:tc>
          <w:tcPr>
            <w:tcW w:type="dxa" w:w="2700"/>
          </w:tcPr>
          <w:p>
            <w:pPr>
              <w:spacing w:after="0" w:before="0" w:line="240" w:lineRule="auto"/>
              <w:jc w:val="left"/>
            </w:pPr>
            <w:r>
              <w:t>Rebuild or convert the target hardware configuration</w:t>
            </w:r>
          </w:p>
        </w:tc>
      </w:tr>
      <w:tr>
        <w:tc>
          <w:tcPr>
            <w:tcW w:type="dxa" w:w="2700"/>
          </w:tcPr>
          <w:p>
            <w:pPr>
              <w:spacing w:after="0" w:before="0" w:line="240" w:lineRule="auto"/>
              <w:jc w:val="left"/>
            </w:pPr>
            <w:r>
              <w:t>PLC programming</w:t>
            </w:r>
          </w:p>
        </w:tc>
        <w:tc>
          <w:tcPr>
            <w:tcW w:type="dxa" w:w="2700"/>
          </w:tcPr>
          <w:p>
            <w:pPr>
              <w:spacing w:after="0" w:before="0" w:line="240" w:lineRule="auto"/>
              <w:jc w:val="left"/>
            </w:pPr>
            <w:r>
              <w:t>LAD, FBD, STL, and other supported representations</w:t>
            </w:r>
          </w:p>
        </w:tc>
        <w:tc>
          <w:tcPr>
            <w:tcW w:type="dxa" w:w="2700"/>
          </w:tcPr>
          <w:p>
            <w:pPr>
              <w:spacing w:after="0" w:before="0" w:line="240" w:lineRule="auto"/>
              <w:jc w:val="left"/>
            </w:pPr>
            <w:r>
              <w:t>LAD, FBD, SCL, and version-dependent support for other representations</w:t>
            </w:r>
          </w:p>
        </w:tc>
        <w:tc>
          <w:tcPr>
            <w:tcW w:type="dxa" w:w="2700"/>
          </w:tcPr>
          <w:p>
            <w:pPr>
              <w:spacing w:after="0" w:before="0" w:line="240" w:lineRule="auto"/>
              <w:jc w:val="left"/>
            </w:pPr>
            <w:r>
              <w:t>Verify language and instruction support</w:t>
            </w:r>
          </w:p>
        </w:tc>
      </w:tr>
      <w:tr>
        <w:tc>
          <w:tcPr>
            <w:tcW w:type="dxa" w:w="2700"/>
          </w:tcPr>
          <w:p>
            <w:pPr>
              <w:spacing w:after="0" w:before="0" w:line="240" w:lineRule="auto"/>
              <w:jc w:val="left"/>
            </w:pPr>
            <w:r>
              <w:t>Addressing</w:t>
            </w:r>
          </w:p>
        </w:tc>
        <w:tc>
          <w:tcPr>
            <w:tcW w:type="dxa" w:w="2700"/>
          </w:tcPr>
          <w:p>
            <w:pPr>
              <w:spacing w:after="0" w:before="0" w:line="240" w:lineRule="auto"/>
              <w:jc w:val="left"/>
            </w:pPr>
            <w:r>
              <w:t>Often uses absolute addresses and symbol tables</w:t>
            </w:r>
          </w:p>
        </w:tc>
        <w:tc>
          <w:tcPr>
            <w:tcW w:type="dxa" w:w="2700"/>
          </w:tcPr>
          <w:p>
            <w:pPr>
              <w:spacing w:after="0" w:before="0" w:line="240" w:lineRule="auto"/>
              <w:jc w:val="left"/>
            </w:pPr>
            <w:r>
              <w:t>Supports PLC tags, symbolic access, and absolute addressing where applicable</w:t>
            </w:r>
          </w:p>
        </w:tc>
        <w:tc>
          <w:tcPr>
            <w:tcW w:type="dxa" w:w="2700"/>
          </w:tcPr>
          <w:p>
            <w:pPr>
              <w:spacing w:after="0" w:before="0" w:line="240" w:lineRule="auto"/>
              <w:jc w:val="left"/>
            </w:pPr>
            <w:r>
              <w:t>Verify all address-dependent logic</w:t>
            </w:r>
          </w:p>
        </w:tc>
      </w:tr>
      <w:tr>
        <w:tc>
          <w:tcPr>
            <w:tcW w:type="dxa" w:w="2700"/>
          </w:tcPr>
          <w:p>
            <w:pPr>
              <w:spacing w:after="0" w:before="0" w:line="240" w:lineRule="auto"/>
              <w:jc w:val="left"/>
            </w:pPr>
            <w:r>
              <w:t>HMI engineering</w:t>
            </w:r>
          </w:p>
        </w:tc>
        <w:tc>
          <w:tcPr>
            <w:tcW w:type="dxa" w:w="2700"/>
          </w:tcPr>
          <w:p>
            <w:pPr>
              <w:spacing w:after="0" w:before="0" w:line="240" w:lineRule="auto"/>
              <w:jc w:val="left"/>
            </w:pPr>
            <w:r>
              <w:t>Often a separate engineering environment for legacy panels</w:t>
            </w:r>
          </w:p>
        </w:tc>
        <w:tc>
          <w:tcPr>
            <w:tcW w:type="dxa" w:w="2700"/>
          </w:tcPr>
          <w:p>
            <w:pPr>
              <w:spacing w:after="0" w:before="0" w:line="240" w:lineRule="auto"/>
              <w:jc w:val="left"/>
            </w:pPr>
            <w:r>
              <w:t>Integrated HMI engineering for supported devices</w:t>
            </w:r>
          </w:p>
        </w:tc>
        <w:tc>
          <w:tcPr>
            <w:tcW w:type="dxa" w:w="2700"/>
          </w:tcPr>
          <w:p>
            <w:pPr>
              <w:spacing w:after="0" w:before="0" w:line="240" w:lineRule="auto"/>
              <w:jc w:val="left"/>
            </w:pPr>
            <w:r>
              <w:t>HMI migration may be a separate workstream</w:t>
            </w:r>
          </w:p>
        </w:tc>
      </w:tr>
      <w:tr>
        <w:tc>
          <w:tcPr>
            <w:tcW w:type="dxa" w:w="2700"/>
          </w:tcPr>
          <w:p>
            <w:pPr>
              <w:spacing w:after="0" w:before="0" w:line="240" w:lineRule="auto"/>
              <w:jc w:val="left"/>
            </w:pPr>
            <w:r>
              <w:t>Libraries</w:t>
            </w:r>
          </w:p>
        </w:tc>
        <w:tc>
          <w:tcPr>
            <w:tcW w:type="dxa" w:w="2700"/>
          </w:tcPr>
          <w:p>
            <w:pPr>
              <w:spacing w:after="0" w:before="0" w:line="240" w:lineRule="auto"/>
              <w:jc w:val="left"/>
            </w:pPr>
            <w:r>
              <w:t>Legacy project libraries and blocks</w:t>
            </w:r>
          </w:p>
        </w:tc>
        <w:tc>
          <w:tcPr>
            <w:tcW w:type="dxa" w:w="2700"/>
          </w:tcPr>
          <w:p>
            <w:pPr>
              <w:spacing w:after="0" w:before="0" w:line="240" w:lineRule="auto"/>
              <w:jc w:val="left"/>
            </w:pPr>
            <w:r>
              <w:t>TIA Portal libraries and supported block types</w:t>
            </w:r>
          </w:p>
        </w:tc>
        <w:tc>
          <w:tcPr>
            <w:tcW w:type="dxa" w:w="2700"/>
          </w:tcPr>
          <w:p>
            <w:pPr>
              <w:spacing w:after="0" w:before="0" w:line="240" w:lineRule="auto"/>
              <w:jc w:val="left"/>
            </w:pPr>
            <w:r>
              <w:t>Review dependencies and recreate unsupported items</w:t>
            </w:r>
          </w:p>
        </w:tc>
      </w:tr>
      <w:tr>
        <w:tc>
          <w:tcPr>
            <w:tcW w:type="dxa" w:w="2700"/>
          </w:tcPr>
          <w:p>
            <w:pPr>
              <w:spacing w:after="0" w:before="0" w:line="240" w:lineRule="auto"/>
              <w:jc w:val="left"/>
            </w:pPr>
            <w:r>
              <w:t>Diagnostics</w:t>
            </w:r>
          </w:p>
        </w:tc>
        <w:tc>
          <w:tcPr>
            <w:tcW w:type="dxa" w:w="2700"/>
          </w:tcPr>
          <w:p>
            <w:pPr>
              <w:spacing w:after="0" w:before="0" w:line="240" w:lineRule="auto"/>
              <w:jc w:val="left"/>
            </w:pPr>
            <w:r>
              <w:t>Classic diagnostic tools and CPU buffers</w:t>
            </w:r>
          </w:p>
        </w:tc>
        <w:tc>
          <w:tcPr>
            <w:tcW w:type="dxa" w:w="2700"/>
          </w:tcPr>
          <w:p>
            <w:pPr>
              <w:spacing w:after="0" w:before="0" w:line="240" w:lineRule="auto"/>
              <w:jc w:val="left"/>
            </w:pPr>
            <w:r>
              <w:t>TIA Portal diagnostics and platform-specific diagnostic features</w:t>
            </w:r>
          </w:p>
        </w:tc>
        <w:tc>
          <w:tcPr>
            <w:tcW w:type="dxa" w:w="2700"/>
          </w:tcPr>
          <w:p>
            <w:pPr>
              <w:spacing w:after="0" w:before="0" w:line="240" w:lineRule="auto"/>
              <w:jc w:val="left"/>
            </w:pPr>
            <w:r>
              <w:t>Update maintenance procedures</w:t>
            </w:r>
          </w:p>
        </w:tc>
      </w:tr>
      <w:tr>
        <w:tc>
          <w:tcPr>
            <w:tcW w:type="dxa" w:w="2700"/>
          </w:tcPr>
          <w:p>
            <w:pPr>
              <w:spacing w:after="0" w:before="0" w:line="240" w:lineRule="auto"/>
              <w:jc w:val="left"/>
            </w:pPr>
            <w:r>
              <w:t>CPU support</w:t>
            </w:r>
          </w:p>
        </w:tc>
        <w:tc>
          <w:tcPr>
            <w:tcW w:type="dxa" w:w="2700"/>
          </w:tcPr>
          <w:p>
            <w:pPr>
              <w:spacing w:after="0" w:before="0" w:line="240" w:lineRule="auto"/>
              <w:jc w:val="left"/>
            </w:pPr>
            <w:r>
              <w:t>Depends on installed STEP 7 version and options</w:t>
            </w:r>
          </w:p>
        </w:tc>
        <w:tc>
          <w:tcPr>
            <w:tcW w:type="dxa" w:w="2700"/>
          </w:tcPr>
          <w:p>
            <w:pPr>
              <w:spacing w:after="0" w:before="0" w:line="240" w:lineRule="auto"/>
              <w:jc w:val="left"/>
            </w:pPr>
            <w:r>
              <w:t>Depends on TIA Portal version and supported devices</w:t>
            </w:r>
          </w:p>
        </w:tc>
        <w:tc>
          <w:tcPr>
            <w:tcW w:type="dxa" w:w="2700"/>
          </w:tcPr>
          <w:p>
            <w:pPr>
              <w:spacing w:after="0" w:before="0" w:line="240" w:lineRule="auto"/>
              <w:jc w:val="left"/>
            </w:pPr>
            <w:r>
              <w:t>Confirm target CPU support before conversion</w:t>
            </w:r>
          </w:p>
        </w:tc>
      </w:tr>
      <w:tr>
        <w:tc>
          <w:tcPr>
            <w:tcW w:type="dxa" w:w="2700"/>
          </w:tcPr>
          <w:p>
            <w:pPr>
              <w:spacing w:after="0" w:before="0" w:line="240" w:lineRule="auto"/>
              <w:jc w:val="left"/>
            </w:pPr>
            <w:r>
              <w:t>Project conversion</w:t>
            </w:r>
          </w:p>
        </w:tc>
        <w:tc>
          <w:tcPr>
            <w:tcW w:type="dxa" w:w="2700"/>
          </w:tcPr>
          <w:p>
            <w:pPr>
              <w:spacing w:after="0" w:before="0" w:line="240" w:lineRule="auto"/>
              <w:jc w:val="left"/>
            </w:pPr>
            <w:r>
              <w:t>Not applicable to the original environment</w:t>
            </w:r>
          </w:p>
        </w:tc>
        <w:tc>
          <w:tcPr>
            <w:tcW w:type="dxa" w:w="2700"/>
          </w:tcPr>
          <w:p>
            <w:pPr>
              <w:spacing w:after="0" w:before="0" w:line="240" w:lineRule="auto"/>
              <w:jc w:val="left"/>
            </w:pPr>
            <w:r>
              <w:t>Supported conversion routes depend on the source project and TIA version</w:t>
            </w:r>
          </w:p>
        </w:tc>
        <w:tc>
          <w:tcPr>
            <w:tcW w:type="dxa" w:w="2700"/>
          </w:tcPr>
          <w:p>
            <w:pPr>
              <w:spacing w:after="0" w:before="0" w:line="240" w:lineRule="auto"/>
              <w:jc w:val="left"/>
            </w:pPr>
            <w:r>
              <w:t>Preserve the original project and use a supported path</w:t>
            </w:r>
          </w:p>
        </w:tc>
      </w:tr>
    </w:tbl>
    <w:p/>
    <w:p>
      <w:pPr>
        <w:pStyle w:val="Heading2"/>
      </w:pPr>
      <w:r>
        <w:t>3. Confirm the Migration Route Before Starting</w:t>
      </w:r>
    </w:p>
    <w:p>
      <w:r>
        <w:t>The correct conversion procedure depends on the original STEP 7 version, the S7-300 CPU, the installed software options, and the chosen TIA Portal version.</w:t>
      </w:r>
    </w:p>
    <w:p>
      <w:r>
        <w:t>Do not assume every legacy project can be imported directly into every TIA Portal release. Some projects require intermediate conversion steps, hardware replacement, library changes, or manual reconstruction.</w:t>
      </w:r>
    </w:p>
    <w:p>
      <w:pPr>
        <w:pStyle w:val="Heading3"/>
      </w:pPr>
      <w:r>
        <w:t>3.1 Initial information to collect</w:t>
      </w:r>
    </w:p>
    <w:p>
      <w:r>
        <w:t>Record the following before opening or converting the project:</w:t>
      </w:r>
    </w:p>
    <w:p>
      <w:pPr>
        <w:pStyle w:val="ListBullet"/>
      </w:pPr>
      <w:r>
        <w:t>STEP 7 Classic version and service pack.</w:t>
      </w:r>
    </w:p>
    <w:p>
      <w:pPr>
        <w:pStyle w:val="ListBullet"/>
      </w:pPr>
      <w:r>
        <w:t>TIA Portal version and update level.</w:t>
      </w:r>
    </w:p>
    <w:p>
      <w:pPr>
        <w:pStyle w:val="ListBullet"/>
      </w:pPr>
      <w:r>
        <w:t>Original CPU order number and firmware version.</w:t>
      </w:r>
    </w:p>
    <w:p>
      <w:pPr>
        <w:pStyle w:val="ListBullet"/>
      </w:pPr>
      <w:r>
        <w:t>Installed communication processors and technology modules.</w:t>
      </w:r>
    </w:p>
    <w:p>
      <w:pPr>
        <w:pStyle w:val="ListBullet"/>
      </w:pPr>
      <w:r>
        <w:t>Programming languages used by the project.</w:t>
      </w:r>
    </w:p>
    <w:p>
      <w:pPr>
        <w:pStyle w:val="ListBullet"/>
      </w:pPr>
      <w:r>
        <w:t>Whether the project contains protected or password-protected blocks.</w:t>
      </w:r>
    </w:p>
    <w:p>
      <w:pPr>
        <w:pStyle w:val="ListBullet"/>
      </w:pPr>
      <w:r>
        <w:t>Whether source files and external libraries are available.</w:t>
      </w:r>
    </w:p>
    <w:p>
      <w:pPr>
        <w:pStyle w:val="ListBullet"/>
      </w:pPr>
      <w:r>
        <w:t>HMI engineering software and panel model.</w:t>
      </w:r>
    </w:p>
    <w:p>
      <w:pPr>
        <w:pStyle w:val="ListBullet"/>
      </w:pPr>
      <w:r>
        <w:t>Third-party communication drivers and devices.</w:t>
      </w:r>
    </w:p>
    <w:p>
      <w:pPr>
        <w:pStyle w:val="ListBullet"/>
      </w:pPr>
      <w:r>
        <w:t>Availability of the original project backup and a working PLC upload, where permitted and technically possible.</w:t>
      </w:r>
    </w:p>
    <w:p>
      <w:pPr>
        <w:pStyle w:val="Heading3"/>
      </w:pPr>
      <w:r>
        <w:t>3.2 Choose a supported conversion path</w:t>
      </w:r>
    </w:p>
    <w:p>
      <w:r>
        <w:t>Use this sequence:</w:t>
      </w:r>
    </w:p>
    <w:p>
      <w:pPr>
        <w:shd w:val="clear" w:color="auto" w:fill="F4F4F4"/>
        <w:spacing w:before="0" w:after="0" w:line="240" w:lineRule="auto"/>
        <w:ind w:left="216" w:right="216"/>
        <w:jc w:val="left"/>
      </w:pPr>
      <w:r>
        <w:rPr>
          <w:rFonts w:ascii="Consolas" w:hAnsi="Consolas"/>
          <w:color w:val="202020"/>
          <w:sz w:val="18"/>
        </w:rPr>
        <w:t>Identify the original STEP 7 project and hardware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Confirm the target CPU and TIA Portal support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Check the official Siemens migration instructions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Create a protected copy of the original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Convert using the supported route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Resolve hardware and software incompatibilities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Compile and inspect the migrated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offline, then validate on controlled hardware</w:t>
      </w:r>
    </w:p>
    <w:p/>
    <w:p>
      <w:r>
        <w:t>If the source project is incomplete, protected, or dependent on unavailable software, document those limitations before committing to a conversion plan.</w:t>
      </w:r>
    </w:p>
    <w:p>
      <w:pPr>
        <w:pStyle w:val="Heading2"/>
      </w:pPr>
      <w:r>
        <w:t>4. Project Backup and Version Control</w:t>
      </w:r>
    </w:p>
    <w:p>
      <w:pPr>
        <w:pStyle w:val="Heading3"/>
      </w:pPr>
      <w:r>
        <w:t>4.1 Why the original project must be preserved</w:t>
      </w:r>
    </w:p>
    <w:p>
      <w:r>
        <w:t>The original project is the baseline for identifying conversion changes and recovering from an unsuccessful migration. Never perform the first conversion on the only copy of a production project.</w:t>
      </w:r>
    </w:p>
    <w:p>
      <w:r>
        <w:t>Preserve:</w:t>
      </w:r>
    </w:p>
    <w:p>
      <w:pPr>
        <w:pStyle w:val="ListBullet"/>
      </w:pPr>
      <w:r>
        <w:t>The original STEP 7 project.</w:t>
      </w:r>
    </w:p>
    <w:p>
      <w:pPr>
        <w:pStyle w:val="ListBullet"/>
      </w:pPr>
      <w:r>
        <w:t>A separate working copy for conversion.</w:t>
      </w:r>
    </w:p>
    <w:p>
      <w:pPr>
        <w:pStyle w:val="ListBullet"/>
      </w:pPr>
      <w:r>
        <w:t>PLC uploads or online backups obtained through approved procedures.</w:t>
      </w:r>
    </w:p>
    <w:p>
      <w:pPr>
        <w:pStyle w:val="ListBullet"/>
      </w:pPr>
      <w:r>
        <w:t>Available source files, symbol tables, libraries, and configuration records.</w:t>
      </w:r>
    </w:p>
    <w:p>
      <w:pPr>
        <w:pStyle w:val="ListBullet"/>
      </w:pPr>
      <w:r>
        <w:t>Original hardware and network configuration.</w:t>
      </w:r>
    </w:p>
    <w:p>
      <w:pPr>
        <w:pStyle w:val="ListBullet"/>
      </w:pPr>
      <w:r>
        <w:t>Firmware and module identification details.</w:t>
      </w:r>
    </w:p>
    <w:p>
      <w:pPr>
        <w:pStyle w:val="ListBullet"/>
      </w:pPr>
      <w:r>
        <w:t>HMI and drive projects stored outside the PLC project.</w:t>
      </w:r>
    </w:p>
    <w:p>
      <w:pPr>
        <w:pStyle w:val="ListBullet"/>
      </w:pPr>
      <w:r>
        <w:t>A record of conversion errors and manual changes.</w:t>
      </w:r>
    </w:p>
    <w:p>
      <w:r>
        <w:t>A PLC upload may not reproduce the complete original source project, comments, symbols, external libraries, or engineering structure. Therefore, an upload is not automatically equivalent to a complete engineering backup.</w:t>
      </w:r>
    </w:p>
    <w:p>
      <w:pPr>
        <w:pStyle w:val="Heading3"/>
      </w:pPr>
      <w:r>
        <w:t>4.2 Baseline comparison</w:t>
      </w:r>
    </w:p>
    <w:p>
      <w:r>
        <w:t>Before conversion, record the behavior and configuration that must be preserved.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Baseline item</w:t>
            </w:r>
          </w:p>
        </w:tc>
        <w:tc>
          <w:tcPr>
            <w:tcW w:type="dxa" w:w="5400"/>
            <w:shd w:val="clear" w:color="auto" w:fill="EEF2F7"/>
          </w:tcPr>
          <w:p>
            <w:pPr>
              <w:spacing w:after="0" w:before="0" w:line="240" w:lineRule="auto"/>
              <w:jc w:val="left"/>
            </w:pPr>
            <w:r>
              <w:rPr>
                <w:b/>
                <w:color w:val="1A2E4A"/>
              </w:rPr>
              <w:t>What to capture</w:t>
            </w:r>
          </w:p>
        </w:tc>
      </w:tr>
      <w:tr>
        <w:tc>
          <w:tcPr>
            <w:tcW w:type="dxa" w:w="5400"/>
          </w:tcPr>
          <w:p>
            <w:pPr>
              <w:spacing w:after="0" w:before="0" w:line="240" w:lineRule="auto"/>
              <w:jc w:val="left"/>
            </w:pPr>
            <w:r>
              <w:t>CPU</w:t>
            </w:r>
          </w:p>
        </w:tc>
        <w:tc>
          <w:tcPr>
            <w:tcW w:type="dxa" w:w="5400"/>
          </w:tcPr>
          <w:p>
            <w:pPr>
              <w:spacing w:after="0" w:before="0" w:line="240" w:lineRule="auto"/>
              <w:jc w:val="left"/>
            </w:pPr>
            <w:r>
              <w:t>Model, order number, firmware, memory, and operating mode</w:t>
            </w:r>
          </w:p>
        </w:tc>
      </w:tr>
      <w:tr>
        <w:tc>
          <w:tcPr>
            <w:tcW w:type="dxa" w:w="5400"/>
          </w:tcPr>
          <w:p>
            <w:pPr>
              <w:spacing w:after="0" w:before="0" w:line="240" w:lineRule="auto"/>
              <w:jc w:val="left"/>
            </w:pPr>
            <w:r>
              <w:t>Program</w:t>
            </w:r>
          </w:p>
        </w:tc>
        <w:tc>
          <w:tcPr>
            <w:tcW w:type="dxa" w:w="5400"/>
          </w:tcPr>
          <w:p>
            <w:pPr>
              <w:spacing w:after="0" w:before="0" w:line="240" w:lineRule="auto"/>
              <w:jc w:val="left"/>
            </w:pPr>
            <w:r>
              <w:t>Block list, block versions, languages, and source availability</w:t>
            </w:r>
          </w:p>
        </w:tc>
      </w:tr>
      <w:tr>
        <w:tc>
          <w:tcPr>
            <w:tcW w:type="dxa" w:w="5400"/>
          </w:tcPr>
          <w:p>
            <w:pPr>
              <w:spacing w:after="0" w:before="0" w:line="240" w:lineRule="auto"/>
              <w:jc w:val="left"/>
            </w:pPr>
            <w:r>
              <w:t>I/O</w:t>
            </w:r>
          </w:p>
        </w:tc>
        <w:tc>
          <w:tcPr>
            <w:tcW w:type="dxa" w:w="5400"/>
          </w:tcPr>
          <w:p>
            <w:pPr>
              <w:spacing w:after="0" w:before="0" w:line="240" w:lineRule="auto"/>
              <w:jc w:val="left"/>
            </w:pPr>
            <w:r>
              <w:t>Physical modules, addresses, signal tags, and channel assignments</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Network parameters, protocols, connections, and device identities</w:t>
            </w:r>
          </w:p>
        </w:tc>
      </w:tr>
      <w:tr>
        <w:tc>
          <w:tcPr>
            <w:tcW w:type="dxa" w:w="5400"/>
          </w:tcPr>
          <w:p>
            <w:pPr>
              <w:spacing w:after="0" w:before="0" w:line="240" w:lineRule="auto"/>
              <w:jc w:val="left"/>
            </w:pPr>
            <w:r>
              <w:t>Data</w:t>
            </w:r>
          </w:p>
        </w:tc>
        <w:tc>
          <w:tcPr>
            <w:tcW w:type="dxa" w:w="5400"/>
          </w:tcPr>
          <w:p>
            <w:pPr>
              <w:spacing w:after="0" w:before="0" w:line="240" w:lineRule="auto"/>
              <w:jc w:val="left"/>
            </w:pPr>
            <w:r>
              <w:t>Retentive values, recipes, calibration constants, and machine parameters</w:t>
            </w:r>
          </w:p>
        </w:tc>
      </w:tr>
      <w:tr>
        <w:tc>
          <w:tcPr>
            <w:tcW w:type="dxa" w:w="5400"/>
          </w:tcPr>
          <w:p>
            <w:pPr>
              <w:spacing w:after="0" w:before="0" w:line="240" w:lineRule="auto"/>
              <w:jc w:val="left"/>
            </w:pPr>
            <w:r>
              <w:t>Timing</w:t>
            </w:r>
          </w:p>
        </w:tc>
        <w:tc>
          <w:tcPr>
            <w:tcW w:type="dxa" w:w="5400"/>
          </w:tcPr>
          <w:p>
            <w:pPr>
              <w:spacing w:after="0" w:before="0" w:line="240" w:lineRule="auto"/>
              <w:jc w:val="left"/>
            </w:pPr>
            <w:r>
              <w:t>Scan time, timer presets, watchdog limits, and response requirements</w:t>
            </w:r>
          </w:p>
        </w:tc>
      </w:tr>
      <w:tr>
        <w:tc>
          <w:tcPr>
            <w:tcW w:type="dxa" w:w="5400"/>
          </w:tcPr>
          <w:p>
            <w:pPr>
              <w:spacing w:after="0" w:before="0" w:line="240" w:lineRule="auto"/>
              <w:jc w:val="left"/>
            </w:pPr>
            <w:r>
              <w:t>HMI</w:t>
            </w:r>
          </w:p>
        </w:tc>
        <w:tc>
          <w:tcPr>
            <w:tcW w:type="dxa" w:w="5400"/>
          </w:tcPr>
          <w:p>
            <w:pPr>
              <w:spacing w:after="0" w:before="0" w:line="240" w:lineRule="auto"/>
              <w:jc w:val="left"/>
            </w:pPr>
            <w:r>
              <w:t>Screens, alarms, recipes, and PLC connection settings</w:t>
            </w:r>
          </w:p>
        </w:tc>
      </w:tr>
      <w:tr>
        <w:tc>
          <w:tcPr>
            <w:tcW w:type="dxa" w:w="5400"/>
          </w:tcPr>
          <w:p>
            <w:pPr>
              <w:spacing w:after="0" w:before="0" w:line="240" w:lineRule="auto"/>
              <w:jc w:val="left"/>
            </w:pPr>
            <w:r>
              <w:t>Safety</w:t>
            </w:r>
          </w:p>
        </w:tc>
        <w:tc>
          <w:tcPr>
            <w:tcW w:type="dxa" w:w="5400"/>
          </w:tcPr>
          <w:p>
            <w:pPr>
              <w:spacing w:after="0" w:before="0" w:line="240" w:lineRule="auto"/>
              <w:jc w:val="left"/>
            </w:pPr>
            <w:r>
              <w:t>Safety architecture, approved configuration, and validation records</w:t>
            </w:r>
          </w:p>
        </w:tc>
      </w:tr>
      <w:tr>
        <w:tc>
          <w:tcPr>
            <w:tcW w:type="dxa" w:w="5400"/>
          </w:tcPr>
          <w:p>
            <w:pPr>
              <w:spacing w:after="0" w:before="0" w:line="240" w:lineRule="auto"/>
              <w:jc w:val="left"/>
            </w:pPr>
            <w:r>
              <w:t>Maintenance</w:t>
            </w:r>
          </w:p>
        </w:tc>
        <w:tc>
          <w:tcPr>
            <w:tcW w:type="dxa" w:w="5400"/>
          </w:tcPr>
          <w:p>
            <w:pPr>
              <w:spacing w:after="0" w:before="0" w:line="240" w:lineRule="auto"/>
              <w:jc w:val="left"/>
            </w:pPr>
            <w:r>
              <w:t>Fault recovery, startup procedures, and known limitations</w:t>
            </w:r>
          </w:p>
        </w:tc>
      </w:tr>
    </w:tbl>
    <w:p/>
    <w:p>
      <w:r>
        <w:t>The baseline allows the engineer to distinguish a genuine migration defect from an existing machine issue.</w:t>
      </w:r>
    </w:p>
    <w:p>
      <w:pPr>
        <w:pStyle w:val="Heading2"/>
      </w:pPr>
      <w:r>
        <w:t>5. Hardware Configuration Conversion</w:t>
      </w:r>
    </w:p>
    <w:p>
      <w:r>
        <w:t>Hardware configuration must be reviewed before the migrated program can be considered ready.</w:t>
      </w:r>
    </w:p>
    <w:p>
      <w:pPr>
        <w:pStyle w:val="Heading3"/>
      </w:pPr>
      <w:r>
        <w:t>5.1 Why the original hardware configuration cannot simply be reused unchanged</w:t>
      </w:r>
    </w:p>
    <w:p>
      <w:r>
        <w:t>The original project describes an S7-300 system. The target project must describe a supported S7-1500 configuration, including its CPU, modules, communication interfaces, and network devices.</w:t>
      </w:r>
    </w:p>
    <w:p>
      <w:r>
        <w:t>A successful conversion does not mean that every original hardware component has a direct equivalent.</w:t>
      </w:r>
    </w:p>
    <w:p>
      <w:r>
        <w:t>Typical conversion tasks include:</w:t>
      </w:r>
    </w:p>
    <w:p>
      <w:pPr>
        <w:pStyle w:val="ListBullet"/>
      </w:pPr>
      <w:r>
        <w:t>Selecting the target CPU and its supported firmware.</w:t>
      </w:r>
    </w:p>
    <w:p>
      <w:pPr>
        <w:pStyle w:val="ListBullet"/>
      </w:pPr>
      <w:r>
        <w:t>Replacing the original CPU in the target hardware configuration.</w:t>
      </w:r>
    </w:p>
    <w:p>
      <w:pPr>
        <w:pStyle w:val="ListBullet"/>
      </w:pPr>
      <w:r>
        <w:t>Selecting compatible S7-1500 signal modules.</w:t>
      </w:r>
    </w:p>
    <w:p>
      <w:pPr>
        <w:pStyle w:val="ListBullet"/>
      </w:pPr>
      <w:r>
        <w:t>Reconfiguring central and distributed I/O.</w:t>
      </w:r>
    </w:p>
    <w:p>
      <w:pPr>
        <w:pStyle w:val="ListBullet"/>
      </w:pPr>
      <w:r>
        <w:t>Replacing or redesigning unsupported communication interfaces.</w:t>
      </w:r>
    </w:p>
    <w:p>
      <w:pPr>
        <w:pStyle w:val="ListBullet"/>
      </w:pPr>
      <w:r>
        <w:t>Rebuilding network connections and device assignments.</w:t>
      </w:r>
    </w:p>
    <w:p>
      <w:pPr>
        <w:pStyle w:val="ListBullet"/>
      </w:pPr>
      <w:r>
        <w:t>Reviewing module diagnostics and startup behavior.</w:t>
      </w:r>
    </w:p>
    <w:p>
      <w:pPr>
        <w:pStyle w:val="ListBullet"/>
      </w:pPr>
      <w:r>
        <w:t>Resolving unsupported or obsolete hardware references.</w:t>
      </w:r>
    </w:p>
    <w:p>
      <w:pPr>
        <w:pStyle w:val="Heading3"/>
      </w:pPr>
      <w:r>
        <w:t>5.2 Hardware configuration checklist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Configuration item</w:t>
            </w:r>
          </w:p>
        </w:tc>
        <w:tc>
          <w:tcPr>
            <w:tcW w:type="dxa" w:w="5400"/>
            <w:shd w:val="clear" w:color="auto" w:fill="EEF2F7"/>
          </w:tcPr>
          <w:p>
            <w:pPr>
              <w:spacing w:after="0" w:before="0" w:line="240" w:lineRule="auto"/>
              <w:jc w:val="left"/>
            </w:pPr>
            <w:r>
              <w:rPr>
                <w:b/>
                <w:color w:val="1A2E4A"/>
              </w:rPr>
              <w:t>Required action</w:t>
            </w:r>
          </w:p>
        </w:tc>
      </w:tr>
      <w:tr>
        <w:tc>
          <w:tcPr>
            <w:tcW w:type="dxa" w:w="5400"/>
          </w:tcPr>
          <w:p>
            <w:pPr>
              <w:spacing w:after="0" w:before="0" w:line="240" w:lineRule="auto"/>
              <w:jc w:val="left"/>
            </w:pPr>
            <w:r>
              <w:t>CPU</w:t>
            </w:r>
          </w:p>
        </w:tc>
        <w:tc>
          <w:tcPr>
            <w:tcW w:type="dxa" w:w="5400"/>
          </w:tcPr>
          <w:p>
            <w:pPr>
              <w:spacing w:after="0" w:before="0" w:line="240" w:lineRule="auto"/>
              <w:jc w:val="left"/>
            </w:pPr>
            <w:r>
              <w:t>Select the exact supported target CPU</w:t>
            </w:r>
          </w:p>
        </w:tc>
      </w:tr>
      <w:tr>
        <w:tc>
          <w:tcPr>
            <w:tcW w:type="dxa" w:w="5400"/>
          </w:tcPr>
          <w:p>
            <w:pPr>
              <w:spacing w:after="0" w:before="0" w:line="240" w:lineRule="auto"/>
              <w:jc w:val="left"/>
            </w:pPr>
            <w:r>
              <w:t>Firmware</w:t>
            </w:r>
          </w:p>
        </w:tc>
        <w:tc>
          <w:tcPr>
            <w:tcW w:type="dxa" w:w="5400"/>
          </w:tcPr>
          <w:p>
            <w:pPr>
              <w:spacing w:after="0" w:before="0" w:line="240" w:lineRule="auto"/>
              <w:jc w:val="left"/>
            </w:pPr>
            <w:r>
              <w:t>Confirm that the selected firmware is supported by the engineering environment</w:t>
            </w:r>
          </w:p>
        </w:tc>
      </w:tr>
      <w:tr>
        <w:tc>
          <w:tcPr>
            <w:tcW w:type="dxa" w:w="5400"/>
          </w:tcPr>
          <w:p>
            <w:pPr>
              <w:spacing w:after="0" w:before="0" w:line="240" w:lineRule="auto"/>
              <w:jc w:val="left"/>
            </w:pPr>
            <w:r>
              <w:t>Central I/O</w:t>
            </w:r>
          </w:p>
        </w:tc>
        <w:tc>
          <w:tcPr>
            <w:tcW w:type="dxa" w:w="5400"/>
          </w:tcPr>
          <w:p>
            <w:pPr>
              <w:spacing w:after="0" w:before="0" w:line="240" w:lineRule="auto"/>
              <w:jc w:val="left"/>
            </w:pPr>
            <w:r>
              <w:t>Replace legacy modules with compatible target modules</w:t>
            </w:r>
          </w:p>
        </w:tc>
      </w:tr>
      <w:tr>
        <w:tc>
          <w:tcPr>
            <w:tcW w:type="dxa" w:w="5400"/>
          </w:tcPr>
          <w:p>
            <w:pPr>
              <w:spacing w:after="0" w:before="0" w:line="240" w:lineRule="auto"/>
              <w:jc w:val="left"/>
            </w:pPr>
            <w:r>
              <w:t>Remote I/O</w:t>
            </w:r>
          </w:p>
        </w:tc>
        <w:tc>
          <w:tcPr>
            <w:tcW w:type="dxa" w:w="5400"/>
          </w:tcPr>
          <w:p>
            <w:pPr>
              <w:spacing w:after="0" w:before="0" w:line="240" w:lineRule="auto"/>
              <w:jc w:val="left"/>
            </w:pPr>
            <w:r>
              <w:t>Verify interface and module support</w:t>
            </w:r>
          </w:p>
        </w:tc>
      </w:tr>
      <w:tr>
        <w:tc>
          <w:tcPr>
            <w:tcW w:type="dxa" w:w="5400"/>
          </w:tcPr>
          <w:p>
            <w:pPr>
              <w:spacing w:after="0" w:before="0" w:line="240" w:lineRule="auto"/>
              <w:jc w:val="left"/>
            </w:pPr>
            <w:r>
              <w:t>Communication processors</w:t>
            </w:r>
          </w:p>
        </w:tc>
        <w:tc>
          <w:tcPr>
            <w:tcW w:type="dxa" w:w="5400"/>
          </w:tcPr>
          <w:p>
            <w:pPr>
              <w:spacing w:after="0" w:before="0" w:line="240" w:lineRule="auto"/>
              <w:jc w:val="left"/>
            </w:pPr>
            <w:r>
              <w:t>Replace or redesign unsupported connections</w:t>
            </w:r>
          </w:p>
        </w:tc>
      </w:tr>
      <w:tr>
        <w:tc>
          <w:tcPr>
            <w:tcW w:type="dxa" w:w="5400"/>
          </w:tcPr>
          <w:p>
            <w:pPr>
              <w:spacing w:after="0" w:before="0" w:line="240" w:lineRule="auto"/>
              <w:jc w:val="left"/>
            </w:pPr>
            <w:r>
              <w:t>Network addresses</w:t>
            </w:r>
          </w:p>
        </w:tc>
        <w:tc>
          <w:tcPr>
            <w:tcW w:type="dxa" w:w="5400"/>
          </w:tcPr>
          <w:p>
            <w:pPr>
              <w:spacing w:after="0" w:before="0" w:line="240" w:lineRule="auto"/>
              <w:jc w:val="left"/>
            </w:pPr>
            <w:r>
              <w:t>Verify IP addresses, device names, and subnet configuration</w:t>
            </w:r>
          </w:p>
        </w:tc>
      </w:tr>
      <w:tr>
        <w:tc>
          <w:tcPr>
            <w:tcW w:type="dxa" w:w="5400"/>
          </w:tcPr>
          <w:p>
            <w:pPr>
              <w:spacing w:after="0" w:before="0" w:line="240" w:lineRule="auto"/>
              <w:jc w:val="left"/>
            </w:pPr>
            <w:r>
              <w:t>Technology modules</w:t>
            </w:r>
          </w:p>
        </w:tc>
        <w:tc>
          <w:tcPr>
            <w:tcW w:type="dxa" w:w="5400"/>
          </w:tcPr>
          <w:p>
            <w:pPr>
              <w:spacing w:after="0" w:before="0" w:line="240" w:lineRule="auto"/>
              <w:jc w:val="left"/>
            </w:pPr>
            <w:r>
              <w:t>Confirm supported successor functions</w:t>
            </w:r>
          </w:p>
        </w:tc>
      </w:tr>
      <w:tr>
        <w:tc>
          <w:tcPr>
            <w:tcW w:type="dxa" w:w="5400"/>
          </w:tcPr>
          <w:p>
            <w:pPr>
              <w:spacing w:after="0" w:before="0" w:line="240" w:lineRule="auto"/>
              <w:jc w:val="left"/>
            </w:pPr>
            <w:r>
              <w:t>Safety hardware</w:t>
            </w:r>
          </w:p>
        </w:tc>
        <w:tc>
          <w:tcPr>
            <w:tcW w:type="dxa" w:w="5400"/>
          </w:tcPr>
          <w:p>
            <w:pPr>
              <w:spacing w:after="0" w:before="0" w:line="240" w:lineRule="auto"/>
              <w:jc w:val="left"/>
            </w:pPr>
            <w:r>
              <w:t>Follow the applicable safety migration and validation process</w:t>
            </w:r>
          </w:p>
        </w:tc>
      </w:tr>
      <w:tr>
        <w:tc>
          <w:tcPr>
            <w:tcW w:type="dxa" w:w="5400"/>
          </w:tcPr>
          <w:p>
            <w:pPr>
              <w:spacing w:after="0" w:before="0" w:line="240" w:lineRule="auto"/>
              <w:jc w:val="left"/>
            </w:pPr>
            <w:r>
              <w:t>Diagnostics</w:t>
            </w:r>
          </w:p>
        </w:tc>
        <w:tc>
          <w:tcPr>
            <w:tcW w:type="dxa" w:w="5400"/>
          </w:tcPr>
          <w:p>
            <w:pPr>
              <w:spacing w:after="0" w:before="0" w:line="240" w:lineRule="auto"/>
              <w:jc w:val="left"/>
            </w:pPr>
            <w:r>
              <w:t>Confirm how module and communication faults are reported</w:t>
            </w:r>
          </w:p>
        </w:tc>
      </w:tr>
      <w:tr>
        <w:tc>
          <w:tcPr>
            <w:tcW w:type="dxa" w:w="5400"/>
          </w:tcPr>
          <w:p>
            <w:pPr>
              <w:spacing w:after="0" w:before="0" w:line="240" w:lineRule="auto"/>
              <w:jc w:val="left"/>
            </w:pPr>
            <w:r>
              <w:t>Power configuration</w:t>
            </w:r>
          </w:p>
        </w:tc>
        <w:tc>
          <w:tcPr>
            <w:tcW w:type="dxa" w:w="5400"/>
          </w:tcPr>
          <w:p>
            <w:pPr>
              <w:spacing w:after="0" w:before="0" w:line="240" w:lineRule="auto"/>
              <w:jc w:val="left"/>
            </w:pPr>
            <w:r>
              <w:t>Verify the physical design independently of the software project</w:t>
            </w:r>
          </w:p>
        </w:tc>
      </w:tr>
    </w:tbl>
    <w:p/>
    <w:p>
      <w:pPr>
        <w:pStyle w:val="Heading2"/>
      </w:pPr>
      <w:r>
        <w:t>6. Program Blocks: OB, FB, FC, and DB</w:t>
      </w:r>
    </w:p>
    <w:p>
      <w:r>
        <w:t>The S7-300 and S7-1500 use familiar PLC block concepts, but block compatibility and execution semantics must still be checked.</w:t>
      </w:r>
    </w:p>
    <w:p>
      <w:pPr>
        <w:pStyle w:val="Heading3"/>
      </w:pPr>
      <w:r>
        <w:t>6.1 Organization blocks (OBs)</w:t>
      </w:r>
    </w:p>
    <w:p>
      <w:r>
        <w:t>OBs provide interfaces between the operating system and the user program. They are used for cyclic execution, startup, hardware events, time-related events, and other supported execution events.</w:t>
      </w:r>
    </w:p>
    <w:p>
      <w:r>
        <w:t>During migration, verify:</w:t>
      </w:r>
    </w:p>
    <w:p>
      <w:pPr>
        <w:pStyle w:val="ListBullet"/>
      </w:pPr>
      <w:r>
        <w:t>Whether each original OB is supported by the target CPU.</w:t>
      </w:r>
    </w:p>
    <w:p>
      <w:pPr>
        <w:pStyle w:val="ListBullet"/>
      </w:pPr>
      <w:r>
        <w:t>Whether its event type and execution behavior remain valid.</w:t>
      </w:r>
    </w:p>
    <w:p>
      <w:pPr>
        <w:pStyle w:val="ListBullet"/>
      </w:pPr>
      <w:r>
        <w:t>Whether its priority and interrupt configuration require changes.</w:t>
      </w:r>
    </w:p>
    <w:p>
      <w:pPr>
        <w:pStyle w:val="ListBullet"/>
      </w:pPr>
      <w:r>
        <w:t>Whether startup logic depends on the original CPU's behavior.</w:t>
      </w:r>
    </w:p>
    <w:p>
      <w:pPr>
        <w:pStyle w:val="ListBullet"/>
      </w:pPr>
      <w:r>
        <w:t>Whether error-handling OBs are supported and configured correctly.</w:t>
      </w:r>
    </w:p>
    <w:p>
      <w:r>
        <w:t>An unsupported OB or changed event configuration can prevent compilation or alter machine behavior.</w:t>
      </w:r>
    </w:p>
    <w:p>
      <w:pPr>
        <w:pStyle w:val="Heading3"/>
      </w:pPr>
      <w:r>
        <w:t>6.2 Function blocks (FBs)</w:t>
      </w:r>
    </w:p>
    <w:p>
      <w:r>
        <w:t>An FB is a reusable program block that uses an instance data block to store its instance-specific data.</w:t>
      </w:r>
    </w:p>
    <w:p>
      <w:r>
        <w:t>Examples include a cylinder control FB, a motor control FB, or a test-sequence FB.</w:t>
      </w:r>
    </w:p>
    <w:p>
      <w:r>
        <w:t>Check:</w:t>
      </w:r>
    </w:p>
    <w:p>
      <w:pPr>
        <w:pStyle w:val="ListBullet"/>
      </w:pPr>
      <w:r>
        <w:t>Interface parameters and data types.</w:t>
      </w:r>
    </w:p>
    <w:p>
      <w:pPr>
        <w:pStyle w:val="ListBullet"/>
      </w:pPr>
      <w:r>
        <w:t>Instance DB assignments.</w:t>
      </w:r>
    </w:p>
    <w:p>
      <w:pPr>
        <w:pStyle w:val="ListBullet"/>
      </w:pPr>
      <w:r>
        <w:t>Retentive data requirements.</w:t>
      </w:r>
    </w:p>
    <w:p>
      <w:pPr>
        <w:pStyle w:val="ListBullet"/>
      </w:pPr>
      <w:r>
        <w:t>Block calls and execution order.</w:t>
      </w:r>
    </w:p>
    <w:p>
      <w:pPr>
        <w:pStyle w:val="ListBullet"/>
      </w:pPr>
      <w:r>
        <w:t>Dependencies on system functions or legacy instructions.</w:t>
      </w:r>
    </w:p>
    <w:p>
      <w:pPr>
        <w:pStyle w:val="ListBullet"/>
      </w:pPr>
      <w:r>
        <w:t>Any use of absolute memory areas or indirect addressing.</w:t>
      </w:r>
    </w:p>
    <w:p>
      <w:pPr>
        <w:pStyle w:val="Heading3"/>
      </w:pPr>
      <w:r>
        <w:t>6.3 Functions (FCs)</w:t>
      </w:r>
    </w:p>
    <w:p>
      <w:r>
        <w:t>An FC is a program block that does not have its own instance DB. It may process parameters and return results, while global data or other mechanisms can be used for state storage.</w:t>
      </w:r>
    </w:p>
    <w:p>
      <w:r>
        <w:t>Review any FC that relies on shared memory, implicit assumptions about execution order, or indirect access to PLC data.</w:t>
      </w:r>
    </w:p>
    <w:p>
      <w:pPr>
        <w:pStyle w:val="Heading3"/>
      </w:pPr>
      <w:r>
        <w:t>6.4 Data blocks (DBs)</w:t>
      </w:r>
    </w:p>
    <w:p>
      <w:r>
        <w:t>Data blocks store data used by the PLC program. The migration must preserve the intended meaning and lifecycle of that data.</w:t>
      </w:r>
    </w:p>
    <w:p>
      <w:r>
        <w:t>Important checks include:</w:t>
      </w:r>
    </w:p>
    <w:p>
      <w:pPr>
        <w:pStyle w:val="ListBullet"/>
      </w:pPr>
      <w:r>
        <w:t>Data type compatibility.</w:t>
      </w:r>
    </w:p>
    <w:p>
      <w:pPr>
        <w:pStyle w:val="ListBullet"/>
      </w:pPr>
      <w:r>
        <w:t>Initial values and startup behavior.</w:t>
      </w:r>
    </w:p>
    <w:p>
      <w:pPr>
        <w:pStyle w:val="ListBullet"/>
      </w:pPr>
      <w:r>
        <w:t>Retentivity requirements.</w:t>
      </w:r>
    </w:p>
    <w:p>
      <w:pPr>
        <w:pStyle w:val="ListBullet"/>
      </w:pPr>
      <w:r>
        <w:t>Array dimensions and structure.</w:t>
      </w:r>
    </w:p>
    <w:p>
      <w:pPr>
        <w:pStyle w:val="ListBullet"/>
      </w:pPr>
      <w:r>
        <w:t>String and character representations.</w:t>
      </w:r>
    </w:p>
    <w:p>
      <w:pPr>
        <w:pStyle w:val="ListBullet"/>
      </w:pPr>
      <w:r>
        <w:t>Absolute addresses and external data access.</w:t>
      </w:r>
    </w:p>
    <w:p>
      <w:pPr>
        <w:pStyle w:val="ListBullet"/>
      </w:pPr>
      <w:r>
        <w:t>Data accessed by HMI panels, drives, robots, PCs, or other controllers.</w:t>
      </w:r>
    </w:p>
    <w:p>
      <w:pPr>
        <w:pStyle w:val="Heading2"/>
      </w:pPr>
      <w:r>
        <w:t>7. Optimized and Non-Optimized Data Access</w:t>
      </w:r>
    </w:p>
    <w:p>
      <w:r>
        <w:t>One important difference in S7-1500 engineering is the use of optimized block access.</w:t>
      </w:r>
    </w:p>
    <w:p>
      <w:pPr>
        <w:pStyle w:val="Heading3"/>
      </w:pPr>
      <w:r>
        <w:t>7.1 Non-optimized data blocks</w:t>
      </w:r>
    </w:p>
    <w:p>
      <w:r>
        <w:t>Non-optimized DBs preserve a defined memory layout that can support absolute access patterns. This can be important when external devices or legacy instructions depend on specific byte or word offsets.</w:t>
      </w:r>
    </w:p>
    <w:p>
      <w:pPr>
        <w:pStyle w:val="Heading3"/>
      </w:pPr>
      <w:r>
        <w:t>7.2 Optimized data blocks</w:t>
      </w:r>
    </w:p>
    <w:p>
      <w:r>
        <w:t>Optimized DBs allow the controller and engineering environment to organise data for the target platform. Symbolic access is the preferred approach where supported, but absolute-offset assumptions must not be carried over without verification.</w:t>
      </w:r>
    </w:p>
    <w:p>
      <w:pPr>
        <w:pStyle w:val="Heading3"/>
      </w:pPr>
      <w:r>
        <w:t>7.3 Why this matters</w:t>
      </w:r>
    </w:p>
    <w:p>
      <w:r>
        <w:t>Suppose a legacy application stores a machine status at byte offset 20 in a DB. An external PC reads that location directly.</w:t>
      </w:r>
    </w:p>
    <w:p>
      <w:r>
        <w:t>If the migrated DB uses a different layout, the PC may read the wrong data even though the PLC program compiles successfully.</w:t>
      </w:r>
    </w:p>
    <w:p>
      <w:r>
        <w:t>The migration team must identify every external dependency on absolute memory addresses, including:</w:t>
      </w:r>
    </w:p>
    <w:p>
      <w:pPr>
        <w:pStyle w:val="ListBullet"/>
      </w:pPr>
      <w:r>
        <w:t>HMI communication.</w:t>
      </w:r>
    </w:p>
    <w:p>
      <w:pPr>
        <w:pStyle w:val="ListBullet"/>
      </w:pPr>
      <w:r>
        <w:t>OPC or SCADA connections.</w:t>
      </w:r>
    </w:p>
    <w:p>
      <w:pPr>
        <w:pStyle w:val="ListBullet"/>
      </w:pPr>
      <w:r>
        <w:t>Node-RED or other data-collection applications.</w:t>
      </w:r>
    </w:p>
    <w:p>
      <w:pPr>
        <w:pStyle w:val="ListBullet"/>
      </w:pPr>
      <w:r>
        <w:t>Robot or CNC interfaces.</w:t>
      </w:r>
    </w:p>
    <w:p>
      <w:pPr>
        <w:pStyle w:val="ListBullet"/>
      </w:pPr>
      <w:r>
        <w:t>Custom PC software.</w:t>
      </w:r>
    </w:p>
    <w:p>
      <w:pPr>
        <w:pStyle w:val="ListBullet"/>
      </w:pPr>
      <w:r>
        <w:t>Legacy communication blocks.</w:t>
      </w:r>
    </w:p>
    <w:p>
      <w:pPr>
        <w:pStyle w:val="ListBullet"/>
      </w:pPr>
      <w:r>
        <w:t>Data exchange with other PLCs.</w:t>
      </w:r>
    </w:p>
    <w:p>
      <w:r>
        <w:t>Engineering rule: Use symbolic addressing where practical, and preserve fixed layouts only when there is a documented reason and the target platform supports the required behavior.</w:t>
      </w:r>
    </w:p>
    <w:p>
      <w:pPr>
        <w:pStyle w:val="Heading2"/>
      </w:pPr>
      <w:r>
        <w:t>8. PLC Tags, Symbols, and Absolute Addresses</w:t>
      </w:r>
    </w:p>
    <w:p>
      <w:pPr>
        <w:pStyle w:val="Heading3"/>
      </w:pPr>
      <w:r>
        <w:t>8.1 Symbolic names</w:t>
      </w:r>
    </w:p>
    <w:p>
      <w:r>
        <w:t>Symbolic names describe the meaning of a signal rather than only its physical address.</w:t>
      </w:r>
    </w:p>
    <w:p>
      <w:r>
        <w:t>Examples:</w:t>
      </w:r>
    </w:p>
    <w:p>
      <w:pPr>
        <w:pStyle w:val="ListBullet"/>
      </w:pPr>
      <w:r>
        <w:rPr>
          <w:rFonts w:ascii="Consolas" w:hAnsi="Consolas"/>
          <w:color w:val="333333"/>
          <w:sz w:val="19"/>
          <w:shd w:val="clear" w:color="auto" w:fill="EFEFEF"/>
        </w:rPr>
        <w:t>ClampClosed</w:t>
      </w:r>
    </w:p>
    <w:p>
      <w:pPr>
        <w:pStyle w:val="ListBullet"/>
      </w:pPr>
      <w:r>
        <w:rPr>
          <w:rFonts w:ascii="Consolas" w:hAnsi="Consolas"/>
          <w:color w:val="333333"/>
          <w:sz w:val="19"/>
          <w:shd w:val="clear" w:color="auto" w:fill="EFEFEF"/>
        </w:rPr>
        <w:t>MotorRunning</w:t>
      </w:r>
    </w:p>
    <w:p>
      <w:pPr>
        <w:pStyle w:val="ListBullet"/>
      </w:pPr>
      <w:r>
        <w:rPr>
          <w:rFonts w:ascii="Consolas" w:hAnsi="Consolas"/>
          <w:color w:val="333333"/>
          <w:sz w:val="19"/>
          <w:shd w:val="clear" w:color="auto" w:fill="EFEFEF"/>
        </w:rPr>
        <w:t>PressureActual</w:t>
      </w:r>
    </w:p>
    <w:p>
      <w:pPr>
        <w:pStyle w:val="ListBullet"/>
      </w:pPr>
      <w:r>
        <w:rPr>
          <w:rFonts w:ascii="Consolas" w:hAnsi="Consolas"/>
          <w:color w:val="333333"/>
          <w:sz w:val="19"/>
          <w:shd w:val="clear" w:color="auto" w:fill="EFEFEF"/>
        </w:rPr>
        <w:t>CycleStartRequest</w:t>
      </w:r>
    </w:p>
    <w:p>
      <w:pPr>
        <w:pStyle w:val="ListBullet"/>
      </w:pPr>
      <w:r>
        <w:rPr>
          <w:rFonts w:ascii="Consolas" w:hAnsi="Consolas"/>
          <w:color w:val="333333"/>
          <w:sz w:val="19"/>
          <w:shd w:val="clear" w:color="auto" w:fill="EFEFEF"/>
        </w:rPr>
        <w:t>TestResultValid</w:t>
      </w:r>
    </w:p>
    <w:p>
      <w:r>
        <w:t>Meaningful symbolic names improve readability and make maintenance easier.</w:t>
      </w:r>
    </w:p>
    <w:p>
      <w:pPr>
        <w:pStyle w:val="Heading3"/>
      </w:pPr>
      <w:r>
        <w:t>8.2 Absolute addresses</w:t>
      </w:r>
    </w:p>
    <w:p>
      <w:r>
        <w:t xml:space="preserve">Legacy STEP 7 projects may use addresses such as </w:t>
      </w:r>
      <w:r>
        <w:rPr>
          <w:rFonts w:ascii="Consolas" w:hAnsi="Consolas"/>
          <w:color w:val="333333"/>
          <w:sz w:val="19"/>
          <w:shd w:val="clear" w:color="auto" w:fill="EFEFEF"/>
        </w:rPr>
        <w:t>I 0.0</w:t>
      </w:r>
      <w:r>
        <w:t xml:space="preserve">, </w:t>
      </w:r>
      <w:r>
        <w:rPr>
          <w:rFonts w:ascii="Consolas" w:hAnsi="Consolas"/>
          <w:color w:val="333333"/>
          <w:sz w:val="19"/>
          <w:shd w:val="clear" w:color="auto" w:fill="EFEFEF"/>
        </w:rPr>
        <w:t>Q 4.2</w:t>
      </w:r>
      <w:r>
        <w:t xml:space="preserve">, </w:t>
      </w:r>
      <w:r>
        <w:rPr>
          <w:rFonts w:ascii="Consolas" w:hAnsi="Consolas"/>
          <w:color w:val="333333"/>
          <w:sz w:val="19"/>
          <w:shd w:val="clear" w:color="auto" w:fill="EFEFEF"/>
        </w:rPr>
        <w:t>M 10.0</w:t>
      </w:r>
      <w:r>
        <w:t xml:space="preserve">, or </w:t>
      </w:r>
      <w:r>
        <w:rPr>
          <w:rFonts w:ascii="Consolas" w:hAnsi="Consolas"/>
          <w:color w:val="333333"/>
          <w:sz w:val="19"/>
          <w:shd w:val="clear" w:color="auto" w:fill="EFEFEF"/>
        </w:rPr>
        <w:t>DB20.DBW4</w:t>
      </w:r>
      <w:r>
        <w:t>.</w:t>
      </w:r>
    </w:p>
    <w:p>
      <w:r>
        <w:t>These addresses may represent physical I/O, marker memory, or data-block locations. Their meaning depends on the original configuration and application.</w:t>
      </w:r>
    </w:p>
    <w:p>
      <w:r>
        <w:t>During migration:</w:t>
      </w:r>
    </w:p>
    <w:p>
      <w:pPr>
        <w:tabs>
          <w:tab w:pos="403" w:val="left"/>
        </w:tabs>
        <w:spacing w:after="40" w:line="276" w:lineRule="auto"/>
        <w:ind w:left="403" w:hanging="403"/>
        <w:jc w:val="left"/>
      </w:pPr>
      <w:r>
        <w:rPr>
          <w:color w:val="1A2E4A"/>
        </w:rPr>
        <w:t>1.</w:t>
        <w:tab/>
      </w:r>
      <w:r>
        <w:t>Identify the physical signal represented by each address.</w:t>
      </w:r>
    </w:p>
    <w:p>
      <w:pPr>
        <w:tabs>
          <w:tab w:pos="403" w:val="left"/>
        </w:tabs>
        <w:spacing w:after="40" w:line="276" w:lineRule="auto"/>
        <w:ind w:left="403" w:hanging="403"/>
        <w:jc w:val="left"/>
      </w:pPr>
      <w:r>
        <w:rPr>
          <w:color w:val="1A2E4A"/>
        </w:rPr>
        <w:t>2.</w:t>
        <w:tab/>
      </w:r>
      <w:r>
        <w:t>Confirm the new module and channel assignment.</w:t>
      </w:r>
    </w:p>
    <w:p>
      <w:pPr>
        <w:tabs>
          <w:tab w:pos="403" w:val="left"/>
        </w:tabs>
        <w:spacing w:after="40" w:line="276" w:lineRule="auto"/>
        <w:ind w:left="403" w:hanging="403"/>
        <w:jc w:val="left"/>
      </w:pPr>
      <w:r>
        <w:rPr>
          <w:color w:val="1A2E4A"/>
        </w:rPr>
        <w:t>3.</w:t>
        <w:tab/>
      </w:r>
      <w:r>
        <w:t>Verify the new logical address.</w:t>
      </w:r>
    </w:p>
    <w:p>
      <w:pPr>
        <w:tabs>
          <w:tab w:pos="403" w:val="left"/>
        </w:tabs>
        <w:spacing w:after="40" w:line="276" w:lineRule="auto"/>
        <w:ind w:left="403" w:hanging="403"/>
        <w:jc w:val="left"/>
      </w:pPr>
      <w:r>
        <w:rPr>
          <w:color w:val="1A2E4A"/>
        </w:rPr>
        <w:t>4.</w:t>
        <w:tab/>
      </w:r>
      <w:r>
        <w:t>Check all program references to the original address.</w:t>
      </w:r>
    </w:p>
    <w:p>
      <w:pPr>
        <w:tabs>
          <w:tab w:pos="403" w:val="left"/>
        </w:tabs>
        <w:spacing w:after="40" w:line="276" w:lineRule="auto"/>
        <w:ind w:left="403" w:hanging="403"/>
        <w:jc w:val="left"/>
      </w:pPr>
      <w:r>
        <w:rPr>
          <w:color w:val="1A2E4A"/>
        </w:rPr>
        <w:t>5.</w:t>
        <w:tab/>
      </w:r>
      <w:r>
        <w:t>Check HMI and external-device references.</w:t>
      </w:r>
    </w:p>
    <w:p>
      <w:pPr>
        <w:tabs>
          <w:tab w:pos="403" w:val="left"/>
        </w:tabs>
        <w:spacing w:after="40" w:line="276" w:lineRule="auto"/>
        <w:ind w:left="403" w:hanging="403"/>
        <w:jc w:val="left"/>
      </w:pPr>
      <w:r>
        <w:rPr>
          <w:color w:val="1A2E4A"/>
        </w:rPr>
        <w:t>6.</w:t>
        <w:tab/>
      </w:r>
      <w:r>
        <w:t>Test the signal against the actual field device.</w:t>
      </w:r>
    </w:p>
    <w:p>
      <w:pPr>
        <w:pStyle w:val="Heading3"/>
      </w:pPr>
      <w:r>
        <w:t>8.3 Address mapping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Original reference</w:t>
            </w:r>
          </w:p>
        </w:tc>
        <w:tc>
          <w:tcPr>
            <w:tcW w:type="dxa" w:w="3600"/>
            <w:shd w:val="clear" w:color="auto" w:fill="EEF2F7"/>
          </w:tcPr>
          <w:p>
            <w:pPr>
              <w:spacing w:after="0" w:before="0" w:line="240" w:lineRule="auto"/>
              <w:jc w:val="left"/>
            </w:pPr>
            <w:r>
              <w:rPr>
                <w:b/>
                <w:color w:val="1A2E4A"/>
              </w:rPr>
              <w:t>Functional meaning</w:t>
            </w:r>
          </w:p>
        </w:tc>
        <w:tc>
          <w:tcPr>
            <w:tcW w:type="dxa" w:w="3600"/>
            <w:shd w:val="clear" w:color="auto" w:fill="EEF2F7"/>
          </w:tcPr>
          <w:p>
            <w:pPr>
              <w:spacing w:after="0" w:before="0" w:line="240" w:lineRule="auto"/>
              <w:jc w:val="left"/>
            </w:pPr>
            <w:r>
              <w:rPr>
                <w:b/>
                <w:color w:val="1A2E4A"/>
              </w:rPr>
              <w:t>Migration action</w:t>
            </w:r>
          </w:p>
        </w:tc>
      </w:tr>
      <w:tr>
        <w:tc>
          <w:tcPr>
            <w:tcW w:type="dxa" w:w="3600"/>
          </w:tcPr>
          <w:p>
            <w:pPr>
              <w:spacing w:after="0" w:before="0" w:line="240" w:lineRule="auto"/>
              <w:jc w:val="left"/>
            </w:pPr>
            <w:r>
              <w:rPr>
                <w:rFonts w:ascii="Consolas" w:hAnsi="Consolas"/>
                <w:color w:val="333333"/>
                <w:sz w:val="19"/>
                <w:shd w:val="clear" w:color="auto" w:fill="EFEFEF"/>
              </w:rPr>
              <w:t>I 0.0</w:t>
            </w:r>
          </w:p>
        </w:tc>
        <w:tc>
          <w:tcPr>
            <w:tcW w:type="dxa" w:w="3600"/>
          </w:tcPr>
          <w:p>
            <w:pPr>
              <w:spacing w:after="0" w:before="0" w:line="240" w:lineRule="auto"/>
              <w:jc w:val="left"/>
            </w:pPr>
            <w:r>
              <w:t>Clamp closed feedback</w:t>
            </w:r>
          </w:p>
        </w:tc>
        <w:tc>
          <w:tcPr>
            <w:tcW w:type="dxa" w:w="3600"/>
          </w:tcPr>
          <w:p>
            <w:pPr>
              <w:spacing w:after="0" w:before="0" w:line="240" w:lineRule="auto"/>
              <w:jc w:val="left"/>
            </w:pPr>
            <w:r>
              <w:t>Map to the verified new input</w:t>
            </w:r>
          </w:p>
        </w:tc>
      </w:tr>
      <w:tr>
        <w:tc>
          <w:tcPr>
            <w:tcW w:type="dxa" w:w="3600"/>
          </w:tcPr>
          <w:p>
            <w:pPr>
              <w:spacing w:after="0" w:before="0" w:line="240" w:lineRule="auto"/>
              <w:jc w:val="left"/>
            </w:pPr>
            <w:r>
              <w:rPr>
                <w:rFonts w:ascii="Consolas" w:hAnsi="Consolas"/>
                <w:color w:val="333333"/>
                <w:sz w:val="19"/>
                <w:shd w:val="clear" w:color="auto" w:fill="EFEFEF"/>
              </w:rPr>
              <w:t>Q 4.2</w:t>
            </w:r>
          </w:p>
        </w:tc>
        <w:tc>
          <w:tcPr>
            <w:tcW w:type="dxa" w:w="3600"/>
          </w:tcPr>
          <w:p>
            <w:pPr>
              <w:spacing w:after="0" w:before="0" w:line="240" w:lineRule="auto"/>
              <w:jc w:val="left"/>
            </w:pPr>
            <w:r>
              <w:t>Clamp valve command</w:t>
            </w:r>
          </w:p>
        </w:tc>
        <w:tc>
          <w:tcPr>
            <w:tcW w:type="dxa" w:w="3600"/>
          </w:tcPr>
          <w:p>
            <w:pPr>
              <w:spacing w:after="0" w:before="0" w:line="240" w:lineRule="auto"/>
              <w:jc w:val="left"/>
            </w:pPr>
            <w:r>
              <w:t>Map to the verified new output</w:t>
            </w:r>
          </w:p>
        </w:tc>
      </w:tr>
      <w:tr>
        <w:tc>
          <w:tcPr>
            <w:tcW w:type="dxa" w:w="3600"/>
          </w:tcPr>
          <w:p>
            <w:pPr>
              <w:spacing w:after="0" w:before="0" w:line="240" w:lineRule="auto"/>
              <w:jc w:val="left"/>
            </w:pPr>
            <w:r>
              <w:rPr>
                <w:rFonts w:ascii="Consolas" w:hAnsi="Consolas"/>
                <w:color w:val="333333"/>
                <w:sz w:val="19"/>
                <w:shd w:val="clear" w:color="auto" w:fill="EFEFEF"/>
              </w:rPr>
              <w:t>M 10.0</w:t>
            </w:r>
          </w:p>
        </w:tc>
        <w:tc>
          <w:tcPr>
            <w:tcW w:type="dxa" w:w="3600"/>
          </w:tcPr>
          <w:p>
            <w:pPr>
              <w:spacing w:after="0" w:before="0" w:line="240" w:lineRule="auto"/>
              <w:jc w:val="left"/>
            </w:pPr>
            <w:r>
              <w:t>Cycle active flag</w:t>
            </w:r>
          </w:p>
        </w:tc>
        <w:tc>
          <w:tcPr>
            <w:tcW w:type="dxa" w:w="3600"/>
          </w:tcPr>
          <w:p>
            <w:pPr>
              <w:spacing w:after="0" w:before="0" w:line="240" w:lineRule="auto"/>
              <w:jc w:val="left"/>
            </w:pPr>
            <w:r>
              <w:t>Review whether a named PLC tag is more appropriate</w:t>
            </w:r>
          </w:p>
        </w:tc>
      </w:tr>
      <w:tr>
        <w:tc>
          <w:tcPr>
            <w:tcW w:type="dxa" w:w="3600"/>
          </w:tcPr>
          <w:p>
            <w:pPr>
              <w:spacing w:after="0" w:before="0" w:line="240" w:lineRule="auto"/>
              <w:jc w:val="left"/>
            </w:pPr>
            <w:r>
              <w:rPr>
                <w:rFonts w:ascii="Consolas" w:hAnsi="Consolas"/>
                <w:color w:val="333333"/>
                <w:sz w:val="19"/>
                <w:shd w:val="clear" w:color="auto" w:fill="EFEFEF"/>
              </w:rPr>
              <w:t>DB20.DBW4</w:t>
            </w:r>
          </w:p>
        </w:tc>
        <w:tc>
          <w:tcPr>
            <w:tcW w:type="dxa" w:w="3600"/>
          </w:tcPr>
          <w:p>
            <w:pPr>
              <w:spacing w:after="0" w:before="0" w:line="240" w:lineRule="auto"/>
              <w:jc w:val="left"/>
            </w:pPr>
            <w:r>
              <w:t>Pressure setpoint</w:t>
            </w:r>
          </w:p>
        </w:tc>
        <w:tc>
          <w:tcPr>
            <w:tcW w:type="dxa" w:w="3600"/>
          </w:tcPr>
          <w:p>
            <w:pPr>
              <w:spacing w:after="0" w:before="0" w:line="240" w:lineRule="auto"/>
              <w:jc w:val="left"/>
            </w:pPr>
            <w:r>
              <w:t>Verify data layout and all external references</w:t>
            </w:r>
          </w:p>
        </w:tc>
      </w:tr>
      <w:tr>
        <w:tc>
          <w:tcPr>
            <w:tcW w:type="dxa" w:w="3600"/>
          </w:tcPr>
          <w:p>
            <w:pPr>
              <w:spacing w:after="0" w:before="0" w:line="240" w:lineRule="auto"/>
              <w:jc w:val="left"/>
            </w:pPr>
            <w:r>
              <w:t>Timer instance</w:t>
            </w:r>
          </w:p>
        </w:tc>
        <w:tc>
          <w:tcPr>
            <w:tcW w:type="dxa" w:w="3600"/>
          </w:tcPr>
          <w:p>
            <w:pPr>
              <w:spacing w:after="0" w:before="0" w:line="240" w:lineRule="auto"/>
              <w:jc w:val="left"/>
            </w:pPr>
            <w:r>
              <w:t>Sequence timeout</w:t>
            </w:r>
          </w:p>
        </w:tc>
        <w:tc>
          <w:tcPr>
            <w:tcW w:type="dxa" w:w="3600"/>
          </w:tcPr>
          <w:p>
            <w:pPr>
              <w:spacing w:after="0" w:before="0" w:line="240" w:lineRule="auto"/>
              <w:jc w:val="left"/>
            </w:pPr>
            <w:r>
              <w:t>Verify supported timer implementation and behavior</w:t>
            </w:r>
          </w:p>
        </w:tc>
      </w:tr>
    </w:tbl>
    <w:p/>
    <w:p>
      <w:r>
        <w:t>These are illustrative examples, not a proposed address assignment for a real machine.</w:t>
      </w:r>
    </w:p>
    <w:p>
      <w:pPr>
        <w:pStyle w:val="Heading2"/>
      </w:pPr>
      <w:r>
        <w:t>9. Programming Languages and Instruction Compatibility</w:t>
      </w:r>
    </w:p>
    <w:p>
      <w:pPr>
        <w:pStyle w:val="Heading3"/>
      </w:pPr>
      <w:r>
        <w:t>9.1 LAD, FBD, STL, and SCL</w:t>
      </w:r>
    </w:p>
    <w:p>
      <w:r>
        <w:t>Legacy S7-300 projects may use LAD (Ladder Diagram), FBD (Function Block Diagram), and STL (Statement List), along with other supported programming facilities.</w:t>
      </w:r>
    </w:p>
    <w:p>
      <w:r>
        <w:t>TIA Portal supports LAD, FBD, and SCL, with supported language features varying by CPU, project type, and software version. STL availability and conversion support must be checked for the exact target environment.</w:t>
      </w:r>
    </w:p>
    <w:p>
      <w:r>
        <w:t>Do not assume every STL block can be converted automatically into an equivalent S7-1500 block.</w:t>
      </w:r>
    </w:p>
    <w:p>
      <w:r>
        <w:t>If an unsupported block requires rewriting, the engineer must preserve its intended logic, execution order, data handling, and error behavior.</w:t>
      </w:r>
    </w:p>
    <w:p>
      <w:pPr>
        <w:pStyle w:val="Heading3"/>
      </w:pPr>
      <w:r>
        <w:t>9.2 Instruction compatibility</w:t>
      </w:r>
    </w:p>
    <w:p>
      <w:r>
        <w:t>Legacy projects may contain instructions or system functions whose availability or behavior differs on the S7-1500.</w:t>
      </w:r>
    </w:p>
    <w:p>
      <w:r>
        <w:t>Examples of areas requiring review include:</w:t>
      </w:r>
    </w:p>
    <w:p>
      <w:pPr>
        <w:pStyle w:val="ListBullet"/>
      </w:pPr>
      <w:r>
        <w:t>Direct peripheral access.</w:t>
      </w:r>
    </w:p>
    <w:p>
      <w:pPr>
        <w:pStyle w:val="ListBullet"/>
      </w:pPr>
      <w:r>
        <w:t>Indirect addressing and pointer operations.</w:t>
      </w:r>
    </w:p>
    <w:p>
      <w:pPr>
        <w:pStyle w:val="ListBullet"/>
      </w:pPr>
      <w:r>
        <w:t>System and standard functions.</w:t>
      </w:r>
    </w:p>
    <w:p>
      <w:pPr>
        <w:pStyle w:val="ListBullet"/>
      </w:pPr>
      <w:r>
        <w:t>Clock and time functions.</w:t>
      </w:r>
    </w:p>
    <w:p>
      <w:pPr>
        <w:pStyle w:val="ListBullet"/>
      </w:pPr>
      <w:r>
        <w:t>Communication instructions.</w:t>
      </w:r>
    </w:p>
    <w:p>
      <w:pPr>
        <w:pStyle w:val="ListBullet"/>
      </w:pPr>
      <w:r>
        <w:t>Timer and counter implementations.</w:t>
      </w:r>
    </w:p>
    <w:p>
      <w:pPr>
        <w:pStyle w:val="ListBullet"/>
      </w:pPr>
      <w:r>
        <w:t>Interrupt and event handling.</w:t>
      </w:r>
    </w:p>
    <w:p>
      <w:pPr>
        <w:pStyle w:val="ListBullet"/>
      </w:pPr>
      <w:r>
        <w:t>Diagnostic and error-handling functions.</w:t>
      </w:r>
    </w:p>
    <w:p>
      <w:pPr>
        <w:pStyle w:val="ListBullet"/>
      </w:pPr>
      <w:r>
        <w:t>Technology and motion-control instructions.</w:t>
      </w:r>
    </w:p>
    <w:p>
      <w:pPr>
        <w:pStyle w:val="ListBullet"/>
      </w:pPr>
      <w:r>
        <w:t>Legacy hardware-dependent operations.</w:t>
      </w:r>
    </w:p>
    <w:p>
      <w:pPr>
        <w:pStyle w:val="Heading3"/>
      </w:pPr>
      <w:r>
        <w:t>9.3 Instruction review method</w:t>
      </w:r>
    </w:p>
    <w:p>
      <w:r>
        <w:t>For each unsupported or changed instruction:</w:t>
      </w:r>
    </w:p>
    <w:p>
      <w:pPr>
        <w:tabs>
          <w:tab w:pos="403" w:val="left"/>
        </w:tabs>
        <w:spacing w:after="40" w:line="276" w:lineRule="auto"/>
        <w:ind w:left="403" w:hanging="403"/>
        <w:jc w:val="left"/>
      </w:pPr>
      <w:r>
        <w:rPr>
          <w:color w:val="1A2E4A"/>
        </w:rPr>
        <w:t>1.</w:t>
        <w:tab/>
      </w:r>
      <w:r>
        <w:t>Identify the original instruction and its purpose.</w:t>
      </w:r>
    </w:p>
    <w:p>
      <w:pPr>
        <w:tabs>
          <w:tab w:pos="403" w:val="left"/>
        </w:tabs>
        <w:spacing w:after="40" w:line="276" w:lineRule="auto"/>
        <w:ind w:left="403" w:hanging="403"/>
        <w:jc w:val="left"/>
      </w:pPr>
      <w:r>
        <w:rPr>
          <w:color w:val="1A2E4A"/>
        </w:rPr>
        <w:t>2.</w:t>
        <w:tab/>
      </w:r>
      <w:r>
        <w:t>Determine which machine function depends on it.</w:t>
      </w:r>
    </w:p>
    <w:p>
      <w:pPr>
        <w:tabs>
          <w:tab w:pos="403" w:val="left"/>
        </w:tabs>
        <w:spacing w:after="40" w:line="276" w:lineRule="auto"/>
        <w:ind w:left="403" w:hanging="403"/>
        <w:jc w:val="left"/>
      </w:pPr>
      <w:r>
        <w:rPr>
          <w:color w:val="1A2E4A"/>
        </w:rPr>
        <w:t>3.</w:t>
        <w:tab/>
      </w:r>
      <w:r>
        <w:t>Check the supported target equivalent in the relevant Siemens documentation.</w:t>
      </w:r>
    </w:p>
    <w:p>
      <w:pPr>
        <w:tabs>
          <w:tab w:pos="403" w:val="left"/>
        </w:tabs>
        <w:spacing w:after="40" w:line="276" w:lineRule="auto"/>
        <w:ind w:left="403" w:hanging="403"/>
        <w:jc w:val="left"/>
      </w:pPr>
      <w:r>
        <w:rPr>
          <w:color w:val="1A2E4A"/>
        </w:rPr>
        <w:t>4.</w:t>
        <w:tab/>
      </w:r>
      <w:r>
        <w:t>Rewrite the logic if required.</w:t>
      </w:r>
    </w:p>
    <w:p>
      <w:pPr>
        <w:tabs>
          <w:tab w:pos="403" w:val="left"/>
        </w:tabs>
        <w:spacing w:after="40" w:line="276" w:lineRule="auto"/>
        <w:ind w:left="403" w:hanging="403"/>
        <w:jc w:val="left"/>
      </w:pPr>
      <w:r>
        <w:rPr>
          <w:color w:val="1A2E4A"/>
        </w:rPr>
        <w:t>5.</w:t>
        <w:tab/>
      </w:r>
      <w:r>
        <w:t>Compile the block and review warnings.</w:t>
      </w:r>
    </w:p>
    <w:p>
      <w:pPr>
        <w:tabs>
          <w:tab w:pos="403" w:val="left"/>
        </w:tabs>
        <w:spacing w:after="40" w:line="276" w:lineRule="auto"/>
        <w:ind w:left="403" w:hanging="403"/>
        <w:jc w:val="left"/>
      </w:pPr>
      <w:r>
        <w:rPr>
          <w:color w:val="1A2E4A"/>
        </w:rPr>
        <w:t>6.</w:t>
        <w:tab/>
      </w:r>
      <w:r>
        <w:t>Test normal behavior and boundary conditions.</w:t>
      </w:r>
    </w:p>
    <w:p>
      <w:pPr>
        <w:tabs>
          <w:tab w:pos="403" w:val="left"/>
        </w:tabs>
        <w:spacing w:after="40" w:line="276" w:lineRule="auto"/>
        <w:ind w:left="403" w:hanging="403"/>
        <w:jc w:val="left"/>
      </w:pPr>
      <w:r>
        <w:rPr>
          <w:color w:val="1A2E4A"/>
        </w:rPr>
        <w:t>7.</w:t>
        <w:tab/>
      </w:r>
      <w:r>
        <w:t>Test fault handling and recovery behavior.</w:t>
      </w:r>
    </w:p>
    <w:p>
      <w:r>
        <w:t>A substitute instruction must be functionally appropriate, not merely syntactically similar.</w:t>
      </w:r>
    </w:p>
    <w:p>
      <w:pPr>
        <w:pStyle w:val="Heading2"/>
      </w:pPr>
      <w:r>
        <w:t>10. Timers, Counters, and Edge Detection</w:t>
      </w:r>
    </w:p>
    <w:p>
      <w:r>
        <w:t>Timing behavior is particularly important in automation systems with pneumatic sequences, test cycles, part detection, and drive coordination.</w:t>
      </w:r>
    </w:p>
    <w:p>
      <w:pPr>
        <w:pStyle w:val="Heading3"/>
      </w:pPr>
      <w:r>
        <w:t>10.1 Timers</w:t>
      </w:r>
    </w:p>
    <w:p>
      <w:r>
        <w:t>Check all timer types, time bases, presets, reset conditions, and output behavior. If the program is rewritten using a different timer implementation, verify whether the original timing semantics are preserved.</w:t>
      </w:r>
    </w:p>
    <w:p>
      <w:r>
        <w:t>For example, a clamp sequence may use a timeout to detect failure to reach the closed position. A changed timer start condition or reset condition could cause nuisance faults or delay fault detection.</w:t>
      </w:r>
    </w:p>
    <w:p>
      <w:pPr>
        <w:pStyle w:val="Heading3"/>
      </w:pPr>
      <w:r>
        <w:t>10.2 Counters</w:t>
      </w:r>
    </w:p>
    <w:p>
      <w:r>
        <w:t>Review:</w:t>
      </w:r>
    </w:p>
    <w:p>
      <w:pPr>
        <w:pStyle w:val="ListBullet"/>
      </w:pPr>
      <w:r>
        <w:t>Count-up and count-down behavior.</w:t>
      </w:r>
    </w:p>
    <w:p>
      <w:pPr>
        <w:pStyle w:val="ListBullet"/>
      </w:pPr>
      <w:r>
        <w:t>Reset conditions.</w:t>
      </w:r>
    </w:p>
    <w:p>
      <w:pPr>
        <w:pStyle w:val="ListBullet"/>
      </w:pPr>
      <w:r>
        <w:t>Preset and current values.</w:t>
      </w:r>
    </w:p>
    <w:p>
      <w:pPr>
        <w:pStyle w:val="ListBullet"/>
      </w:pPr>
      <w:r>
        <w:t>Overflow and underflow behavior.</w:t>
      </w:r>
    </w:p>
    <w:p>
      <w:pPr>
        <w:pStyle w:val="ListBullet"/>
      </w:pPr>
      <w:r>
        <w:t>Retention requirements.</w:t>
      </w:r>
    </w:p>
    <w:p>
      <w:pPr>
        <w:pStyle w:val="ListBullet"/>
      </w:pPr>
      <w:r>
        <w:t>High-speed counting functions.</w:t>
      </w:r>
    </w:p>
    <w:p>
      <w:pPr>
        <w:pStyle w:val="ListBullet"/>
      </w:pPr>
      <w:r>
        <w:t>Counter interactions with HMI or external systems.</w:t>
      </w:r>
    </w:p>
    <w:p>
      <w:pPr>
        <w:pStyle w:val="Heading3"/>
      </w:pPr>
      <w:r>
        <w:t>10.3 Edge detection</w:t>
      </w:r>
    </w:p>
    <w:p>
      <w:r>
        <w:t>Rising-edge and falling-edge detection are commonly used to initiate a cycle, capture a measurement, or increment a production count.</w:t>
      </w:r>
    </w:p>
    <w:p>
      <w:r>
        <w:t>Verify that the migrated program detects the intended transition once and does not generate extra events during startup, communication recovery, or changes in signal quality.</w:t>
      </w:r>
    </w:p>
    <w:p>
      <w:pPr>
        <w:pStyle w:val="Heading2"/>
      </w:pPr>
      <w:r>
        <w:t>11. Communication Program Conversion</w:t>
      </w:r>
    </w:p>
    <w:p>
      <w:r>
        <w:t>Communication migration involves both the hardware interface and the software implementing the exchange.</w:t>
      </w:r>
    </w:p>
    <w:p>
      <w:pPr>
        <w:pStyle w:val="Heading3"/>
      </w:pPr>
      <w:r>
        <w:t>11.1 Identify every communication relationship</w:t>
      </w:r>
    </w:p>
    <w:p>
      <w:r>
        <w:t>Create an inventory of connections to:</w:t>
      </w:r>
    </w:p>
    <w:p>
      <w:pPr>
        <w:pStyle w:val="ListBullet"/>
      </w:pPr>
      <w:r>
        <w:t>HMI panels.</w:t>
      </w:r>
    </w:p>
    <w:p>
      <w:pPr>
        <w:pStyle w:val="ListBullet"/>
      </w:pPr>
      <w:r>
        <w:t>Remote I/O.</w:t>
      </w:r>
    </w:p>
    <w:p>
      <w:pPr>
        <w:pStyle w:val="ListBullet"/>
      </w:pPr>
      <w:r>
        <w:t>Variable-frequency drives.</w:t>
      </w:r>
    </w:p>
    <w:p>
      <w:pPr>
        <w:pStyle w:val="ListBullet"/>
      </w:pPr>
      <w:r>
        <w:t>Servo drives.</w:t>
      </w:r>
    </w:p>
    <w:p>
      <w:pPr>
        <w:pStyle w:val="ListBullet"/>
      </w:pPr>
      <w:r>
        <w:t>Robots and CNC controllers.</w:t>
      </w:r>
    </w:p>
    <w:p>
      <w:pPr>
        <w:pStyle w:val="ListBullet"/>
      </w:pPr>
      <w:r>
        <w:t>Barcode scanners and printers.</w:t>
      </w:r>
    </w:p>
    <w:p>
      <w:pPr>
        <w:pStyle w:val="ListBullet"/>
      </w:pPr>
      <w:r>
        <w:t>Measurement instruments.</w:t>
      </w:r>
    </w:p>
    <w:p>
      <w:pPr>
        <w:pStyle w:val="ListBullet"/>
      </w:pPr>
      <w:r>
        <w:t>SCADA and historian systems.</w:t>
      </w:r>
    </w:p>
    <w:p>
      <w:pPr>
        <w:pStyle w:val="ListBullet"/>
      </w:pPr>
      <w:r>
        <w:t>OPC servers and PC applications.</w:t>
      </w:r>
    </w:p>
    <w:p>
      <w:pPr>
        <w:pStyle w:val="ListBullet"/>
      </w:pPr>
      <w:r>
        <w:t>Other PLCs and industrial gateways.</w:t>
      </w:r>
    </w:p>
    <w:p>
      <w:r>
        <w:t>For each relationship, record the protocol, device identity, data exchanged, update requirements, timeout behavior, and failure response.</w:t>
      </w:r>
    </w:p>
    <w:p>
      <w:pPr>
        <w:pStyle w:val="Heading3"/>
      </w:pPr>
      <w:r>
        <w:t>11.2 Communication block compatibility</w:t>
      </w:r>
    </w:p>
    <w:p>
      <w:r>
        <w:t>A legacy program may use communication blocks or system functions designed for an older CPU or communication processor.</w:t>
      </w:r>
    </w:p>
    <w:p>
      <w:r>
        <w:t>During migration, check whether:</w:t>
      </w:r>
    </w:p>
    <w:p>
      <w:pPr>
        <w:pStyle w:val="ListBullet"/>
      </w:pPr>
      <w:r>
        <w:t>The original communication mechanism is supported.</w:t>
      </w:r>
    </w:p>
    <w:p>
      <w:pPr>
        <w:pStyle w:val="ListBullet"/>
      </w:pPr>
      <w:r>
        <w:t>The target CPU provides the required interface.</w:t>
      </w:r>
    </w:p>
    <w:p>
      <w:pPr>
        <w:pStyle w:val="ListBullet"/>
      </w:pPr>
      <w:r>
        <w:t>A new communication module is required.</w:t>
      </w:r>
    </w:p>
    <w:p>
      <w:pPr>
        <w:pStyle w:val="ListBullet"/>
      </w:pPr>
      <w:r>
        <w:t>Connection parameters must be recreated.</w:t>
      </w:r>
    </w:p>
    <w:p>
      <w:pPr>
        <w:pStyle w:val="ListBullet"/>
      </w:pPr>
      <w:r>
        <w:t>Data structures or telegrams must be changed.</w:t>
      </w:r>
    </w:p>
    <w:p>
      <w:pPr>
        <w:pStyle w:val="ListBullet"/>
      </w:pPr>
      <w:r>
        <w:t>Timeout and error-handling logic remains valid.</w:t>
      </w:r>
    </w:p>
    <w:p>
      <w:pPr>
        <w:pStyle w:val="Heading3"/>
      </w:pPr>
      <w:r>
        <w:t>11.3 Communication testing</w:t>
      </w:r>
    </w:p>
    <w:p>
      <w:r>
        <w:t>Test each connection independently before running the complete production sequence.</w:t>
      </w:r>
    </w:p>
    <w:p>
      <w:r>
        <w:t>Verify:</w:t>
      </w:r>
    </w:p>
    <w:p>
      <w:pPr>
        <w:pStyle w:val="ListBullet"/>
      </w:pPr>
      <w:r>
        <w:t>Connection establishment.</w:t>
      </w:r>
    </w:p>
    <w:p>
      <w:pPr>
        <w:pStyle w:val="ListBullet"/>
      </w:pPr>
      <w:r>
        <w:t>Correct data direction.</w:t>
      </w:r>
    </w:p>
    <w:p>
      <w:pPr>
        <w:pStyle w:val="ListBullet"/>
      </w:pPr>
      <w:r>
        <w:t>Correct data type and byte order where applicable.</w:t>
      </w:r>
    </w:p>
    <w:p>
      <w:pPr>
        <w:pStyle w:val="ListBullet"/>
      </w:pPr>
      <w:r>
        <w:t>Update rate and timeout behavior.</w:t>
      </w:r>
    </w:p>
    <w:p>
      <w:pPr>
        <w:pStyle w:val="ListBullet"/>
      </w:pPr>
      <w:r>
        <w:t>Error detection and diagnostic reporting.</w:t>
      </w:r>
    </w:p>
    <w:p>
      <w:pPr>
        <w:pStyle w:val="ListBullet"/>
      </w:pPr>
      <w:r>
        <w:t>Recovery after communication interruption.</w:t>
      </w:r>
    </w:p>
    <w:p>
      <w:pPr>
        <w:pStyle w:val="ListBullet"/>
      </w:pPr>
      <w:r>
        <w:t>Correct handling of stale or invalid data.</w:t>
      </w:r>
    </w:p>
    <w:p>
      <w:r>
        <w:t>A communication indicator showing “connected” is not proof that the data values are correct.</w:t>
      </w:r>
    </w:p>
    <w:p>
      <w:pPr>
        <w:pStyle w:val="Heading2"/>
      </w:pPr>
      <w:r>
        <w:t>12. HMI and SCADA Software Dependencies</w:t>
      </w:r>
    </w:p>
    <w:p>
      <w:r>
        <w:t>HMI migration is often a separate engineering activity. A PLC project conversion does not guarantee that the existing HMI project, panel, communication driver, or external SCADA application remains compatible.</w:t>
      </w:r>
    </w:p>
    <w:p>
      <w:pPr>
        <w:pStyle w:val="Heading3"/>
      </w:pPr>
      <w:r>
        <w:t>12.1 HMI checks</w:t>
      </w:r>
    </w:p>
    <w:p>
      <w:r>
        <w:t>Review:</w:t>
      </w:r>
    </w:p>
    <w:p>
      <w:pPr>
        <w:pStyle w:val="ListBullet"/>
      </w:pPr>
      <w:r>
        <w:t>PLC connection parameters.</w:t>
      </w:r>
    </w:p>
    <w:p>
      <w:pPr>
        <w:pStyle w:val="ListBullet"/>
      </w:pPr>
      <w:r>
        <w:t>Screen tags and address references.</w:t>
      </w:r>
    </w:p>
    <w:p>
      <w:pPr>
        <w:pStyle w:val="ListBullet"/>
      </w:pPr>
      <w:r>
        <w:t>Alarm definitions.</w:t>
      </w:r>
    </w:p>
    <w:p>
      <w:pPr>
        <w:pStyle w:val="ListBullet"/>
      </w:pPr>
      <w:r>
        <w:t>Recipes and parameter handling.</w:t>
      </w:r>
    </w:p>
    <w:p>
      <w:pPr>
        <w:pStyle w:val="ListBullet"/>
      </w:pPr>
      <w:r>
        <w:t>User permissions.</w:t>
      </w:r>
    </w:p>
    <w:p>
      <w:pPr>
        <w:pStyle w:val="ListBullet"/>
      </w:pPr>
      <w:r>
        <w:t>Data logging and trends.</w:t>
      </w:r>
    </w:p>
    <w:p>
      <w:pPr>
        <w:pStyle w:val="ListBullet"/>
      </w:pPr>
      <w:r>
        <w:t>Button actions and interlocks.</w:t>
      </w:r>
    </w:p>
    <w:p>
      <w:pPr>
        <w:pStyle w:val="ListBullet"/>
      </w:pPr>
      <w:r>
        <w:t>Startup screens and diagnostic displays.</w:t>
      </w:r>
    </w:p>
    <w:p>
      <w:pPr>
        <w:pStyle w:val="ListBullet"/>
      </w:pPr>
      <w:r>
        <w:t>Communication loss behavior.</w:t>
      </w:r>
    </w:p>
    <w:p>
      <w:pPr>
        <w:pStyle w:val="ListBullet"/>
      </w:pPr>
      <w:r>
        <w:t>Panel model and supported engineering software.</w:t>
      </w:r>
    </w:p>
    <w:p>
      <w:pPr>
        <w:pStyle w:val="Heading3"/>
      </w:pPr>
      <w:r>
        <w:t>12.2 SCADA and PC integration</w:t>
      </w:r>
    </w:p>
    <w:p>
      <w:r>
        <w:t>For systems using OPC, SQL databases, Node-RED, Grafana, or custom applications, verify the interface between the external system and the new PLC.</w:t>
      </w:r>
    </w:p>
    <w:p>
      <w:r>
        <w:t>Check whether the external system depends on:</w:t>
      </w:r>
    </w:p>
    <w:p>
      <w:pPr>
        <w:pStyle w:val="ListBullet"/>
      </w:pPr>
      <w:r>
        <w:t>Fixed DB offsets.</w:t>
      </w:r>
    </w:p>
    <w:p>
      <w:pPr>
        <w:pStyle w:val="ListBullet"/>
      </w:pPr>
      <w:r>
        <w:t>Absolute PLC addresses.</w:t>
      </w:r>
    </w:p>
    <w:p>
      <w:pPr>
        <w:pStyle w:val="ListBullet"/>
      </w:pPr>
      <w:r>
        <w:t>Legacy communication drivers.</w:t>
      </w:r>
    </w:p>
    <w:p>
      <w:pPr>
        <w:pStyle w:val="ListBullet"/>
      </w:pPr>
      <w:r>
        <w:t>Particular data types or structures.</w:t>
      </w:r>
    </w:p>
    <w:p>
      <w:pPr>
        <w:pStyle w:val="ListBullet"/>
      </w:pPr>
      <w:r>
        <w:t>Existing IP addresses or device names.</w:t>
      </w:r>
    </w:p>
    <w:p>
      <w:pPr>
        <w:pStyle w:val="ListBullet"/>
      </w:pPr>
      <w:r>
        <w:t>A particular polling rate.</w:t>
      </w:r>
    </w:p>
    <w:p>
      <w:pPr>
        <w:pStyle w:val="ListBullet"/>
      </w:pPr>
      <w:r>
        <w:t>Specific status and fault bits.</w:t>
      </w:r>
    </w:p>
    <w:p>
      <w:r>
        <w:t>If the PLC data structure changes, the external application may need corresponding updates. Treat this as an explicit migration workstream, not an afterthought.</w:t>
      </w:r>
    </w:p>
    <w:p>
      <w:pPr>
        <w:pStyle w:val="Heading2"/>
      </w:pPr>
      <w:r>
        <w:t>13. Libraries, Protected Blocks, and Third-Party Dependencies</w:t>
      </w:r>
    </w:p>
    <w:p>
      <w:pPr>
        <w:pStyle w:val="Heading3"/>
      </w:pPr>
      <w:r>
        <w:t>13.1 Libraries</w:t>
      </w:r>
    </w:p>
    <w:p>
      <w:r>
        <w:t>A legacy project may contain standard blocks, manufacturer-supplied libraries, or custom reusable code. Each dependency must be checked for compatibility with the target environment.</w:t>
      </w:r>
    </w:p>
    <w:p>
      <w:r>
        <w:t>Record the library name, version, required hardware, source availability, and any licensing restrictions.</w:t>
      </w:r>
    </w:p>
    <w:p>
      <w:pPr>
        <w:pStyle w:val="Heading3"/>
      </w:pPr>
      <w:r>
        <w:t>13.2 Protected blocks</w:t>
      </w:r>
    </w:p>
    <w:p>
      <w:r>
        <w:t>Know-how-protected or password-protected blocks may limit inspection or modification. A conversion process cannot be assumed to remove these restrictions.</w:t>
      </w:r>
    </w:p>
    <w:p>
      <w:r>
        <w:t>Before migration, determine whether the required blocks can be transferred, compiled, or replaced under the available permissions and licences.</w:t>
      </w:r>
    </w:p>
    <w:p>
      <w:pPr>
        <w:pStyle w:val="Heading3"/>
      </w:pPr>
      <w:r>
        <w:t>13.3 Third-party dependencies</w:t>
      </w:r>
    </w:p>
    <w:p>
      <w:r>
        <w:t>Examples include:</w:t>
      </w:r>
    </w:p>
    <w:p>
      <w:pPr>
        <w:pStyle w:val="ListBullet"/>
      </w:pPr>
      <w:r>
        <w:t>Vendor communication blocks.</w:t>
      </w:r>
    </w:p>
    <w:p>
      <w:pPr>
        <w:pStyle w:val="ListBullet"/>
      </w:pPr>
      <w:r>
        <w:t>Special measurement functions.</w:t>
      </w:r>
    </w:p>
    <w:p>
      <w:pPr>
        <w:pStyle w:val="ListBullet"/>
      </w:pPr>
      <w:r>
        <w:t>Barcode or identification libraries.</w:t>
      </w:r>
    </w:p>
    <w:p>
      <w:pPr>
        <w:pStyle w:val="ListBullet"/>
      </w:pPr>
      <w:r>
        <w:t>Drive and motion libraries.</w:t>
      </w:r>
    </w:p>
    <w:p>
      <w:pPr>
        <w:pStyle w:val="ListBullet"/>
      </w:pPr>
      <w:r>
        <w:t>Custom diagnostic functions.</w:t>
      </w:r>
    </w:p>
    <w:p>
      <w:pPr>
        <w:pStyle w:val="ListBullet"/>
      </w:pPr>
      <w:r>
        <w:t>Device-specific technology blocks.</w:t>
      </w:r>
    </w:p>
    <w:p>
      <w:r>
        <w:t>Obtain the supported target version from the relevant supplier or identify a verified replacement. Do not replace a black-box library with guessed logic and call it equivalent.</w:t>
      </w:r>
    </w:p>
    <w:p>
      <w:pPr>
        <w:pStyle w:val="Heading2"/>
      </w:pPr>
      <w:r>
        <w:t>14. Compile Errors, Warnings, and Conversion Messages</w:t>
      </w:r>
    </w:p>
    <w:p>
      <w:r>
        <w:t>Compilation is necessary, but it is only one stage of validation.</w:t>
      </w:r>
    </w:p>
    <w:p>
      <w:pPr>
        <w:pStyle w:val="Heading3"/>
      </w:pPr>
      <w:r>
        <w:t>14.1 Error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Category</w:t>
            </w:r>
          </w:p>
        </w:tc>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Required response</w:t>
            </w:r>
          </w:p>
        </w:tc>
      </w:tr>
      <w:tr>
        <w:tc>
          <w:tcPr>
            <w:tcW w:type="dxa" w:w="3600"/>
          </w:tcPr>
          <w:p>
            <w:pPr>
              <w:spacing w:after="0" w:before="0" w:line="240" w:lineRule="auto"/>
              <w:jc w:val="left"/>
            </w:pPr>
            <w:r>
              <w:t>Unsupported hardware</w:t>
            </w:r>
          </w:p>
        </w:tc>
        <w:tc>
          <w:tcPr>
            <w:tcW w:type="dxa" w:w="3600"/>
          </w:tcPr>
          <w:p>
            <w:pPr>
              <w:spacing w:after="0" w:before="0" w:line="240" w:lineRule="auto"/>
              <w:jc w:val="left"/>
            </w:pPr>
            <w:r>
              <w:t>Legacy module absent from the target configuration</w:t>
            </w:r>
          </w:p>
        </w:tc>
        <w:tc>
          <w:tcPr>
            <w:tcW w:type="dxa" w:w="3600"/>
          </w:tcPr>
          <w:p>
            <w:pPr>
              <w:spacing w:after="0" w:before="0" w:line="240" w:lineRule="auto"/>
              <w:jc w:val="left"/>
            </w:pPr>
            <w:r>
              <w:t>Select a supported module or redesign the configuration</w:t>
            </w:r>
          </w:p>
        </w:tc>
      </w:tr>
      <w:tr>
        <w:tc>
          <w:tcPr>
            <w:tcW w:type="dxa" w:w="3600"/>
          </w:tcPr>
          <w:p>
            <w:pPr>
              <w:spacing w:after="0" w:before="0" w:line="240" w:lineRule="auto"/>
              <w:jc w:val="left"/>
            </w:pPr>
            <w:r>
              <w:t>Unsupported instruction</w:t>
            </w:r>
          </w:p>
        </w:tc>
        <w:tc>
          <w:tcPr>
            <w:tcW w:type="dxa" w:w="3600"/>
          </w:tcPr>
          <w:p>
            <w:pPr>
              <w:spacing w:after="0" w:before="0" w:line="240" w:lineRule="auto"/>
              <w:jc w:val="left"/>
            </w:pPr>
            <w:r>
              <w:t>Legacy instruction unavailable on the target CPU</w:t>
            </w:r>
          </w:p>
        </w:tc>
        <w:tc>
          <w:tcPr>
            <w:tcW w:type="dxa" w:w="3600"/>
          </w:tcPr>
          <w:p>
            <w:pPr>
              <w:spacing w:after="0" w:before="0" w:line="240" w:lineRule="auto"/>
              <w:jc w:val="left"/>
            </w:pPr>
            <w:r>
              <w:t>Find a supported equivalent or rewrite the block</w:t>
            </w:r>
          </w:p>
        </w:tc>
      </w:tr>
      <w:tr>
        <w:tc>
          <w:tcPr>
            <w:tcW w:type="dxa" w:w="3600"/>
          </w:tcPr>
          <w:p>
            <w:pPr>
              <w:spacing w:after="0" w:before="0" w:line="240" w:lineRule="auto"/>
              <w:jc w:val="left"/>
            </w:pPr>
            <w:r>
              <w:t>Data-type mismatch</w:t>
            </w:r>
          </w:p>
        </w:tc>
        <w:tc>
          <w:tcPr>
            <w:tcW w:type="dxa" w:w="3600"/>
          </w:tcPr>
          <w:p>
            <w:pPr>
              <w:spacing w:after="0" w:before="0" w:line="240" w:lineRule="auto"/>
              <w:jc w:val="left"/>
            </w:pPr>
            <w:r>
              <w:t>A value no longer matches a block interface</w:t>
            </w:r>
          </w:p>
        </w:tc>
        <w:tc>
          <w:tcPr>
            <w:tcW w:type="dxa" w:w="3600"/>
          </w:tcPr>
          <w:p>
            <w:pPr>
              <w:spacing w:after="0" w:before="0" w:line="240" w:lineRule="auto"/>
              <w:jc w:val="left"/>
            </w:pPr>
            <w:r>
              <w:t>Correct the interface and verify data interpretation</w:t>
            </w:r>
          </w:p>
        </w:tc>
      </w:tr>
      <w:tr>
        <w:tc>
          <w:tcPr>
            <w:tcW w:type="dxa" w:w="3600"/>
          </w:tcPr>
          <w:p>
            <w:pPr>
              <w:spacing w:after="0" w:before="0" w:line="240" w:lineRule="auto"/>
              <w:jc w:val="left"/>
            </w:pPr>
            <w:r>
              <w:t>Addressing issue</w:t>
            </w:r>
          </w:p>
        </w:tc>
        <w:tc>
          <w:tcPr>
            <w:tcW w:type="dxa" w:w="3600"/>
          </w:tcPr>
          <w:p>
            <w:pPr>
              <w:spacing w:after="0" w:before="0" w:line="240" w:lineRule="auto"/>
              <w:jc w:val="left"/>
            </w:pPr>
            <w:r>
              <w:t>Old absolute address is no longer valid</w:t>
            </w:r>
          </w:p>
        </w:tc>
        <w:tc>
          <w:tcPr>
            <w:tcW w:type="dxa" w:w="3600"/>
          </w:tcPr>
          <w:p>
            <w:pPr>
              <w:spacing w:after="0" w:before="0" w:line="240" w:lineRule="auto"/>
              <w:jc w:val="left"/>
            </w:pPr>
            <w:r>
              <w:t>Update the mapping and dependent references</w:t>
            </w:r>
          </w:p>
        </w:tc>
      </w:tr>
      <w:tr>
        <w:tc>
          <w:tcPr>
            <w:tcW w:type="dxa" w:w="3600"/>
          </w:tcPr>
          <w:p>
            <w:pPr>
              <w:spacing w:after="0" w:before="0" w:line="240" w:lineRule="auto"/>
              <w:jc w:val="left"/>
            </w:pPr>
            <w:r>
              <w:t>Missing library</w:t>
            </w:r>
          </w:p>
        </w:tc>
        <w:tc>
          <w:tcPr>
            <w:tcW w:type="dxa" w:w="3600"/>
          </w:tcPr>
          <w:p>
            <w:pPr>
              <w:spacing w:after="0" w:before="0" w:line="240" w:lineRule="auto"/>
              <w:jc w:val="left"/>
            </w:pPr>
            <w:r>
              <w:t>Required block or library is unavailable</w:t>
            </w:r>
          </w:p>
        </w:tc>
        <w:tc>
          <w:tcPr>
            <w:tcW w:type="dxa" w:w="3600"/>
          </w:tcPr>
          <w:p>
            <w:pPr>
              <w:spacing w:after="0" w:before="0" w:line="240" w:lineRule="auto"/>
              <w:jc w:val="left"/>
            </w:pPr>
            <w:r>
              <w:t>Obtain a supported version or replace the dependency</w:t>
            </w:r>
          </w:p>
        </w:tc>
      </w:tr>
      <w:tr>
        <w:tc>
          <w:tcPr>
            <w:tcW w:type="dxa" w:w="3600"/>
          </w:tcPr>
          <w:p>
            <w:pPr>
              <w:spacing w:after="0" w:before="0" w:line="240" w:lineRule="auto"/>
              <w:jc w:val="left"/>
            </w:pPr>
            <w:r>
              <w:t>Communication configuration</w:t>
            </w:r>
          </w:p>
        </w:tc>
        <w:tc>
          <w:tcPr>
            <w:tcW w:type="dxa" w:w="3600"/>
          </w:tcPr>
          <w:p>
            <w:pPr>
              <w:spacing w:after="0" w:before="0" w:line="240" w:lineRule="auto"/>
              <w:jc w:val="left"/>
            </w:pPr>
            <w:r>
              <w:t>Legacy connection cannot be recreated directly</w:t>
            </w:r>
          </w:p>
        </w:tc>
        <w:tc>
          <w:tcPr>
            <w:tcW w:type="dxa" w:w="3600"/>
          </w:tcPr>
          <w:p>
            <w:pPr>
              <w:spacing w:after="0" w:before="0" w:line="240" w:lineRule="auto"/>
              <w:jc w:val="left"/>
            </w:pPr>
            <w:r>
              <w:t>Redesign and validate the connection</w:t>
            </w:r>
          </w:p>
        </w:tc>
      </w:tr>
      <w:tr>
        <w:tc>
          <w:tcPr>
            <w:tcW w:type="dxa" w:w="3600"/>
          </w:tcPr>
          <w:p>
            <w:pPr>
              <w:spacing w:after="0" w:before="0" w:line="240" w:lineRule="auto"/>
              <w:jc w:val="left"/>
            </w:pPr>
            <w:r>
              <w:t>Retentivity issue</w:t>
            </w:r>
          </w:p>
        </w:tc>
        <w:tc>
          <w:tcPr>
            <w:tcW w:type="dxa" w:w="3600"/>
          </w:tcPr>
          <w:p>
            <w:pPr>
              <w:spacing w:after="0" w:before="0" w:line="240" w:lineRule="auto"/>
              <w:jc w:val="left"/>
            </w:pPr>
            <w:r>
              <w:t>Data no longer has the intended retention behavior</w:t>
            </w:r>
          </w:p>
        </w:tc>
        <w:tc>
          <w:tcPr>
            <w:tcW w:type="dxa" w:w="3600"/>
          </w:tcPr>
          <w:p>
            <w:pPr>
              <w:spacing w:after="0" w:before="0" w:line="240" w:lineRule="auto"/>
              <w:jc w:val="left"/>
            </w:pPr>
            <w:r>
              <w:t>Configure and test data retention explicitly</w:t>
            </w:r>
          </w:p>
        </w:tc>
      </w:tr>
      <w:tr>
        <w:tc>
          <w:tcPr>
            <w:tcW w:type="dxa" w:w="3600"/>
          </w:tcPr>
          <w:p>
            <w:pPr>
              <w:spacing w:after="0" w:before="0" w:line="240" w:lineRule="auto"/>
              <w:jc w:val="left"/>
            </w:pPr>
            <w:r>
              <w:t>Timing change</w:t>
            </w:r>
          </w:p>
        </w:tc>
        <w:tc>
          <w:tcPr>
            <w:tcW w:type="dxa" w:w="3600"/>
          </w:tcPr>
          <w:p>
            <w:pPr>
              <w:spacing w:after="0" w:before="0" w:line="240" w:lineRule="auto"/>
              <w:jc w:val="left"/>
            </w:pPr>
            <w:r>
              <w:t>Execution or event behavior differs</w:t>
            </w:r>
          </w:p>
        </w:tc>
        <w:tc>
          <w:tcPr>
            <w:tcW w:type="dxa" w:w="3600"/>
          </w:tcPr>
          <w:p>
            <w:pPr>
              <w:spacing w:after="0" w:before="0" w:line="240" w:lineRule="auto"/>
              <w:jc w:val="left"/>
            </w:pPr>
            <w:r>
              <w:t>Test timing requirements and sequence behavior</w:t>
            </w:r>
          </w:p>
        </w:tc>
      </w:tr>
    </w:tbl>
    <w:p/>
    <w:p>
      <w:pPr>
        <w:pStyle w:val="Heading3"/>
      </w:pPr>
      <w:r>
        <w:t>14.2 Error-handling method</w:t>
      </w:r>
    </w:p>
    <w:p>
      <w:r>
        <w:t>For each error or warning:</w:t>
      </w:r>
    </w:p>
    <w:p>
      <w:pPr>
        <w:tabs>
          <w:tab w:pos="403" w:val="left"/>
        </w:tabs>
        <w:spacing w:after="40" w:line="276" w:lineRule="auto"/>
        <w:ind w:left="403" w:hanging="403"/>
        <w:jc w:val="left"/>
      </w:pPr>
      <w:r>
        <w:rPr>
          <w:color w:val="1A2E4A"/>
        </w:rPr>
        <w:t>1.</w:t>
        <w:tab/>
      </w:r>
      <w:r>
        <w:t>Save the full message and identify the affected block or device.</w:t>
      </w:r>
    </w:p>
    <w:p>
      <w:pPr>
        <w:tabs>
          <w:tab w:pos="403" w:val="left"/>
        </w:tabs>
        <w:spacing w:after="40" w:line="276" w:lineRule="auto"/>
        <w:ind w:left="403" w:hanging="403"/>
        <w:jc w:val="left"/>
      </w:pPr>
      <w:r>
        <w:rPr>
          <w:color w:val="1A2E4A"/>
        </w:rPr>
        <w:t>2.</w:t>
        <w:tab/>
      </w:r>
      <w:r>
        <w:t>Determine whether the message concerns hardware, syntax, data layout, or behavior.</w:t>
      </w:r>
    </w:p>
    <w:p>
      <w:pPr>
        <w:tabs>
          <w:tab w:pos="403" w:val="left"/>
        </w:tabs>
        <w:spacing w:after="40" w:line="276" w:lineRule="auto"/>
        <w:ind w:left="403" w:hanging="403"/>
        <w:jc w:val="left"/>
      </w:pPr>
      <w:r>
        <w:rPr>
          <w:color w:val="1A2E4A"/>
        </w:rPr>
        <w:t>3.</w:t>
        <w:tab/>
      </w:r>
      <w:r>
        <w:t>Resolve the underlying cause rather than suppressing the message.</w:t>
      </w:r>
    </w:p>
    <w:p>
      <w:pPr>
        <w:tabs>
          <w:tab w:pos="403" w:val="left"/>
        </w:tabs>
        <w:spacing w:after="40" w:line="276" w:lineRule="auto"/>
        <w:ind w:left="403" w:hanging="403"/>
        <w:jc w:val="left"/>
      </w:pPr>
      <w:r>
        <w:rPr>
          <w:color w:val="1A2E4A"/>
        </w:rPr>
        <w:t>4.</w:t>
        <w:tab/>
      </w:r>
      <w:r>
        <w:t>Recompile the affected block or device.</w:t>
      </w:r>
    </w:p>
    <w:p>
      <w:pPr>
        <w:tabs>
          <w:tab w:pos="403" w:val="left"/>
        </w:tabs>
        <w:spacing w:after="40" w:line="276" w:lineRule="auto"/>
        <w:ind w:left="403" w:hanging="403"/>
        <w:jc w:val="left"/>
      </w:pPr>
      <w:r>
        <w:rPr>
          <w:color w:val="1A2E4A"/>
        </w:rPr>
        <w:t>5.</w:t>
        <w:tab/>
      </w:r>
      <w:r>
        <w:t>Perform a project-wide compile.</w:t>
      </w:r>
    </w:p>
    <w:p>
      <w:pPr>
        <w:tabs>
          <w:tab w:pos="403" w:val="left"/>
        </w:tabs>
        <w:spacing w:after="40" w:line="276" w:lineRule="auto"/>
        <w:ind w:left="403" w:hanging="403"/>
        <w:jc w:val="left"/>
      </w:pPr>
      <w:r>
        <w:rPr>
          <w:color w:val="1A2E4A"/>
        </w:rPr>
        <w:t>6.</w:t>
        <w:tab/>
      </w:r>
      <w:r>
        <w:t>Review cross-references and dependent blocks.</w:t>
      </w:r>
    </w:p>
    <w:p>
      <w:pPr>
        <w:tabs>
          <w:tab w:pos="403" w:val="left"/>
        </w:tabs>
        <w:spacing w:after="40" w:line="276" w:lineRule="auto"/>
        <w:ind w:left="403" w:hanging="403"/>
        <w:jc w:val="left"/>
      </w:pPr>
      <w:r>
        <w:rPr>
          <w:color w:val="1A2E4A"/>
        </w:rPr>
        <w:t>7.</w:t>
        <w:tab/>
      </w:r>
      <w:r>
        <w:t>Record the resolution and the test evidence.</w:t>
      </w:r>
    </w:p>
    <w:p>
      <w:r>
        <w:t>A clean compile confirms that the engineering environment accepts the project configuration and program under its rules. It does not prove that the physical machine will operate correctly.</w:t>
      </w:r>
    </w:p>
    <w:p>
      <w:pPr>
        <w:pStyle w:val="Heading2"/>
      </w:pPr>
      <w:r>
        <w:t>15. Software Validation and Regression Testing</w:t>
      </w:r>
    </w:p>
    <w:p>
      <w:pPr>
        <w:pStyle w:val="Heading3"/>
      </w:pPr>
      <w:r>
        <w:t>15.1 What must be validated</w:t>
      </w:r>
    </w:p>
    <w:p>
      <w:r>
        <w:t>The converted application must be checked against the original functional requirements.</w:t>
      </w:r>
    </w:p>
    <w:p>
      <w:r>
        <w:t>Important areas include:</w:t>
      </w:r>
    </w:p>
    <w:p>
      <w:pPr>
        <w:pStyle w:val="ListBullet"/>
      </w:pPr>
      <w:r>
        <w:t>Startup and initialisation.</w:t>
      </w:r>
    </w:p>
    <w:p>
      <w:pPr>
        <w:pStyle w:val="ListBullet"/>
      </w:pPr>
      <w:r>
        <w:t>Manual and automatic operating modes.</w:t>
      </w:r>
    </w:p>
    <w:p>
      <w:pPr>
        <w:pStyle w:val="ListBullet"/>
      </w:pPr>
      <w:r>
        <w:t>Sequence progression.</w:t>
      </w:r>
    </w:p>
    <w:p>
      <w:pPr>
        <w:pStyle w:val="ListBullet"/>
      </w:pPr>
      <w:r>
        <w:t>Sensor interlocks.</w:t>
      </w:r>
    </w:p>
    <w:p>
      <w:pPr>
        <w:pStyle w:val="ListBullet"/>
      </w:pPr>
      <w:r>
        <w:t>Output commands.</w:t>
      </w:r>
    </w:p>
    <w:p>
      <w:pPr>
        <w:pStyle w:val="ListBullet"/>
      </w:pPr>
      <w:r>
        <w:t>Timer and counter behavior.</w:t>
      </w:r>
    </w:p>
    <w:p>
      <w:pPr>
        <w:pStyle w:val="ListBullet"/>
      </w:pPr>
      <w:r>
        <w:t>Analog scaling and limits.</w:t>
      </w:r>
    </w:p>
    <w:p>
      <w:pPr>
        <w:pStyle w:val="ListBullet"/>
      </w:pPr>
      <w:r>
        <w:t>Communication and data exchange.</w:t>
      </w:r>
    </w:p>
    <w:p>
      <w:pPr>
        <w:pStyle w:val="ListBullet"/>
      </w:pPr>
      <w:r>
        <w:t>Alarm generation and reset behavior.</w:t>
      </w:r>
    </w:p>
    <w:p>
      <w:pPr>
        <w:pStyle w:val="ListBullet"/>
      </w:pPr>
      <w:r>
        <w:t>Abnormal conditions and recovery.</w:t>
      </w:r>
    </w:p>
    <w:p>
      <w:pPr>
        <w:pStyle w:val="ListBullet"/>
      </w:pPr>
      <w:r>
        <w:t>Retentive data and power-cycle behavior.</w:t>
      </w:r>
    </w:p>
    <w:p>
      <w:pPr>
        <w:pStyle w:val="ListBullet"/>
      </w:pPr>
      <w:r>
        <w:t>Safety-related behavior under the approved validation procedure.</w:t>
      </w:r>
    </w:p>
    <w:p>
      <w:pPr>
        <w:pStyle w:val="Heading3"/>
      </w:pPr>
      <w:r>
        <w:t>15.2 Test evidence</w:t>
      </w:r>
    </w:p>
    <w:p>
      <w:r>
        <w:t>Record expected behavior, actual behavior, acceptance criteria, test conditions, and results. A test that merely demonstrates one successful production cycle is insufficient for a complex machine.</w:t>
      </w:r>
    </w:p>
    <w:p>
      <w:pPr>
        <w:pStyle w:val="Heading3"/>
      </w:pPr>
      <w:r>
        <w:t>15.3 Regression testing</w:t>
      </w:r>
    </w:p>
    <w:p>
      <w:r>
        <w:t>Regression testing verifies that previously working functions remain correct after conversion or modification.</w:t>
      </w:r>
    </w:p>
    <w:p>
      <w:r>
        <w:t>For a test bench, regression tests may include:</w:t>
      </w:r>
    </w:p>
    <w:p>
      <w:pPr>
        <w:pStyle w:val="ListBullet"/>
      </w:pPr>
      <w:r>
        <w:t>Fixture clamping and unclamping.</w:t>
      </w:r>
    </w:p>
    <w:p>
      <w:pPr>
        <w:pStyle w:val="ListBullet"/>
      </w:pPr>
      <w:r>
        <w:t>Part-presence detection.</w:t>
      </w:r>
    </w:p>
    <w:p>
      <w:pPr>
        <w:pStyle w:val="ListBullet"/>
      </w:pPr>
      <w:r>
        <w:t>Measurement triggering.</w:t>
      </w:r>
    </w:p>
    <w:p>
      <w:pPr>
        <w:pStyle w:val="ListBullet"/>
      </w:pPr>
      <w:r>
        <w:t>Pressure or force limits.</w:t>
      </w:r>
    </w:p>
    <w:p>
      <w:pPr>
        <w:pStyle w:val="ListBullet"/>
      </w:pPr>
      <w:r>
        <w:t>Pass/fail result handling.</w:t>
      </w:r>
    </w:p>
    <w:p>
      <w:pPr>
        <w:pStyle w:val="ListBullet"/>
      </w:pPr>
      <w:r>
        <w:t>Data transfer to the HMI or production system.</w:t>
      </w:r>
    </w:p>
    <w:p>
      <w:pPr>
        <w:pStyle w:val="ListBullet"/>
      </w:pPr>
      <w:r>
        <w:t>Cycle timeout and fault recovery.</w:t>
      </w:r>
    </w:p>
    <w:p>
      <w:pPr>
        <w:pStyle w:val="ListBullet"/>
      </w:pPr>
      <w:r>
        <w:t>Emergency-stop and guard-related behavior under the approved safety test plan.</w:t>
      </w:r>
    </w:p>
    <w:p>
      <w:r>
        <w:t>Any change to program logic, I/O mapping, data structures, or communication can create secondary effects that must be checked.</w:t>
      </w:r>
    </w:p>
    <w:p>
      <w:pPr>
        <w:pStyle w:val="Heading2"/>
      </w:pPr>
      <w:r>
        <w:t>16. Recommended STEP 7 to TIA Portal Workflow</w:t>
      </w:r>
    </w:p>
    <w:p>
      <w:pPr>
        <w:pStyle w:val="Heading3"/>
      </w:pPr>
      <w:r>
        <w:t>Phase 1: Assessment</w:t>
      </w:r>
    </w:p>
    <w:p>
      <w:pPr>
        <w:pStyle w:val="ListBullet"/>
      </w:pPr>
      <w:r>
        <w:t>Identify the source project version and target environment.</w:t>
      </w:r>
    </w:p>
    <w:p>
      <w:pPr>
        <w:pStyle w:val="ListBullet"/>
      </w:pPr>
      <w:r>
        <w:t>Confirm CPU, module, firmware, and language compatibility.</w:t>
      </w:r>
    </w:p>
    <w:p>
      <w:pPr>
        <w:pStyle w:val="ListBullet"/>
      </w:pPr>
      <w:r>
        <w:t>Inventory all libraries and external software dependencies.</w:t>
      </w:r>
    </w:p>
    <w:p>
      <w:pPr>
        <w:pStyle w:val="ListBullet"/>
      </w:pPr>
      <w:r>
        <w:t>Record original machine behavior and acceptance criteria.</w:t>
      </w:r>
    </w:p>
    <w:p>
      <w:pPr>
        <w:pStyle w:val="ListBullet"/>
      </w:pPr>
      <w:r>
        <w:t>Identify safety-related functions and their validation requirements.</w:t>
      </w:r>
    </w:p>
    <w:p>
      <w:pPr>
        <w:pStyle w:val="Heading3"/>
      </w:pPr>
      <w:r>
        <w:t>Phase 2: Backup and conversion</w:t>
      </w:r>
    </w:p>
    <w:p>
      <w:pPr>
        <w:pStyle w:val="ListBullet"/>
      </w:pPr>
      <w:r>
        <w:t>Preserve the original project and create a working copy.</w:t>
      </w:r>
    </w:p>
    <w:p>
      <w:pPr>
        <w:pStyle w:val="ListBullet"/>
      </w:pPr>
      <w:r>
        <w:t>Follow the supported Siemens conversion route.</w:t>
      </w:r>
    </w:p>
    <w:p>
      <w:pPr>
        <w:pStyle w:val="ListBullet"/>
      </w:pPr>
      <w:r>
        <w:t>Convert the project using the selected TIA Portal version.</w:t>
      </w:r>
    </w:p>
    <w:p>
      <w:pPr>
        <w:pStyle w:val="ListBullet"/>
      </w:pPr>
      <w:r>
        <w:t>Resolve unsupported hardware and project dependencies.</w:t>
      </w:r>
    </w:p>
    <w:p>
      <w:pPr>
        <w:pStyle w:val="ListBullet"/>
      </w:pPr>
      <w:r>
        <w:t>Review all conversion messages and program changes.</w:t>
      </w:r>
    </w:p>
    <w:p>
      <w:pPr>
        <w:pStyle w:val="Heading3"/>
      </w:pPr>
      <w:r>
        <w:t>Phase 3: Engineering corrections</w:t>
      </w:r>
    </w:p>
    <w:p>
      <w:pPr>
        <w:pStyle w:val="ListBullet"/>
      </w:pPr>
      <w:r>
        <w:t>Complete the target hardware configuration.</w:t>
      </w:r>
    </w:p>
    <w:p>
      <w:pPr>
        <w:pStyle w:val="ListBullet"/>
      </w:pPr>
      <w:r>
        <w:t>Review program blocks and instruction compatibility.</w:t>
      </w:r>
    </w:p>
    <w:p>
      <w:pPr>
        <w:pStyle w:val="ListBullet"/>
      </w:pPr>
      <w:r>
        <w:t>Verify data types, DB layout, and retentivity.</w:t>
      </w:r>
    </w:p>
    <w:p>
      <w:pPr>
        <w:pStyle w:val="ListBullet"/>
      </w:pPr>
      <w:r>
        <w:t>Verify I/O mapping and absolute addressing.</w:t>
      </w:r>
    </w:p>
    <w:p>
      <w:pPr>
        <w:pStyle w:val="ListBullet"/>
      </w:pPr>
      <w:r>
        <w:t>Rebuild communication connections.</w:t>
      </w:r>
    </w:p>
    <w:p>
      <w:pPr>
        <w:pStyle w:val="ListBullet"/>
      </w:pPr>
      <w:r>
        <w:t>Update HMI and external-system dependencies where required.</w:t>
      </w:r>
    </w:p>
    <w:p>
      <w:pPr>
        <w:pStyle w:val="Heading3"/>
      </w:pPr>
      <w:r>
        <w:t>Phase 4: Verification</w:t>
      </w:r>
    </w:p>
    <w:p>
      <w:pPr>
        <w:pStyle w:val="ListBullet"/>
      </w:pPr>
      <w:r>
        <w:t>Compile hardware and software.</w:t>
      </w:r>
    </w:p>
    <w:p>
      <w:pPr>
        <w:pStyle w:val="ListBullet"/>
      </w:pPr>
      <w:r>
        <w:t>Review warnings and errors.</w:t>
      </w:r>
    </w:p>
    <w:p>
      <w:pPr>
        <w:pStyle w:val="ListBullet"/>
      </w:pPr>
      <w:r>
        <w:t>Compare program blocks and critical logic with the original.</w:t>
      </w:r>
    </w:p>
    <w:p>
      <w:pPr>
        <w:pStyle w:val="ListBullet"/>
      </w:pPr>
      <w:r>
        <w:t>Verify I/O and communication on controlled hardware.</w:t>
      </w:r>
    </w:p>
    <w:p>
      <w:pPr>
        <w:pStyle w:val="ListBullet"/>
      </w:pPr>
      <w:r>
        <w:t>Perform functional and regression tests.</w:t>
      </w:r>
    </w:p>
    <w:p>
      <w:pPr>
        <w:pStyle w:val="ListBullet"/>
      </w:pPr>
      <w:r>
        <w:t>Validate safety functions through the required process.</w:t>
      </w:r>
    </w:p>
    <w:p>
      <w:pPr>
        <w:pStyle w:val="Heading3"/>
      </w:pPr>
      <w:r>
        <w:t>Phase 5: Release</w:t>
      </w:r>
    </w:p>
    <w:p>
      <w:pPr>
        <w:pStyle w:val="ListBullet"/>
      </w:pPr>
      <w:r>
        <w:t>Approve the test results.</w:t>
      </w:r>
    </w:p>
    <w:p>
      <w:pPr>
        <w:pStyle w:val="ListBullet"/>
      </w:pPr>
      <w:r>
        <w:t>Save the final project and recovery backup.</w:t>
      </w:r>
    </w:p>
    <w:p>
      <w:pPr>
        <w:pStyle w:val="ListBullet"/>
      </w:pPr>
      <w:r>
        <w:t>Update electrical drawings and software records.</w:t>
      </w:r>
    </w:p>
    <w:p>
      <w:pPr>
        <w:pStyle w:val="ListBullet"/>
      </w:pPr>
      <w:r>
        <w:t>Document firmware, CPU, modules, and software versions.</w:t>
      </w:r>
    </w:p>
    <w:p>
      <w:pPr>
        <w:pStyle w:val="ListBullet"/>
      </w:pPr>
      <w:r>
        <w:t>Update fault-finding and recovery instructions.</w:t>
      </w:r>
    </w:p>
    <w:p>
      <w:pPr>
        <w:pStyle w:val="ListBullet"/>
      </w:pPr>
      <w:r>
        <w:t>Release the system only after the required technical and safety approvals.</w:t>
      </w:r>
    </w:p>
    <w:p>
      <w:pPr>
        <w:pStyle w:val="Heading2"/>
      </w:pPr>
      <w:r>
        <w:t>17. Common Software Migration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Converting the only original project</w:t>
            </w:r>
          </w:p>
        </w:tc>
        <w:tc>
          <w:tcPr>
            <w:tcW w:type="dxa" w:w="3600"/>
          </w:tcPr>
          <w:p>
            <w:pPr>
              <w:spacing w:after="0" w:before="0" w:line="240" w:lineRule="auto"/>
              <w:jc w:val="left"/>
            </w:pPr>
            <w:r>
              <w:t>Loss of the baseline and difficult recovery</w:t>
            </w:r>
          </w:p>
        </w:tc>
        <w:tc>
          <w:tcPr>
            <w:tcW w:type="dxa" w:w="3600"/>
          </w:tcPr>
          <w:p>
            <w:pPr>
              <w:spacing w:after="0" w:before="0" w:line="240" w:lineRule="auto"/>
              <w:jc w:val="left"/>
            </w:pPr>
            <w:r>
              <w:t>Preserve an untouched original copy</w:t>
            </w:r>
          </w:p>
        </w:tc>
      </w:tr>
      <w:tr>
        <w:tc>
          <w:tcPr>
            <w:tcW w:type="dxa" w:w="3600"/>
          </w:tcPr>
          <w:p>
            <w:pPr>
              <w:spacing w:after="0" w:before="0" w:line="240" w:lineRule="auto"/>
              <w:jc w:val="left"/>
            </w:pPr>
            <w:r>
              <w:t>Assuming conversion means compatibility</w:t>
            </w:r>
          </w:p>
        </w:tc>
        <w:tc>
          <w:tcPr>
            <w:tcW w:type="dxa" w:w="3600"/>
          </w:tcPr>
          <w:p>
            <w:pPr>
              <w:spacing w:after="0" w:before="0" w:line="240" w:lineRule="auto"/>
              <w:jc w:val="left"/>
            </w:pPr>
            <w:r>
              <w:t>Unsupported functions remain unresolved</w:t>
            </w:r>
          </w:p>
        </w:tc>
        <w:tc>
          <w:tcPr>
            <w:tcW w:type="dxa" w:w="3600"/>
          </w:tcPr>
          <w:p>
            <w:pPr>
              <w:spacing w:after="0" w:before="0" w:line="240" w:lineRule="auto"/>
              <w:jc w:val="left"/>
            </w:pPr>
            <w:r>
              <w:t>Review every conversion message</w:t>
            </w:r>
          </w:p>
        </w:tc>
      </w:tr>
      <w:tr>
        <w:tc>
          <w:tcPr>
            <w:tcW w:type="dxa" w:w="3600"/>
          </w:tcPr>
          <w:p>
            <w:pPr>
              <w:spacing w:after="0" w:before="0" w:line="240" w:lineRule="auto"/>
              <w:jc w:val="left"/>
            </w:pPr>
            <w:r>
              <w:t>Assuming compilation proves functionality</w:t>
            </w:r>
          </w:p>
        </w:tc>
        <w:tc>
          <w:tcPr>
            <w:tcW w:type="dxa" w:w="3600"/>
          </w:tcPr>
          <w:p>
            <w:pPr>
              <w:spacing w:after="0" w:before="0" w:line="240" w:lineRule="auto"/>
              <w:jc w:val="left"/>
            </w:pPr>
            <w:r>
              <w:t>Machine faults may appear during operation</w:t>
            </w:r>
          </w:p>
        </w:tc>
        <w:tc>
          <w:tcPr>
            <w:tcW w:type="dxa" w:w="3600"/>
          </w:tcPr>
          <w:p>
            <w:pPr>
              <w:spacing w:after="0" w:before="0" w:line="240" w:lineRule="auto"/>
              <w:jc w:val="left"/>
            </w:pPr>
            <w:r>
              <w:t>Perform controlled functional testing</w:t>
            </w:r>
          </w:p>
        </w:tc>
      </w:tr>
      <w:tr>
        <w:tc>
          <w:tcPr>
            <w:tcW w:type="dxa" w:w="3600"/>
          </w:tcPr>
          <w:p>
            <w:pPr>
              <w:spacing w:after="0" w:before="0" w:line="240" w:lineRule="auto"/>
              <w:jc w:val="left"/>
            </w:pPr>
            <w:r>
              <w:t>Ignoring absolute DB offsets</w:t>
            </w:r>
          </w:p>
        </w:tc>
        <w:tc>
          <w:tcPr>
            <w:tcW w:type="dxa" w:w="3600"/>
          </w:tcPr>
          <w:p>
            <w:pPr>
              <w:spacing w:after="0" w:before="0" w:line="240" w:lineRule="auto"/>
              <w:jc w:val="left"/>
            </w:pPr>
            <w:r>
              <w:t>HMI or PC applications read incorrect data</w:t>
            </w:r>
          </w:p>
        </w:tc>
        <w:tc>
          <w:tcPr>
            <w:tcW w:type="dxa" w:w="3600"/>
          </w:tcPr>
          <w:p>
            <w:pPr>
              <w:spacing w:after="0" w:before="0" w:line="240" w:lineRule="auto"/>
              <w:jc w:val="left"/>
            </w:pPr>
            <w:r>
              <w:t>Audit all external data dependencies</w:t>
            </w:r>
          </w:p>
        </w:tc>
      </w:tr>
      <w:tr>
        <w:tc>
          <w:tcPr>
            <w:tcW w:type="dxa" w:w="3600"/>
          </w:tcPr>
          <w:p>
            <w:pPr>
              <w:spacing w:after="0" w:before="0" w:line="240" w:lineRule="auto"/>
              <w:jc w:val="left"/>
            </w:pPr>
            <w:r>
              <w:t>Replacing instructions without checking behavior</w:t>
            </w:r>
          </w:p>
        </w:tc>
        <w:tc>
          <w:tcPr>
            <w:tcW w:type="dxa" w:w="3600"/>
          </w:tcPr>
          <w:p>
            <w:pPr>
              <w:spacing w:after="0" w:before="0" w:line="240" w:lineRule="auto"/>
              <w:jc w:val="left"/>
            </w:pPr>
            <w:r>
              <w:t>Changed timing or logic</w:t>
            </w:r>
          </w:p>
        </w:tc>
        <w:tc>
          <w:tcPr>
            <w:tcW w:type="dxa" w:w="3600"/>
          </w:tcPr>
          <w:p>
            <w:pPr>
              <w:spacing w:after="0" w:before="0" w:line="240" w:lineRule="auto"/>
              <w:jc w:val="left"/>
            </w:pPr>
            <w:r>
              <w:t>Validate semantics and test boundary cases</w:t>
            </w:r>
          </w:p>
        </w:tc>
      </w:tr>
      <w:tr>
        <w:tc>
          <w:tcPr>
            <w:tcW w:type="dxa" w:w="3600"/>
          </w:tcPr>
          <w:p>
            <w:pPr>
              <w:spacing w:after="0" w:before="0" w:line="240" w:lineRule="auto"/>
              <w:jc w:val="left"/>
            </w:pPr>
            <w:r>
              <w:t>Ignoring protected or third-party blocks</w:t>
            </w:r>
          </w:p>
        </w:tc>
        <w:tc>
          <w:tcPr>
            <w:tcW w:type="dxa" w:w="3600"/>
          </w:tcPr>
          <w:p>
            <w:pPr>
              <w:spacing w:after="0" w:before="0" w:line="240" w:lineRule="auto"/>
              <w:jc w:val="left"/>
            </w:pPr>
            <w:r>
              <w:t>Missing functionality during commissioning</w:t>
            </w:r>
          </w:p>
        </w:tc>
        <w:tc>
          <w:tcPr>
            <w:tcW w:type="dxa" w:w="3600"/>
          </w:tcPr>
          <w:p>
            <w:pPr>
              <w:spacing w:after="0" w:before="0" w:line="240" w:lineRule="auto"/>
              <w:jc w:val="left"/>
            </w:pPr>
            <w:r>
              <w:t>Resolve dependencies before the migration</w:t>
            </w:r>
          </w:p>
        </w:tc>
      </w:tr>
      <w:tr>
        <w:tc>
          <w:tcPr>
            <w:tcW w:type="dxa" w:w="3600"/>
          </w:tcPr>
          <w:p>
            <w:pPr>
              <w:spacing w:after="0" w:before="0" w:line="240" w:lineRule="auto"/>
              <w:jc w:val="left"/>
            </w:pPr>
            <w:r>
              <w:t>Reusing old communication settings blindly</w:t>
            </w:r>
          </w:p>
        </w:tc>
        <w:tc>
          <w:tcPr>
            <w:tcW w:type="dxa" w:w="3600"/>
          </w:tcPr>
          <w:p>
            <w:pPr>
              <w:spacing w:after="0" w:before="0" w:line="240" w:lineRule="auto"/>
              <w:jc w:val="left"/>
            </w:pPr>
            <w:r>
              <w:t>Failed or incorrect data exchange</w:t>
            </w:r>
          </w:p>
        </w:tc>
        <w:tc>
          <w:tcPr>
            <w:tcW w:type="dxa" w:w="3600"/>
          </w:tcPr>
          <w:p>
            <w:pPr>
              <w:spacing w:after="0" w:before="0" w:line="240" w:lineRule="auto"/>
              <w:jc w:val="left"/>
            </w:pPr>
            <w:r>
              <w:t>Rebuild and verify connections</w:t>
            </w:r>
          </w:p>
        </w:tc>
      </w:tr>
      <w:tr>
        <w:tc>
          <w:tcPr>
            <w:tcW w:type="dxa" w:w="3600"/>
          </w:tcPr>
          <w:p>
            <w:pPr>
              <w:spacing w:after="0" w:before="0" w:line="240" w:lineRule="auto"/>
              <w:jc w:val="left"/>
            </w:pPr>
            <w:r>
              <w:t>Ignoring HMI and SCADA changes</w:t>
            </w:r>
          </w:p>
        </w:tc>
        <w:tc>
          <w:tcPr>
            <w:tcW w:type="dxa" w:w="3600"/>
          </w:tcPr>
          <w:p>
            <w:pPr>
              <w:spacing w:after="0" w:before="0" w:line="240" w:lineRule="auto"/>
              <w:jc w:val="left"/>
            </w:pPr>
            <w:r>
              <w:t>Incorrect displays, alarms, or data logging</w:t>
            </w:r>
          </w:p>
        </w:tc>
        <w:tc>
          <w:tcPr>
            <w:tcW w:type="dxa" w:w="3600"/>
          </w:tcPr>
          <w:p>
            <w:pPr>
              <w:spacing w:after="0" w:before="0" w:line="240" w:lineRule="auto"/>
              <w:jc w:val="left"/>
            </w:pPr>
            <w:r>
              <w:t>Test the complete automation system</w:t>
            </w:r>
          </w:p>
        </w:tc>
      </w:tr>
      <w:tr>
        <w:tc>
          <w:tcPr>
            <w:tcW w:type="dxa" w:w="3600"/>
          </w:tcPr>
          <w:p>
            <w:pPr>
              <w:spacing w:after="0" w:before="0" w:line="240" w:lineRule="auto"/>
              <w:jc w:val="left"/>
            </w:pPr>
            <w:r>
              <w:t>Skipping regression testing</w:t>
            </w:r>
          </w:p>
        </w:tc>
        <w:tc>
          <w:tcPr>
            <w:tcW w:type="dxa" w:w="3600"/>
          </w:tcPr>
          <w:p>
            <w:pPr>
              <w:spacing w:after="0" w:before="0" w:line="240" w:lineRule="auto"/>
              <w:jc w:val="left"/>
            </w:pPr>
            <w:r>
              <w:t>Existing functions break after conversion</w:t>
            </w:r>
          </w:p>
        </w:tc>
        <w:tc>
          <w:tcPr>
            <w:tcW w:type="dxa" w:w="3600"/>
          </w:tcPr>
          <w:p>
            <w:pPr>
              <w:spacing w:after="0" w:before="0" w:line="240" w:lineRule="auto"/>
              <w:jc w:val="left"/>
            </w:pPr>
            <w:r>
              <w:t>Test all critical operating modes</w:t>
            </w:r>
          </w:p>
        </w:tc>
      </w:tr>
      <w:tr>
        <w:tc>
          <w:tcPr>
            <w:tcW w:type="dxa" w:w="3600"/>
          </w:tcPr>
          <w:p>
            <w:pPr>
              <w:spacing w:after="0" w:before="0" w:line="240" w:lineRule="auto"/>
              <w:jc w:val="left"/>
            </w:pPr>
            <w:r>
              <w:t>Failing to preserve a rollback plan</w:t>
            </w:r>
          </w:p>
        </w:tc>
        <w:tc>
          <w:tcPr>
            <w:tcW w:type="dxa" w:w="3600"/>
          </w:tcPr>
          <w:p>
            <w:pPr>
              <w:spacing w:after="0" w:before="0" w:line="240" w:lineRule="auto"/>
              <w:jc w:val="left"/>
            </w:pPr>
            <w:r>
              <w:t>Extended downtime after an unsuccessful cutover</w:t>
            </w:r>
          </w:p>
        </w:tc>
        <w:tc>
          <w:tcPr>
            <w:tcW w:type="dxa" w:w="3600"/>
          </w:tcPr>
          <w:p>
            <w:pPr>
              <w:spacing w:after="0" w:before="0" w:line="240" w:lineRule="auto"/>
              <w:jc w:val="left"/>
            </w:pPr>
            <w:r>
              <w:t>Maintain a verified recovery procedure</w:t>
            </w:r>
          </w:p>
        </w:tc>
      </w:tr>
    </w:tbl>
    <w:p/>
    <w:p>
      <w:pPr>
        <w:pStyle w:val="Heading2"/>
      </w:pPr>
      <w:r>
        <w:t>18. Interview and Practical Competency Questions</w:t>
      </w:r>
    </w:p>
    <w:p>
      <w:r>
        <w:t>1\. Is STEP 7 Classic the same as TIA Portal?</w:t>
      </w:r>
    </w:p>
    <w:p>
      <w:r>
        <w:t>No. They are different engineering environments with different project structures, supported hardware, and engineering workflows.</w:t>
      </w:r>
    </w:p>
    <w:p>
      <w:r>
        <w:t>2\. Can every S7-300 project be directly converted to TIA Portal?</w:t>
      </w:r>
    </w:p>
    <w:p>
      <w:r>
        <w:t>No. The supported migration route depends on the source project, software version, hardware, libraries, and target environment.</w:t>
      </w:r>
    </w:p>
    <w:p>
      <w:r>
        <w:t>3\. Why can a converted program fail to compile?</w:t>
      </w:r>
    </w:p>
    <w:p>
      <w:r>
        <w:t>It may contain unsupported hardware references, instructions, data types, library dependencies, or configurations that require modification.</w:t>
      </w:r>
    </w:p>
    <w:p>
      <w:r>
        <w:t>4\. Why can a compiled program still operate incorrectly?</w:t>
      </w:r>
    </w:p>
    <w:p>
      <w:r>
        <w:t>Compilation does not prove that the I/O mapping, data interpretation, communication, timing, sequence behavior, or physical wiring is correct.</w:t>
      </w:r>
    </w:p>
    <w:p>
      <w:r>
        <w:t>5\. What is the risk of changing a DB's layout?</w:t>
      </w:r>
    </w:p>
    <w:p>
      <w:r>
        <w:t>Absolute-address consumers, such as HMIs or PC applications, may read or write the wrong locations.</w:t>
      </w:r>
    </w:p>
    <w:p>
      <w:r>
        <w:t>6\. What should be preserved before conversion?</w:t>
      </w:r>
    </w:p>
    <w:p>
      <w:r>
        <w:t>The original project, hardware configuration, program blocks, required machine parameters, external projects, version information, and recovery records.</w:t>
      </w:r>
    </w:p>
    <w:p>
      <w:r>
        <w:t>7\. Why is communication testing a separate activity?</w:t>
      </w:r>
    </w:p>
    <w:p>
      <w:r>
        <w:t>A valid connection does not guarantee correct data types, values, update timing, or fault recovery.</w:t>
      </w:r>
    </w:p>
    <w:p>
      <w:r>
        <w:t>8\. What is the difference between conversion and validation?</w:t>
      </w:r>
    </w:p>
    <w:p>
      <w:r>
        <w:t>Conversion transforms the engineering project for the target environment. Validation demonstrates that the resulting system meets its functional and safety requirements.</w:t>
      </w:r>
    </w:p>
    <w:p>
      <w:pPr>
        <w:pStyle w:val="Heading2"/>
      </w:pPr>
      <w:r>
        <w:t>19. Final Engineering Principle</w:t>
      </w:r>
    </w:p>
    <w:p>
      <w:r>
        <w:t>A reliable STEP 7 to TIA Portal migration preserves the intended machine behavior while adapting the engineering project to a supported target platform.</w:t>
      </w:r>
    </w:p>
    <w:p>
      <w:r>
        <w:t>The core discipline is to back up, convert, inspect, correct, compile, test, document, and approve. Never treat a successful conversion or a clean compile as proof that the machine is ready for production.</w:t>
      </w:r>
    </w:p>
    <w:p>
      <w:r>
        <w:t>The exact conversion procedure and compatibility decisions must be verified against the relevant Siemens documentation for the original CPU, target CPU, STEP 7 version, TIA Portal version, firmware, and installed engineering options.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02_PLAN_WISE_2026\02_INDUSTRY3_0\24_Obsolescence\07_Examples\01_S7_300_to_1500\03_Migration - Migration: Convert, test, cut over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S7-300 to S7-1500 Migration: STEP 7 to TIA Portal Software Differences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