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Mitsubishi GOT to GOT2000 Migration: Hardware Compatibility, Panel Size, Mounting, and Ports</w:t>
      </w:r>
    </w:p>
    <w:p>
      <w:pPr>
        <w:pStyle w:val="Heading2"/>
      </w:pPr>
      <w:r>
        <w:t>1. Purpose and scope</w:t>
      </w:r>
    </w:p>
    <w:p>
      <w:r>
        <w:t>Mitsubishi Electric GOT2000 is a family of graphical operator interface terminals used to monitor and operate industrial equipment. Migrating an older GOT HMI to a GOT2000 model can improve display capability, communications options, and maintainability, but the replacement must be checked against the actual machine panel, electrical installation, connected devices, and required functions.</w:t>
      </w:r>
    </w:p>
    <w:p>
      <w:r>
        <w:t>This topic focuses on hardware migration, especially:</w:t>
      </w:r>
    </w:p>
    <w:p>
      <w:pPr>
        <w:pStyle w:val="ListBullet"/>
      </w:pPr>
      <w:r>
        <w:t>Panel cutout dimensions and physical fit.</w:t>
      </w:r>
    </w:p>
    <w:p>
      <w:pPr>
        <w:pStyle w:val="ListBullet"/>
      </w:pPr>
      <w:r>
        <w:t>Front-panel dimensions, depth, and mounting clearance.</w:t>
      </w:r>
    </w:p>
    <w:p>
      <w:pPr>
        <w:pStyle w:val="ListBullet"/>
      </w:pPr>
      <w:r>
        <w:t>Mounting clamps, seals, and enclosure protection.</w:t>
      </w:r>
    </w:p>
    <w:p>
      <w:pPr>
        <w:pStyle w:val="ListBullet"/>
      </w:pPr>
      <w:r>
        <w:t>Power-supply requirements and wiring.</w:t>
      </w:r>
    </w:p>
    <w:p>
      <w:pPr>
        <w:pStyle w:val="ListBullet"/>
      </w:pPr>
      <w:r>
        <w:t>Ethernet, serial, USB, and other communication ports.</w:t>
      </w:r>
    </w:p>
    <w:p>
      <w:pPr>
        <w:pStyle w:val="ListBullet"/>
      </w:pPr>
      <w:r>
        <w:t>PLC, drive, and peripheral compatibility.</w:t>
      </w:r>
    </w:p>
    <w:p>
      <w:pPr>
        <w:pStyle w:val="ListBullet"/>
      </w:pPr>
      <w:r>
        <w:t>Environmental conditions and commissioning checks.</w:t>
      </w:r>
    </w:p>
    <w:p>
      <w:r>
        <w:t>The exact specifications vary by GOT model. A GOT2000 is not a single universal hardware design, and the fact that two panels have similar screen sizes does not mean that they are mechanically interchangeable.</w:t>
      </w:r>
    </w:p>
    <w:p>
      <w:pPr>
        <w:pStyle w:val="Heading2"/>
      </w:pPr>
      <w:r>
        <w:t>2. Understand the GOT model families</w:t>
      </w:r>
    </w:p>
    <w:p>
      <w:r>
        <w:t>Mitsubishi GOT products include several generations and model families. A migration must start by identifying the exact installed terminal and the proposed replacement.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Family or series</w:t>
            </w:r>
          </w:p>
        </w:tc>
        <w:tc>
          <w:tcPr>
            <w:tcW w:type="dxa" w:w="3600"/>
            <w:shd w:val="clear" w:color="auto" w:fill="EEF2F7"/>
          </w:tcPr>
          <w:p>
            <w:pPr>
              <w:spacing w:after="0" w:before="0" w:line="240" w:lineRule="auto"/>
              <w:jc w:val="left"/>
            </w:pPr>
            <w:r>
              <w:rPr>
                <w:b/>
                <w:color w:val="1A2E4A"/>
              </w:rPr>
              <w:t>General role</w:t>
            </w:r>
          </w:p>
        </w:tc>
        <w:tc>
          <w:tcPr>
            <w:tcW w:type="dxa" w:w="3600"/>
            <w:shd w:val="clear" w:color="auto" w:fill="EEF2F7"/>
          </w:tcPr>
          <w:p>
            <w:pPr>
              <w:spacing w:after="0" w:before="0" w:line="240" w:lineRule="auto"/>
              <w:jc w:val="left"/>
            </w:pPr>
            <w:r>
              <w:rPr>
                <w:b/>
                <w:color w:val="1A2E4A"/>
              </w:rPr>
              <w:t>Migration consideration</w:t>
            </w:r>
          </w:p>
        </w:tc>
      </w:tr>
      <w:tr>
        <w:tc>
          <w:tcPr>
            <w:tcW w:type="dxa" w:w="3600"/>
          </w:tcPr>
          <w:p>
            <w:pPr>
              <w:spacing w:after="0" w:before="0" w:line="240" w:lineRule="auto"/>
              <w:jc w:val="left"/>
            </w:pPr>
            <w:r>
              <w:t>Older GOT1000 models</w:t>
            </w:r>
          </w:p>
        </w:tc>
        <w:tc>
          <w:tcPr>
            <w:tcW w:type="dxa" w:w="3600"/>
          </w:tcPr>
          <w:p>
            <w:pPr>
              <w:spacing w:after="0" w:before="0" w:line="240" w:lineRule="auto"/>
              <w:jc w:val="left"/>
            </w:pPr>
            <w:r>
              <w:t>Legacy graphical operator interfaces</w:t>
            </w:r>
          </w:p>
        </w:tc>
        <w:tc>
          <w:tcPr>
            <w:tcW w:type="dxa" w:w="3600"/>
          </w:tcPr>
          <w:p>
            <w:pPr>
              <w:spacing w:after="0" w:before="0" w:line="240" w:lineRule="auto"/>
              <w:jc w:val="left"/>
            </w:pPr>
            <w:r>
              <w:t>Verify the exact model, available interfaces, and lifecycle status</w:t>
            </w:r>
          </w:p>
        </w:tc>
      </w:tr>
      <w:tr>
        <w:tc>
          <w:tcPr>
            <w:tcW w:type="dxa" w:w="3600"/>
          </w:tcPr>
          <w:p>
            <w:pPr>
              <w:spacing w:after="0" w:before="0" w:line="240" w:lineRule="auto"/>
              <w:jc w:val="left"/>
            </w:pPr>
            <w:r>
              <w:t>GOT2000 GT27 series</w:t>
            </w:r>
          </w:p>
        </w:tc>
        <w:tc>
          <w:tcPr>
            <w:tcW w:type="dxa" w:w="3600"/>
          </w:tcPr>
          <w:p>
            <w:pPr>
              <w:spacing w:after="0" w:before="0" w:line="240" w:lineRule="auto"/>
              <w:jc w:val="left"/>
            </w:pPr>
            <w:r>
              <w:t>Higher-capability GOT2000 terminals within the supported model range</w:t>
            </w:r>
          </w:p>
        </w:tc>
        <w:tc>
          <w:tcPr>
            <w:tcW w:type="dxa" w:w="3600"/>
          </w:tcPr>
          <w:p>
            <w:pPr>
              <w:spacing w:after="0" w:before="0" w:line="240" w:lineRule="auto"/>
              <w:jc w:val="left"/>
            </w:pPr>
            <w:r>
              <w:t>Check display, interface, expansion, and model-specific features</w:t>
            </w:r>
          </w:p>
        </w:tc>
      </w:tr>
      <w:tr>
        <w:tc>
          <w:tcPr>
            <w:tcW w:type="dxa" w:w="3600"/>
          </w:tcPr>
          <w:p>
            <w:pPr>
              <w:spacing w:after="0" w:before="0" w:line="240" w:lineRule="auto"/>
              <w:jc w:val="left"/>
            </w:pPr>
            <w:r>
              <w:t>GOT2000 GT25 series</w:t>
            </w:r>
          </w:p>
        </w:tc>
        <w:tc>
          <w:tcPr>
            <w:tcW w:type="dxa" w:w="3600"/>
          </w:tcPr>
          <w:p>
            <w:pPr>
              <w:spacing w:after="0" w:before="0" w:line="240" w:lineRule="auto"/>
              <w:jc w:val="left"/>
            </w:pPr>
            <w:r>
              <w:t>GOT2000 terminals with model-dependent display and communication options</w:t>
            </w:r>
          </w:p>
        </w:tc>
        <w:tc>
          <w:tcPr>
            <w:tcW w:type="dxa" w:w="3600"/>
          </w:tcPr>
          <w:p>
            <w:pPr>
              <w:spacing w:after="0" w:before="0" w:line="240" w:lineRule="auto"/>
              <w:jc w:val="left"/>
            </w:pPr>
            <w:r>
              <w:t>Confirm dimensions, port availability, and supported functions</w:t>
            </w:r>
          </w:p>
        </w:tc>
      </w:tr>
      <w:tr>
        <w:tc>
          <w:tcPr>
            <w:tcW w:type="dxa" w:w="3600"/>
          </w:tcPr>
          <w:p>
            <w:pPr>
              <w:spacing w:after="0" w:before="0" w:line="240" w:lineRule="auto"/>
              <w:jc w:val="left"/>
            </w:pPr>
            <w:r>
              <w:t>GOT2000 GT23 series</w:t>
            </w:r>
          </w:p>
        </w:tc>
        <w:tc>
          <w:tcPr>
            <w:tcW w:type="dxa" w:w="3600"/>
          </w:tcPr>
          <w:p>
            <w:pPr>
              <w:spacing w:after="0" w:before="0" w:line="240" w:lineRule="auto"/>
              <w:jc w:val="left"/>
            </w:pPr>
            <w:r>
              <w:t>GOT2000 terminals in a different capability and hardware configuration range</w:t>
            </w:r>
          </w:p>
        </w:tc>
        <w:tc>
          <w:tcPr>
            <w:tcW w:type="dxa" w:w="3600"/>
          </w:tcPr>
          <w:p>
            <w:pPr>
              <w:spacing w:after="0" w:before="0" w:line="240" w:lineRule="auto"/>
              <w:jc w:val="left"/>
            </w:pPr>
            <w:r>
              <w:t>Check whether the required legacy interfaces and features are available</w:t>
            </w:r>
          </w:p>
        </w:tc>
      </w:tr>
      <w:tr>
        <w:tc>
          <w:tcPr>
            <w:tcW w:type="dxa" w:w="3600"/>
          </w:tcPr>
          <w:p>
            <w:pPr>
              <w:spacing w:after="0" w:before="0" w:line="240" w:lineRule="auto"/>
              <w:jc w:val="left"/>
            </w:pPr>
            <w:r>
              <w:t>GOT Simple series</w:t>
            </w:r>
          </w:p>
        </w:tc>
        <w:tc>
          <w:tcPr>
            <w:tcW w:type="dxa" w:w="3600"/>
          </w:tcPr>
          <w:p>
            <w:pPr>
              <w:spacing w:after="0" w:before="0" w:line="240" w:lineRule="auto"/>
              <w:jc w:val="left"/>
            </w:pPr>
            <w:r>
              <w:t>Separate product family with different capabilities and configuration considerations</w:t>
            </w:r>
          </w:p>
        </w:tc>
        <w:tc>
          <w:tcPr>
            <w:tcW w:type="dxa" w:w="3600"/>
          </w:tcPr>
          <w:p>
            <w:pPr>
              <w:spacing w:after="0" w:before="0" w:line="240" w:lineRule="auto"/>
              <w:jc w:val="left"/>
            </w:pPr>
            <w:r>
              <w:t>Do not assume that a GOT Simple model is a direct replacement for a GOT2000</w:t>
            </w:r>
          </w:p>
        </w:tc>
      </w:tr>
    </w:tbl>
    <w:p/>
    <w:p>
      <w:r>
        <w:t>The table is a broad orientation, not a compatibility matrix. Exact specifications and support depend on the catalog number and hardware revision.</w:t>
      </w:r>
    </w:p>
    <w:p>
      <w:pPr>
        <w:pStyle w:val="Heading3"/>
      </w:pPr>
      <w:r>
        <w:t>2.1 Identify the existing and proposed models</w:t>
      </w:r>
    </w:p>
    <w:p>
      <w:r>
        <w:t>Record the full catalog number from the rear nameplate or approved equipment documentation. Do not rely only on the display size or a description such as “10-inch GOT.”</w:t>
      </w:r>
    </w:p>
    <w:p>
      <w:r>
        <w:t>Capture the following information:</w:t>
      </w:r>
    </w:p>
    <w:p>
      <w:pPr>
        <w:pStyle w:val="ListBullet"/>
      </w:pPr>
      <w:r>
        <w:t>Existing GOT model and hardware revision.</w:t>
      </w:r>
    </w:p>
    <w:p>
      <w:pPr>
        <w:pStyle w:val="ListBullet"/>
      </w:pPr>
      <w:r>
        <w:t>Proposed GOT2000 model and hardware revision, if applicable.</w:t>
      </w:r>
    </w:p>
    <w:p>
      <w:pPr>
        <w:pStyle w:val="ListBullet"/>
      </w:pPr>
      <w:r>
        <w:t>Display diagonal, resolution, and aspect ratio.</w:t>
      </w:r>
    </w:p>
    <w:p>
      <w:pPr>
        <w:pStyle w:val="ListBullet"/>
      </w:pPr>
      <w:r>
        <w:t>Overall front dimensions.</w:t>
      </w:r>
    </w:p>
    <w:p>
      <w:pPr>
        <w:pStyle w:val="ListBullet"/>
      </w:pPr>
      <w:r>
        <w:t>Panel cutout width and height.</w:t>
      </w:r>
    </w:p>
    <w:p>
      <w:pPr>
        <w:pStyle w:val="ListBullet"/>
      </w:pPr>
      <w:r>
        <w:t>Required mounting depth and rear clearance.</w:t>
      </w:r>
    </w:p>
    <w:p>
      <w:pPr>
        <w:pStyle w:val="ListBullet"/>
      </w:pPr>
      <w:r>
        <w:t>Supply voltage and power consumption.</w:t>
      </w:r>
    </w:p>
    <w:p>
      <w:pPr>
        <w:pStyle w:val="ListBullet"/>
      </w:pPr>
      <w:r>
        <w:t>Available communication ports and connectors.</w:t>
      </w:r>
    </w:p>
    <w:p>
      <w:pPr>
        <w:pStyle w:val="ListBullet"/>
      </w:pPr>
      <w:r>
        <w:t>Supported communication options and required cables.</w:t>
      </w:r>
    </w:p>
    <w:p>
      <w:pPr>
        <w:pStyle w:val="ListBullet"/>
      </w:pPr>
      <w:r>
        <w:t>Environmental rating and operating temperature limits.</w:t>
      </w:r>
    </w:p>
    <w:p>
      <w:pPr>
        <w:pStyle w:val="ListBullet"/>
      </w:pPr>
      <w:r>
        <w:t>Required expansion, memory, storage, or peripheral functions.</w:t>
      </w:r>
    </w:p>
    <w:p>
      <w:r>
        <w:t>This information becomes the basis of the migration comparison.</w:t>
      </w:r>
    </w:p>
    <w:p>
      <w:pPr>
        <w:pStyle w:val="Heading2"/>
      </w:pPr>
      <w:r>
        <w:t>3. Panel dimensions: overall size versus cutout size</w:t>
      </w:r>
    </w:p>
    <w:p>
      <w:r>
        <w:t>Three dimensions are especially important when replacing an HMI.</w:t>
      </w:r>
    </w:p>
    <w:p>
      <w:pPr>
        <w:pStyle w:val="ListBullet"/>
      </w:pPr>
      <w:r>
        <w:t>Front-panel dimensions: The visible external width and height of the terminal's bezel.</w:t>
      </w:r>
    </w:p>
    <w:p>
      <w:pPr>
        <w:pStyle w:val="ListBullet"/>
      </w:pPr>
      <w:r>
        <w:t>Panel cutout dimensions: The opening required in the machine enclosure.</w:t>
      </w:r>
    </w:p>
    <w:p>
      <w:pPr>
        <w:pStyle w:val="ListBullet"/>
      </w:pPr>
      <w:r>
        <w:t>Mounting depth: The space required behind the panel for the terminal body, connectors, cables, clamps, and safe cable routing.</w:t>
      </w:r>
    </w:p>
    <w:p>
      <w:r>
        <w:t>These dimensions serve different purposes and must not be confused.</w:t>
      </w:r>
    </w:p>
    <w:p>
      <w:r>
        <w:t>For example, a replacement may have a front bezel large enough to cover the old cutout while requiring a different opening or greater rear depth. Covering the opening does not prove that the mounting arrangement is acceptable.</w:t>
      </w:r>
    </w:p>
    <w:p>
      <w:pPr>
        <w:pStyle w:val="Heading3"/>
      </w:pPr>
      <w:r>
        <w:t>3.1 Panel-fit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Parameter</w:t>
            </w:r>
          </w:p>
        </w:tc>
        <w:tc>
          <w:tcPr>
            <w:tcW w:type="dxa" w:w="2700"/>
            <w:shd w:val="clear" w:color="auto" w:fill="EEF2F7"/>
          </w:tcPr>
          <w:p>
            <w:pPr>
              <w:spacing w:after="0" w:before="0" w:line="240" w:lineRule="auto"/>
              <w:jc w:val="left"/>
            </w:pPr>
            <w:r>
              <w:rPr>
                <w:b/>
                <w:color w:val="1A2E4A"/>
              </w:rPr>
              <w:t>Existing GOT</w:t>
            </w:r>
          </w:p>
        </w:tc>
        <w:tc>
          <w:tcPr>
            <w:tcW w:type="dxa" w:w="2700"/>
            <w:shd w:val="clear" w:color="auto" w:fill="EEF2F7"/>
          </w:tcPr>
          <w:p>
            <w:pPr>
              <w:spacing w:after="0" w:before="0" w:line="240" w:lineRule="auto"/>
              <w:jc w:val="left"/>
            </w:pPr>
            <w:r>
              <w:rPr>
                <w:b/>
                <w:color w:val="1A2E4A"/>
              </w:rPr>
              <w:t>Proposed GOT2000</w:t>
            </w:r>
          </w:p>
        </w:tc>
        <w:tc>
          <w:tcPr>
            <w:tcW w:type="dxa" w:w="2700"/>
            <w:shd w:val="clear" w:color="auto" w:fill="EEF2F7"/>
          </w:tcPr>
          <w:p>
            <w:pPr>
              <w:spacing w:after="0" w:before="0" w:line="240" w:lineRule="auto"/>
              <w:jc w:val="left"/>
            </w:pPr>
            <w:r>
              <w:rPr>
                <w:b/>
                <w:color w:val="1A2E4A"/>
              </w:rPr>
              <w:t>Required decision</w:t>
            </w:r>
          </w:p>
        </w:tc>
      </w:tr>
      <w:tr>
        <w:tc>
          <w:tcPr>
            <w:tcW w:type="dxa" w:w="2700"/>
          </w:tcPr>
          <w:p>
            <w:pPr>
              <w:spacing w:after="0" w:before="0" w:line="240" w:lineRule="auto"/>
              <w:jc w:val="left"/>
            </w:pPr>
            <w:r>
              <w:t>Front width</w:t>
            </w:r>
          </w:p>
        </w:tc>
        <w:tc>
          <w:tcPr>
            <w:tcW w:type="dxa" w:w="2700"/>
          </w:tcPr>
          <w:p>
            <w:pPr>
              <w:spacing w:after="0" w:before="0" w:line="240" w:lineRule="auto"/>
              <w:jc w:val="left"/>
            </w:pPr>
            <w:r>
              <w:t>Record from model specification</w:t>
            </w:r>
          </w:p>
        </w:tc>
        <w:tc>
          <w:tcPr>
            <w:tcW w:type="dxa" w:w="2700"/>
          </w:tcPr>
          <w:p>
            <w:pPr>
              <w:spacing w:after="0" w:before="0" w:line="240" w:lineRule="auto"/>
              <w:jc w:val="left"/>
            </w:pPr>
            <w:r>
              <w:t>Record from model specification</w:t>
            </w:r>
          </w:p>
        </w:tc>
        <w:tc>
          <w:tcPr>
            <w:tcW w:type="dxa" w:w="2700"/>
          </w:tcPr>
          <w:p>
            <w:pPr>
              <w:spacing w:after="0" w:before="0" w:line="240" w:lineRule="auto"/>
              <w:jc w:val="left"/>
            </w:pPr>
            <w:r>
              <w:t>Confirm coverage and clearance</w:t>
            </w:r>
          </w:p>
        </w:tc>
      </w:tr>
      <w:tr>
        <w:tc>
          <w:tcPr>
            <w:tcW w:type="dxa" w:w="2700"/>
          </w:tcPr>
          <w:p>
            <w:pPr>
              <w:spacing w:after="0" w:before="0" w:line="240" w:lineRule="auto"/>
              <w:jc w:val="left"/>
            </w:pPr>
            <w:r>
              <w:t>Front height</w:t>
            </w:r>
          </w:p>
        </w:tc>
        <w:tc>
          <w:tcPr>
            <w:tcW w:type="dxa" w:w="2700"/>
          </w:tcPr>
          <w:p>
            <w:pPr>
              <w:spacing w:after="0" w:before="0" w:line="240" w:lineRule="auto"/>
              <w:jc w:val="left"/>
            </w:pPr>
            <w:r>
              <w:t>Record from model specification</w:t>
            </w:r>
          </w:p>
        </w:tc>
        <w:tc>
          <w:tcPr>
            <w:tcW w:type="dxa" w:w="2700"/>
          </w:tcPr>
          <w:p>
            <w:pPr>
              <w:spacing w:after="0" w:before="0" w:line="240" w:lineRule="auto"/>
              <w:jc w:val="left"/>
            </w:pPr>
            <w:r>
              <w:t>Record from model specification</w:t>
            </w:r>
          </w:p>
        </w:tc>
        <w:tc>
          <w:tcPr>
            <w:tcW w:type="dxa" w:w="2700"/>
          </w:tcPr>
          <w:p>
            <w:pPr>
              <w:spacing w:after="0" w:before="0" w:line="240" w:lineRule="auto"/>
              <w:jc w:val="left"/>
            </w:pPr>
            <w:r>
              <w:t>Confirm coverage and clearance</w:t>
            </w:r>
          </w:p>
        </w:tc>
      </w:tr>
      <w:tr>
        <w:tc>
          <w:tcPr>
            <w:tcW w:type="dxa" w:w="2700"/>
          </w:tcPr>
          <w:p>
            <w:pPr>
              <w:spacing w:after="0" w:before="0" w:line="240" w:lineRule="auto"/>
              <w:jc w:val="left"/>
            </w:pPr>
            <w:r>
              <w:t>Cutout width</w:t>
            </w:r>
          </w:p>
        </w:tc>
        <w:tc>
          <w:tcPr>
            <w:tcW w:type="dxa" w:w="2700"/>
          </w:tcPr>
          <w:p>
            <w:pPr>
              <w:spacing w:after="0" w:before="0" w:line="240" w:lineRule="auto"/>
              <w:jc w:val="left"/>
            </w:pPr>
            <w:r>
              <w:t>Record specified opening</w:t>
            </w:r>
          </w:p>
        </w:tc>
        <w:tc>
          <w:tcPr>
            <w:tcW w:type="dxa" w:w="2700"/>
          </w:tcPr>
          <w:p>
            <w:pPr>
              <w:spacing w:after="0" w:before="0" w:line="240" w:lineRule="auto"/>
              <w:jc w:val="left"/>
            </w:pPr>
            <w:r>
              <w:t>Record specified opening</w:t>
            </w:r>
          </w:p>
        </w:tc>
        <w:tc>
          <w:tcPr>
            <w:tcW w:type="dxa" w:w="2700"/>
          </w:tcPr>
          <w:p>
            <w:pPr>
              <w:spacing w:after="0" w:before="0" w:line="240" w:lineRule="auto"/>
              <w:jc w:val="left"/>
            </w:pPr>
            <w:r>
              <w:t>Verify mechanical compatibility</w:t>
            </w:r>
          </w:p>
        </w:tc>
      </w:tr>
      <w:tr>
        <w:tc>
          <w:tcPr>
            <w:tcW w:type="dxa" w:w="2700"/>
          </w:tcPr>
          <w:p>
            <w:pPr>
              <w:spacing w:after="0" w:before="0" w:line="240" w:lineRule="auto"/>
              <w:jc w:val="left"/>
            </w:pPr>
            <w:r>
              <w:t>Cutout height</w:t>
            </w:r>
          </w:p>
        </w:tc>
        <w:tc>
          <w:tcPr>
            <w:tcW w:type="dxa" w:w="2700"/>
          </w:tcPr>
          <w:p>
            <w:pPr>
              <w:spacing w:after="0" w:before="0" w:line="240" w:lineRule="auto"/>
              <w:jc w:val="left"/>
            </w:pPr>
            <w:r>
              <w:t>Record specified opening</w:t>
            </w:r>
          </w:p>
        </w:tc>
        <w:tc>
          <w:tcPr>
            <w:tcW w:type="dxa" w:w="2700"/>
          </w:tcPr>
          <w:p>
            <w:pPr>
              <w:spacing w:after="0" w:before="0" w:line="240" w:lineRule="auto"/>
              <w:jc w:val="left"/>
            </w:pPr>
            <w:r>
              <w:t>Record specified opening</w:t>
            </w:r>
          </w:p>
        </w:tc>
        <w:tc>
          <w:tcPr>
            <w:tcW w:type="dxa" w:w="2700"/>
          </w:tcPr>
          <w:p>
            <w:pPr>
              <w:spacing w:after="0" w:before="0" w:line="240" w:lineRule="auto"/>
              <w:jc w:val="left"/>
            </w:pPr>
            <w:r>
              <w:t>Verify mechanical compatibility</w:t>
            </w:r>
          </w:p>
        </w:tc>
      </w:tr>
      <w:tr>
        <w:tc>
          <w:tcPr>
            <w:tcW w:type="dxa" w:w="2700"/>
          </w:tcPr>
          <w:p>
            <w:pPr>
              <w:spacing w:after="0" w:before="0" w:line="240" w:lineRule="auto"/>
              <w:jc w:val="left"/>
            </w:pPr>
            <w:r>
              <w:t>Rear depth</w:t>
            </w:r>
          </w:p>
        </w:tc>
        <w:tc>
          <w:tcPr>
            <w:tcW w:type="dxa" w:w="2700"/>
          </w:tcPr>
          <w:p>
            <w:pPr>
              <w:spacing w:after="0" w:before="0" w:line="240" w:lineRule="auto"/>
              <w:jc w:val="left"/>
            </w:pPr>
            <w:r>
              <w:t>Measure installed space</w:t>
            </w:r>
          </w:p>
        </w:tc>
        <w:tc>
          <w:tcPr>
            <w:tcW w:type="dxa" w:w="2700"/>
          </w:tcPr>
          <w:p>
            <w:pPr>
              <w:spacing w:after="0" w:before="0" w:line="240" w:lineRule="auto"/>
              <w:jc w:val="left"/>
            </w:pPr>
            <w:r>
              <w:t>Check terminal and connector depth</w:t>
            </w:r>
          </w:p>
        </w:tc>
        <w:tc>
          <w:tcPr>
            <w:tcW w:type="dxa" w:w="2700"/>
          </w:tcPr>
          <w:p>
            <w:pPr>
              <w:spacing w:after="0" w:before="0" w:line="240" w:lineRule="auto"/>
              <w:jc w:val="left"/>
            </w:pPr>
            <w:r>
              <w:t>Confirm clearance</w:t>
            </w:r>
          </w:p>
        </w:tc>
      </w:tr>
      <w:tr>
        <w:tc>
          <w:tcPr>
            <w:tcW w:type="dxa" w:w="2700"/>
          </w:tcPr>
          <w:p>
            <w:pPr>
              <w:spacing w:after="0" w:before="0" w:line="240" w:lineRule="auto"/>
              <w:jc w:val="left"/>
            </w:pPr>
            <w:r>
              <w:t>Mounting clamps</w:t>
            </w:r>
          </w:p>
        </w:tc>
        <w:tc>
          <w:tcPr>
            <w:tcW w:type="dxa" w:w="2700"/>
          </w:tcPr>
          <w:p>
            <w:pPr>
              <w:spacing w:after="0" w:before="0" w:line="240" w:lineRule="auto"/>
              <w:jc w:val="left"/>
            </w:pPr>
            <w:r>
              <w:t>Record clamp type and locations</w:t>
            </w:r>
          </w:p>
        </w:tc>
        <w:tc>
          <w:tcPr>
            <w:tcW w:type="dxa" w:w="2700"/>
          </w:tcPr>
          <w:p>
            <w:pPr>
              <w:spacing w:after="0" w:before="0" w:line="240" w:lineRule="auto"/>
              <w:jc w:val="left"/>
            </w:pPr>
            <w:r>
              <w:t>Verify supplied mounting method</w:t>
            </w:r>
          </w:p>
        </w:tc>
        <w:tc>
          <w:tcPr>
            <w:tcW w:type="dxa" w:w="2700"/>
          </w:tcPr>
          <w:p>
            <w:pPr>
              <w:spacing w:after="0" w:before="0" w:line="240" w:lineRule="auto"/>
              <w:jc w:val="left"/>
            </w:pPr>
            <w:r>
              <w:t>Confirm secure mounting</w:t>
            </w:r>
          </w:p>
        </w:tc>
      </w:tr>
      <w:tr>
        <w:tc>
          <w:tcPr>
            <w:tcW w:type="dxa" w:w="2700"/>
          </w:tcPr>
          <w:p>
            <w:pPr>
              <w:spacing w:after="0" w:before="0" w:line="240" w:lineRule="auto"/>
              <w:jc w:val="left"/>
            </w:pPr>
            <w:r>
              <w:t>Seal or gasket</w:t>
            </w:r>
          </w:p>
        </w:tc>
        <w:tc>
          <w:tcPr>
            <w:tcW w:type="dxa" w:w="2700"/>
          </w:tcPr>
          <w:p>
            <w:pPr>
              <w:spacing w:after="0" w:before="0" w:line="240" w:lineRule="auto"/>
              <w:jc w:val="left"/>
            </w:pPr>
            <w:r>
              <w:t>Record existing arrangement</w:t>
            </w:r>
          </w:p>
        </w:tc>
        <w:tc>
          <w:tcPr>
            <w:tcW w:type="dxa" w:w="2700"/>
          </w:tcPr>
          <w:p>
            <w:pPr>
              <w:spacing w:after="0" w:before="0" w:line="240" w:lineRule="auto"/>
              <w:jc w:val="left"/>
            </w:pPr>
            <w:r>
              <w:t>Verify required gasket and mounting procedure</w:t>
            </w:r>
          </w:p>
        </w:tc>
        <w:tc>
          <w:tcPr>
            <w:tcW w:type="dxa" w:w="2700"/>
          </w:tcPr>
          <w:p>
            <w:pPr>
              <w:spacing w:after="0" w:before="0" w:line="240" w:lineRule="auto"/>
              <w:jc w:val="left"/>
            </w:pPr>
            <w:r>
              <w:t>Maintain enclosure protection</w:t>
            </w:r>
          </w:p>
        </w:tc>
      </w:tr>
      <w:tr>
        <w:tc>
          <w:tcPr>
            <w:tcW w:type="dxa" w:w="2700"/>
          </w:tcPr>
          <w:p>
            <w:pPr>
              <w:spacing w:after="0" w:before="0" w:line="240" w:lineRule="auto"/>
              <w:jc w:val="left"/>
            </w:pPr>
            <w:r>
              <w:t>Cable bend space</w:t>
            </w:r>
          </w:p>
        </w:tc>
        <w:tc>
          <w:tcPr>
            <w:tcW w:type="dxa" w:w="2700"/>
          </w:tcPr>
          <w:p>
            <w:pPr>
              <w:spacing w:after="0" w:before="0" w:line="240" w:lineRule="auto"/>
              <w:jc w:val="left"/>
            </w:pPr>
            <w:r>
              <w:t>Inspect existing cable routing</w:t>
            </w:r>
          </w:p>
        </w:tc>
        <w:tc>
          <w:tcPr>
            <w:tcW w:type="dxa" w:w="2700"/>
          </w:tcPr>
          <w:p>
            <w:pPr>
              <w:spacing w:after="0" w:before="0" w:line="240" w:lineRule="auto"/>
              <w:jc w:val="left"/>
            </w:pPr>
            <w:r>
              <w:t>Check connector clearance and bend radius</w:t>
            </w:r>
          </w:p>
        </w:tc>
        <w:tc>
          <w:tcPr>
            <w:tcW w:type="dxa" w:w="2700"/>
          </w:tcPr>
          <w:p>
            <w:pPr>
              <w:spacing w:after="0" w:before="0" w:line="240" w:lineRule="auto"/>
              <w:jc w:val="left"/>
            </w:pPr>
            <w:r>
              <w:t>Prevent strain and interference</w:t>
            </w:r>
          </w:p>
        </w:tc>
      </w:tr>
    </w:tbl>
    <w:p/>
    <w:p>
      <w:r>
        <w:t>Important: Use the official mechanical drawings for the exact model pair. Do not estimate a cutout from a photograph, a rounded screen size, or a similarly named model.</w:t>
      </w:r>
    </w:p>
    <w:p>
      <w:pPr>
        <w:pStyle w:val="Heading2"/>
      </w:pPr>
      <w:r>
        <w:t>4. Are GOT1000 and GOT2000 panel cutouts compatible?</w:t>
      </w:r>
    </w:p>
    <w:p>
      <w:r>
        <w:t>Mitsubishi Electric documents that GOT1000 and GOT2000 models with the same screen size generally have the same panel cutout dimensions, with the GT25 open-frame models excluded from that general rule. This is useful when considering a direct replacement, but it is not a substitute for checking the exact model drawings.</w:t>
      </w:r>
    </w:p>
    <w:p>
      <w:r>
        <w:t>The smaller GT10-to-GT21 replacement cases illustrate why model-specific checks matter: some replacements use different cutout dimensions, and certain cases require an attachment or conversion cable.</w:t>
      </w:r>
    </w:p>
    <w:p>
      <w:r>
        <w:t>Use this decision process:</w:t>
      </w:r>
    </w:p>
    <w:p>
      <w:pPr>
        <w:tabs>
          <w:tab w:pos="403" w:val="left"/>
        </w:tabs>
        <w:spacing w:after="40" w:line="276" w:lineRule="auto"/>
        <w:ind w:left="403" w:hanging="403"/>
        <w:jc w:val="left"/>
      </w:pPr>
      <w:r>
        <w:rPr>
          <w:color w:val="1A2E4A"/>
        </w:rPr>
        <w:t>1.</w:t>
        <w:tab/>
      </w:r>
      <w:r>
        <w:t>Identify the full source and replacement catalog numbers.</w:t>
      </w:r>
    </w:p>
    <w:p>
      <w:pPr>
        <w:tabs>
          <w:tab w:pos="403" w:val="left"/>
        </w:tabs>
        <w:spacing w:after="40" w:line="276" w:lineRule="auto"/>
        <w:ind w:left="403" w:hanging="403"/>
        <w:jc w:val="left"/>
      </w:pPr>
      <w:r>
        <w:rPr>
          <w:color w:val="1A2E4A"/>
        </w:rPr>
        <w:t>2.</w:t>
        <w:tab/>
      </w:r>
      <w:r>
        <w:t>Obtain the official hardware manuals and mechanical drawings for both.</w:t>
      </w:r>
    </w:p>
    <w:p>
      <w:pPr>
        <w:tabs>
          <w:tab w:pos="403" w:val="left"/>
        </w:tabs>
        <w:spacing w:after="40" w:line="276" w:lineRule="auto"/>
        <w:ind w:left="403" w:hanging="403"/>
        <w:jc w:val="left"/>
      </w:pPr>
      <w:r>
        <w:rPr>
          <w:color w:val="1A2E4A"/>
        </w:rPr>
        <w:t>3.</w:t>
        <w:tab/>
      </w:r>
      <w:r>
        <w:t>Compare the specified cutout, front dimensions, mounting depth, and mounting method.</w:t>
      </w:r>
    </w:p>
    <w:p>
      <w:pPr>
        <w:tabs>
          <w:tab w:pos="403" w:val="left"/>
        </w:tabs>
        <w:spacing w:after="40" w:line="276" w:lineRule="auto"/>
        <w:ind w:left="403" w:hanging="403"/>
        <w:jc w:val="left"/>
      </w:pPr>
      <w:r>
        <w:rPr>
          <w:color w:val="1A2E4A"/>
        </w:rPr>
        <w:t>4.</w:t>
        <w:tab/>
      </w:r>
      <w:r>
        <w:t>Check whether a conversion attachment, cable, or panel modification is required.</w:t>
      </w:r>
    </w:p>
    <w:p>
      <w:pPr>
        <w:tabs>
          <w:tab w:pos="403" w:val="left"/>
        </w:tabs>
        <w:spacing w:after="40" w:line="276" w:lineRule="auto"/>
        <w:ind w:left="403" w:hanging="403"/>
        <w:jc w:val="left"/>
      </w:pPr>
      <w:r>
        <w:rPr>
          <w:color w:val="1A2E4A"/>
        </w:rPr>
        <w:t>5.</w:t>
        <w:tab/>
      </w:r>
      <w:r>
        <w:t>Verify the actual enclosure condition and clearance before ordering or installing the replacement.</w:t>
      </w:r>
    </w:p>
    <w:p>
      <w:r>
        <w:t>Do not enlarge or modify a machine panel until the replacement model and approved mounting method have been confirmed.</w:t>
      </w:r>
    </w:p>
    <w:p>
      <w:pPr>
        <w:pStyle w:val="Heading2"/>
      </w:pPr>
      <w:r>
        <w:t>5. Mounting and mechanical installation</w:t>
      </w:r>
    </w:p>
    <w:p>
      <w:pPr>
        <w:pStyle w:val="Heading3"/>
      </w:pPr>
      <w:r>
        <w:t>5.1 Mounting clamps and retention</w:t>
      </w:r>
    </w:p>
    <w:p>
      <w:r>
        <w:t>GOT terminals are mounted using the method specified for the exact model. Depending on the terminal design, mounting clamps or other model-specific hardware secure the unit against the panel.</w:t>
      </w:r>
    </w:p>
    <w:p>
      <w:r>
        <w:t>Inspect:</w:t>
      </w:r>
    </w:p>
    <w:p>
      <w:pPr>
        <w:pStyle w:val="ListBullet"/>
      </w:pPr>
      <w:r>
        <w:t>Correct mounting hardware and number of clamps.</w:t>
      </w:r>
    </w:p>
    <w:p>
      <w:pPr>
        <w:pStyle w:val="ListBullet"/>
      </w:pPr>
      <w:r>
        <w:t>Correct clamp locations and engagement.</w:t>
      </w:r>
    </w:p>
    <w:p>
      <w:pPr>
        <w:pStyle w:val="ListBullet"/>
      </w:pPr>
      <w:r>
        <w:t>Panel thickness within the manufacturer's permitted range.</w:t>
      </w:r>
    </w:p>
    <w:p>
      <w:pPr>
        <w:pStyle w:val="ListBullet"/>
      </w:pPr>
      <w:r>
        <w:t>Flatness and rigidity of the mounting surface.</w:t>
      </w:r>
    </w:p>
    <w:p>
      <w:pPr>
        <w:pStyle w:val="ListBullet"/>
      </w:pPr>
      <w:r>
        <w:t>Sufficient clearance around the enclosure opening.</w:t>
      </w:r>
    </w:p>
    <w:p>
      <w:pPr>
        <w:pStyle w:val="ListBullet"/>
      </w:pPr>
      <w:r>
        <w:t>No interference from internal wiring ducts, brackets, or adjacent equipment.</w:t>
      </w:r>
    </w:p>
    <w:p>
      <w:pPr>
        <w:pStyle w:val="ListBullet"/>
      </w:pPr>
      <w:r>
        <w:t>Correct tightening procedure and torque, where specified.</w:t>
      </w:r>
    </w:p>
    <w:p>
      <w:r>
        <w:t>Overtightening can deform the enclosure, damage the panel, or compromise the seal. Undertightening can allow movement, vibration, or loss of enclosure protection. Use the manufacturer's specified installation procedure rather than relying on how tightly the old terminal was mounted.</w:t>
      </w:r>
    </w:p>
    <w:p>
      <w:pPr>
        <w:pStyle w:val="Heading3"/>
      </w:pPr>
      <w:r>
        <w:t>5.2 Gasket and enclosure protection</w:t>
      </w:r>
    </w:p>
    <w:p>
      <w:r>
        <w:t>The seal between the terminal and the panel is part of the enclosure's environmental protection.</w:t>
      </w:r>
    </w:p>
    <w:p>
      <w:r>
        <w:t>Check:</w:t>
      </w:r>
    </w:p>
    <w:p>
      <w:pPr>
        <w:pStyle w:val="ListBullet"/>
      </w:pPr>
      <w:r>
        <w:t>Gasket type and condition.</w:t>
      </w:r>
    </w:p>
    <w:p>
      <w:pPr>
        <w:pStyle w:val="ListBullet"/>
      </w:pPr>
      <w:r>
        <w:t>Correct gasket placement and seating.</w:t>
      </w:r>
    </w:p>
    <w:p>
      <w:pPr>
        <w:pStyle w:val="ListBullet"/>
      </w:pPr>
      <w:r>
        <w:t>Surface cleanliness and flatness.</w:t>
      </w:r>
    </w:p>
    <w:p>
      <w:pPr>
        <w:pStyle w:val="ListBullet"/>
      </w:pPr>
      <w:r>
        <w:t>Mounting pressure and clamp engagement.</w:t>
      </w:r>
    </w:p>
    <w:p>
      <w:pPr>
        <w:pStyle w:val="ListBullet"/>
      </w:pPr>
      <w:r>
        <w:t>Whether the new model has the same environmental rating under the intended installation conditions.</w:t>
      </w:r>
    </w:p>
    <w:p>
      <w:pPr>
        <w:pStyle w:val="ListBullet"/>
      </w:pPr>
      <w:r>
        <w:t>Whether additional protection is needed against oil, coolant, dust, or washdown.</w:t>
      </w:r>
    </w:p>
    <w:p>
      <w:r>
        <w:t>A terminal's published ingress-protection rating does not mean that any installation will achieve that rating. The enclosure, gasket, panel surface, and mounting procedure all matter.</w:t>
      </w:r>
    </w:p>
    <w:p>
      <w:pPr>
        <w:pStyle w:val="Heading3"/>
      </w:pPr>
      <w:r>
        <w:t>5.3 Rear clearance and cable routing</w:t>
      </w:r>
    </w:p>
    <w:p>
      <w:r>
        <w:t>The rear of the GOT may contain power terminals, serial connectors, Ethernet ports, USB ports, removable storage interfaces, and optional interfaces, depending on the model.</w:t>
      </w:r>
    </w:p>
    <w:p>
      <w:r>
        <w:t>Before installation, verify:</w:t>
      </w:r>
    </w:p>
    <w:p>
      <w:pPr>
        <w:pStyle w:val="ListBullet"/>
      </w:pPr>
      <w:r>
        <w:t>Body depth and protruding connectors.</w:t>
      </w:r>
    </w:p>
    <w:p>
      <w:pPr>
        <w:pStyle w:val="ListBullet"/>
      </w:pPr>
      <w:r>
        <w:t>Connector insertion and removal space.</w:t>
      </w:r>
    </w:p>
    <w:p>
      <w:pPr>
        <w:pStyle w:val="ListBullet"/>
      </w:pPr>
      <w:r>
        <w:t>Cable bend radius and strain relief.</w:t>
      </w:r>
    </w:p>
    <w:p>
      <w:pPr>
        <w:pStyle w:val="ListBullet"/>
      </w:pPr>
      <w:r>
        <w:t>Access to removable storage and maintenance switches, if fitted.</w:t>
      </w:r>
    </w:p>
    <w:p>
      <w:pPr>
        <w:pStyle w:val="ListBullet"/>
      </w:pPr>
      <w:r>
        <w:t>Clearance from hot components and moving mechanisms.</w:t>
      </w:r>
    </w:p>
    <w:p>
      <w:pPr>
        <w:pStyle w:val="ListBullet"/>
      </w:pPr>
      <w:r>
        <w:t>Separation from high-noise power wiring where required.</w:t>
      </w:r>
    </w:p>
    <w:p>
      <w:pPr>
        <w:pStyle w:val="ListBullet"/>
      </w:pPr>
      <w:r>
        <w:t>Access for future replacement and troubleshooting.</w:t>
      </w:r>
    </w:p>
    <w:p>
      <w:r>
        <w:t>The new unit may fit the front cutout yet still be unsuitable because a connector collides with a duct, cabinet door, or adjacent component.</w:t>
      </w:r>
    </w:p>
    <w:p>
      <w:pPr>
        <w:pStyle w:val="Heading2"/>
      </w:pPr>
      <w:r>
        <w:t>6. Electrical power requirements</w:t>
      </w:r>
    </w:p>
    <w:p>
      <w:r>
        <w:t>GOT2000 models do not all use the same supply arrangement. The required supply voltage, allowable voltage range, power consumption, protective-device requirements, and wiring details must be taken from the exact model's hardware manual.</w:t>
      </w:r>
    </w:p>
    <w:p>
      <w:pPr>
        <w:pStyle w:val="Heading3"/>
      </w:pPr>
      <w:r>
        <w:t>6.1 Power-supply checks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What to verify</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Rated supply voltage</w:t>
            </w:r>
          </w:p>
        </w:tc>
        <w:tc>
          <w:tcPr>
            <w:tcW w:type="dxa" w:w="3600"/>
          </w:tcPr>
          <w:p>
            <w:pPr>
              <w:spacing w:after="0" w:before="0" w:line="240" w:lineRule="auto"/>
              <w:jc w:val="left"/>
            </w:pPr>
            <w:r>
              <w:t>Exact model requirement</w:t>
            </w:r>
          </w:p>
        </w:tc>
        <w:tc>
          <w:tcPr>
            <w:tcW w:type="dxa" w:w="3600"/>
          </w:tcPr>
          <w:p>
            <w:pPr>
              <w:spacing w:after="0" w:before="0" w:line="240" w:lineRule="auto"/>
              <w:jc w:val="left"/>
            </w:pPr>
            <w:r>
              <w:t>Prevents applying an incompatible supply</w:t>
            </w:r>
          </w:p>
        </w:tc>
      </w:tr>
      <w:tr>
        <w:tc>
          <w:tcPr>
            <w:tcW w:type="dxa" w:w="3600"/>
          </w:tcPr>
          <w:p>
            <w:pPr>
              <w:spacing w:after="0" w:before="0" w:line="240" w:lineRule="auto"/>
              <w:jc w:val="left"/>
            </w:pPr>
            <w:r>
              <w:t>Permitted voltage range</w:t>
            </w:r>
          </w:p>
        </w:tc>
        <w:tc>
          <w:tcPr>
            <w:tcW w:type="dxa" w:w="3600"/>
          </w:tcPr>
          <w:p>
            <w:pPr>
              <w:spacing w:after="0" w:before="0" w:line="240" w:lineRule="auto"/>
              <w:jc w:val="left"/>
            </w:pPr>
            <w:r>
              <w:t>Manufacturer's limits</w:t>
            </w:r>
          </w:p>
        </w:tc>
        <w:tc>
          <w:tcPr>
            <w:tcW w:type="dxa" w:w="3600"/>
          </w:tcPr>
          <w:p>
            <w:pPr>
              <w:spacing w:after="0" w:before="0" w:line="240" w:lineRule="auto"/>
              <w:jc w:val="left"/>
            </w:pPr>
            <w:r>
              <w:t>Confirms the supply remains within specification</w:t>
            </w:r>
          </w:p>
        </w:tc>
      </w:tr>
      <w:tr>
        <w:tc>
          <w:tcPr>
            <w:tcW w:type="dxa" w:w="3600"/>
          </w:tcPr>
          <w:p>
            <w:pPr>
              <w:spacing w:after="0" w:before="0" w:line="240" w:lineRule="auto"/>
              <w:jc w:val="left"/>
            </w:pPr>
            <w:r>
              <w:t>Power consumption</w:t>
            </w:r>
          </w:p>
        </w:tc>
        <w:tc>
          <w:tcPr>
            <w:tcW w:type="dxa" w:w="3600"/>
          </w:tcPr>
          <w:p>
            <w:pPr>
              <w:spacing w:after="0" w:before="0" w:line="240" w:lineRule="auto"/>
              <w:jc w:val="left"/>
            </w:pPr>
            <w:r>
              <w:t>Maximum or specified model value</w:t>
            </w:r>
          </w:p>
        </w:tc>
        <w:tc>
          <w:tcPr>
            <w:tcW w:type="dxa" w:w="3600"/>
          </w:tcPr>
          <w:p>
            <w:pPr>
              <w:spacing w:after="0" w:before="0" w:line="240" w:lineRule="auto"/>
              <w:jc w:val="left"/>
            </w:pPr>
            <w:r>
              <w:t>Allows correct power-budget calculation</w:t>
            </w:r>
          </w:p>
        </w:tc>
      </w:tr>
      <w:tr>
        <w:tc>
          <w:tcPr>
            <w:tcW w:type="dxa" w:w="3600"/>
          </w:tcPr>
          <w:p>
            <w:pPr>
              <w:spacing w:after="0" w:before="0" w:line="240" w:lineRule="auto"/>
              <w:jc w:val="left"/>
            </w:pPr>
            <w:r>
              <w:t>Supply capacity</w:t>
            </w:r>
          </w:p>
        </w:tc>
        <w:tc>
          <w:tcPr>
            <w:tcW w:type="dxa" w:w="3600"/>
          </w:tcPr>
          <w:p>
            <w:pPr>
              <w:spacing w:after="0" w:before="0" w:line="240" w:lineRule="auto"/>
              <w:jc w:val="left"/>
            </w:pPr>
            <w:r>
              <w:t>Available capacity under actual loading</w:t>
            </w:r>
          </w:p>
        </w:tc>
        <w:tc>
          <w:tcPr>
            <w:tcW w:type="dxa" w:w="3600"/>
          </w:tcPr>
          <w:p>
            <w:pPr>
              <w:spacing w:after="0" w:before="0" w:line="240" w:lineRule="auto"/>
              <w:jc w:val="left"/>
            </w:pPr>
            <w:r>
              <w:t>Prevents voltage drop or supply overload</w:t>
            </w:r>
          </w:p>
        </w:tc>
      </w:tr>
      <w:tr>
        <w:tc>
          <w:tcPr>
            <w:tcW w:type="dxa" w:w="3600"/>
          </w:tcPr>
          <w:p>
            <w:pPr>
              <w:spacing w:after="0" w:before="0" w:line="240" w:lineRule="auto"/>
              <w:jc w:val="left"/>
            </w:pPr>
            <w:r>
              <w:t>Polarity and terminals</w:t>
            </w:r>
          </w:p>
        </w:tc>
        <w:tc>
          <w:tcPr>
            <w:tcW w:type="dxa" w:w="3600"/>
          </w:tcPr>
          <w:p>
            <w:pPr>
              <w:spacing w:after="0" w:before="0" w:line="240" w:lineRule="auto"/>
              <w:jc w:val="left"/>
            </w:pPr>
            <w:r>
              <w:t>Correct terminal identification</w:t>
            </w:r>
          </w:p>
        </w:tc>
        <w:tc>
          <w:tcPr>
            <w:tcW w:type="dxa" w:w="3600"/>
          </w:tcPr>
          <w:p>
            <w:pPr>
              <w:spacing w:after="0" w:before="0" w:line="240" w:lineRule="auto"/>
              <w:jc w:val="left"/>
            </w:pPr>
            <w:r>
              <w:t>Prevents wiring errors</w:t>
            </w:r>
          </w:p>
        </w:tc>
      </w:tr>
      <w:tr>
        <w:tc>
          <w:tcPr>
            <w:tcW w:type="dxa" w:w="3600"/>
          </w:tcPr>
          <w:p>
            <w:pPr>
              <w:spacing w:after="0" w:before="0" w:line="240" w:lineRule="auto"/>
              <w:jc w:val="left"/>
            </w:pPr>
            <w:r>
              <w:t>Protective devices</w:t>
            </w:r>
          </w:p>
        </w:tc>
        <w:tc>
          <w:tcPr>
            <w:tcW w:type="dxa" w:w="3600"/>
          </w:tcPr>
          <w:p>
            <w:pPr>
              <w:spacing w:after="0" w:before="0" w:line="240" w:lineRule="auto"/>
              <w:jc w:val="left"/>
            </w:pPr>
            <w:r>
              <w:t>Required fuse or circuit protection</w:t>
            </w:r>
          </w:p>
        </w:tc>
        <w:tc>
          <w:tcPr>
            <w:tcW w:type="dxa" w:w="3600"/>
          </w:tcPr>
          <w:p>
            <w:pPr>
              <w:spacing w:after="0" w:before="0" w:line="240" w:lineRule="auto"/>
              <w:jc w:val="left"/>
            </w:pPr>
            <w:r>
              <w:t>Protects wiring and equipment as specified</w:t>
            </w:r>
          </w:p>
        </w:tc>
      </w:tr>
      <w:tr>
        <w:tc>
          <w:tcPr>
            <w:tcW w:type="dxa" w:w="3600"/>
          </w:tcPr>
          <w:p>
            <w:pPr>
              <w:spacing w:after="0" w:before="0" w:line="240" w:lineRule="auto"/>
              <w:jc w:val="left"/>
            </w:pPr>
            <w:r>
              <w:t>Grounding</w:t>
            </w:r>
          </w:p>
        </w:tc>
        <w:tc>
          <w:tcPr>
            <w:tcW w:type="dxa" w:w="3600"/>
          </w:tcPr>
          <w:p>
            <w:pPr>
              <w:spacing w:after="0" w:before="0" w:line="240" w:lineRule="auto"/>
              <w:jc w:val="left"/>
            </w:pPr>
            <w:r>
              <w:t>Manufacturer and site requirements</w:t>
            </w:r>
          </w:p>
        </w:tc>
        <w:tc>
          <w:tcPr>
            <w:tcW w:type="dxa" w:w="3600"/>
          </w:tcPr>
          <w:p>
            <w:pPr>
              <w:spacing w:after="0" w:before="0" w:line="240" w:lineRule="auto"/>
              <w:jc w:val="left"/>
            </w:pPr>
            <w:r>
              <w:t>Supports electrical safety and noise control</w:t>
            </w:r>
          </w:p>
        </w:tc>
      </w:tr>
      <w:tr>
        <w:tc>
          <w:tcPr>
            <w:tcW w:type="dxa" w:w="3600"/>
          </w:tcPr>
          <w:p>
            <w:pPr>
              <w:spacing w:after="0" w:before="0" w:line="240" w:lineRule="auto"/>
              <w:jc w:val="left"/>
            </w:pPr>
            <w:r>
              <w:t>Wiring size</w:t>
            </w:r>
          </w:p>
        </w:tc>
        <w:tc>
          <w:tcPr>
            <w:tcW w:type="dxa" w:w="3600"/>
          </w:tcPr>
          <w:p>
            <w:pPr>
              <w:spacing w:after="0" w:before="0" w:line="240" w:lineRule="auto"/>
              <w:jc w:val="left"/>
            </w:pPr>
            <w:r>
              <w:t>Approved conductor size and termination method</w:t>
            </w:r>
          </w:p>
        </w:tc>
        <w:tc>
          <w:tcPr>
            <w:tcW w:type="dxa" w:w="3600"/>
          </w:tcPr>
          <w:p>
            <w:pPr>
              <w:spacing w:after="0" w:before="0" w:line="240" w:lineRule="auto"/>
              <w:jc w:val="left"/>
            </w:pPr>
            <w:r>
              <w:t>Supports reliable connections</w:t>
            </w:r>
          </w:p>
        </w:tc>
      </w:tr>
      <w:tr>
        <w:tc>
          <w:tcPr>
            <w:tcW w:type="dxa" w:w="3600"/>
          </w:tcPr>
          <w:p>
            <w:pPr>
              <w:spacing w:after="0" w:before="0" w:line="240" w:lineRule="auto"/>
              <w:jc w:val="left"/>
            </w:pPr>
            <w:r>
              <w:t>Power interruption</w:t>
            </w:r>
          </w:p>
        </w:tc>
        <w:tc>
          <w:tcPr>
            <w:tcW w:type="dxa" w:w="3600"/>
          </w:tcPr>
          <w:p>
            <w:pPr>
              <w:spacing w:after="0" w:before="0" w:line="240" w:lineRule="auto"/>
              <w:jc w:val="left"/>
            </w:pPr>
            <w:r>
              <w:t>Required behavior after loss and restoration</w:t>
            </w:r>
          </w:p>
        </w:tc>
        <w:tc>
          <w:tcPr>
            <w:tcW w:type="dxa" w:w="3600"/>
          </w:tcPr>
          <w:p>
            <w:pPr>
              <w:spacing w:after="0" w:before="0" w:line="240" w:lineRule="auto"/>
              <w:jc w:val="left"/>
            </w:pPr>
            <w:r>
              <w:t>Prevents unintended operation and data loss</w:t>
            </w:r>
          </w:p>
        </w:tc>
      </w:tr>
    </w:tbl>
    <w:p/>
    <w:p>
      <w:pPr>
        <w:pStyle w:val="Heading3"/>
      </w:pPr>
      <w:r>
        <w:t>6.2 Power budget</w:t>
      </w:r>
    </w:p>
    <w:p>
      <w:r>
        <w:t>If several devices share a supply, calculate the total load using their documented consumption values.</w:t>
      </w:r>
    </w:p>
    <w:p>
      <w:r>
        <w:t>For a simple DC supply budget:</w:t>
      </w:r>
    </w:p>
    <w:p>
      <w:pPr>
        <w:spacing w:before="120" w:after="160"/>
        <w:jc w:val="center"/>
      </w:pPr>
      <m:oMathPara>
        <m:oMath>
          <m:sSub>
            <m:e>
              <m:r>
                <m:t>I</m:t>
              </m:r>
            </m:e>
            <m:sub>
              <m:r>
                <m:rPr>
                  <m:nor/>
                </m:rPr>
                <m:t>total</m:t>
              </m:r>
            </m:sub>
          </m:sSub>
          <m:r>
            <m:t>=</m:t>
          </m:r>
          <m:sSub>
            <m:e>
              <m:r>
                <m:t>I</m:t>
              </m:r>
            </m:e>
            <m:sub>
              <m:r>
                <m:rPr>
                  <m:nor/>
                </m:rPr>
                <m:t>GOT</m:t>
              </m:r>
            </m:sub>
          </m:sSub>
          <m:r>
            <m:t>+</m:t>
          </m:r>
          <m:nary>
            <m:naryPr>
              <m:chr m:val="∑"/>
              <m:limLoc m:val="subSup"/>
              <m:grow m:val="1"/>
              <m:subHide m:val="off"/>
              <m:supHide m:val="off"/>
            </m:naryPr>
            <m:sub>
              <m:r>
                <m:t>k=1</m:t>
              </m:r>
            </m:sub>
            <m:sup>
              <m:r>
                <m:t>n</m:t>
              </m:r>
            </m:sup>
            <m:e>
              <m:sSub>
                <m:e>
                  <m:r>
                    <m:t>I</m:t>
                  </m:r>
                </m:e>
                <m:sub>
                  <m:r>
                    <m:t>k</m:t>
                  </m:r>
                </m:sub>
              </m:sSub>
            </m:e>
          </m:nary>
        </m:oMath>
      </m:oMathPara>
    </w:p>
    <w:p>
      <w:r>
        <w:t xml:space="preserve">where </w:t>
      </w:r>
      <m:oMath>
        <m:sSub>
          <m:e>
            <m:r>
              <m:t>I</m:t>
            </m:r>
          </m:e>
          <m:sub>
            <m:r>
              <m:rPr>
                <m:nor/>
              </m:rPr>
              <m:t>GOT</m:t>
            </m:r>
          </m:sub>
        </m:sSub>
      </m:oMath>
      <w:r>
        <w:t xml:space="preserve"> is the GOT current demand and </w:t>
      </w:r>
      <m:oMath>
        <m:sSub>
          <m:e>
            <m:r>
              <m:t>I</m:t>
            </m:r>
          </m:e>
          <m:sub>
            <m:r>
              <m:t>k</m:t>
            </m:r>
          </m:sub>
        </m:sSub>
      </m:oMath>
      <w:r>
        <w:t xml:space="preserve"> represents each additional load connected to the same supply.</w:t>
      </w:r>
    </w:p>
    <w:p>
      <w:r>
        <w:t>The selected supply must support the total load under the real operating conditions, including any applicable derating, startup behavior, and expansion requirements. Do not estimate current from the screen size or assume the replacement consumes the same power as the old unit.</w:t>
      </w:r>
    </w:p>
    <w:p>
      <w:pPr>
        <w:pStyle w:val="Heading3"/>
      </w:pPr>
      <w:r>
        <w:t>6.3 Power restoration behavior</w:t>
      </w:r>
    </w:p>
    <w:p>
      <w:r>
        <w:t>After power restoration, verify the terminal starts correctly, reconnects to the PLC, restores the expected screen, and handles communication loss according to the design.</w:t>
      </w:r>
    </w:p>
    <w:p>
      <w:r>
        <w:t>The HMI should not unintentionally initiate hazardous machine motion merely because it has restarted. The PLC's command validation, permissives, and machine restart logic must remain responsible for safe operation.</w:t>
      </w:r>
    </w:p>
    <w:p>
      <w:pPr>
        <w:pStyle w:val="Heading2"/>
      </w:pPr>
      <w:r>
        <w:t>7. Communication ports and connectors</w:t>
      </w:r>
    </w:p>
    <w:p>
      <w:r>
        <w:t>Port compatibility is one of the most important parts of a GOT migration. The replacement may have different built-in interfaces, connector types, supported protocols, or optional communication modules.</w:t>
      </w:r>
    </w:p>
    <w:p>
      <w:r>
        <w:t>Never assume that a port is compatible just because it looks physically similar.</w:t>
      </w:r>
    </w:p>
    <w:p>
      <w:pPr>
        <w:pStyle w:val="Heading3"/>
      </w:pPr>
      <w:r>
        <w:t>7.1 Common interface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Migration checks</w:t>
            </w:r>
          </w:p>
        </w:tc>
      </w:tr>
      <w:tr>
        <w:tc>
          <w:tcPr>
            <w:tcW w:type="dxa" w:w="3600"/>
          </w:tcPr>
          <w:p>
            <w:pPr>
              <w:spacing w:after="0" w:before="0" w:line="240" w:lineRule="auto"/>
              <w:jc w:val="left"/>
            </w:pPr>
            <w:r>
              <w:t>Ethernet</w:t>
            </w:r>
          </w:p>
        </w:tc>
        <w:tc>
          <w:tcPr>
            <w:tcW w:type="dxa" w:w="3600"/>
          </w:tcPr>
          <w:p>
            <w:pPr>
              <w:spacing w:after="0" w:before="0" w:line="240" w:lineRule="auto"/>
              <w:jc w:val="left"/>
            </w:pPr>
            <w:r>
              <w:t>PLC communication, engineering access, supported network services</w:t>
            </w:r>
          </w:p>
        </w:tc>
        <w:tc>
          <w:tcPr>
            <w:tcW w:type="dxa" w:w="3600"/>
          </w:tcPr>
          <w:p>
            <w:pPr>
              <w:spacing w:after="0" w:before="0" w:line="240" w:lineRule="auto"/>
              <w:jc w:val="left"/>
            </w:pPr>
            <w:r>
              <w:t>Port availability, IP configuration, protocol support, network topology</w:t>
            </w:r>
          </w:p>
        </w:tc>
      </w:tr>
      <w:tr>
        <w:tc>
          <w:tcPr>
            <w:tcW w:type="dxa" w:w="3600"/>
          </w:tcPr>
          <w:p>
            <w:pPr>
              <w:spacing w:after="0" w:before="0" w:line="240" w:lineRule="auto"/>
              <w:jc w:val="left"/>
            </w:pPr>
            <w:r>
              <w:t>RS-232</w:t>
            </w:r>
          </w:p>
        </w:tc>
        <w:tc>
          <w:tcPr>
            <w:tcW w:type="dxa" w:w="3600"/>
          </w:tcPr>
          <w:p>
            <w:pPr>
              <w:spacing w:after="0" w:before="0" w:line="240" w:lineRule="auto"/>
              <w:jc w:val="left"/>
            </w:pPr>
            <w:r>
              <w:t>Serial communication with supported controllers or devices</w:t>
            </w:r>
          </w:p>
        </w:tc>
        <w:tc>
          <w:tcPr>
            <w:tcW w:type="dxa" w:w="3600"/>
          </w:tcPr>
          <w:p>
            <w:pPr>
              <w:spacing w:after="0" w:before="0" w:line="240" w:lineRule="auto"/>
              <w:jc w:val="left"/>
            </w:pPr>
            <w:r>
              <w:t>Connector pinout, cable, electrical interface, protocol, baud rate</w:t>
            </w:r>
          </w:p>
        </w:tc>
      </w:tr>
      <w:tr>
        <w:tc>
          <w:tcPr>
            <w:tcW w:type="dxa" w:w="3600"/>
          </w:tcPr>
          <w:p>
            <w:pPr>
              <w:spacing w:after="0" w:before="0" w:line="240" w:lineRule="auto"/>
              <w:jc w:val="left"/>
            </w:pPr>
            <w:r>
              <w:t>RS-422/RS-485</w:t>
            </w:r>
          </w:p>
        </w:tc>
        <w:tc>
          <w:tcPr>
            <w:tcW w:type="dxa" w:w="3600"/>
          </w:tcPr>
          <w:p>
            <w:pPr>
              <w:spacing w:after="0" w:before="0" w:line="240" w:lineRule="auto"/>
              <w:jc w:val="left"/>
            </w:pPr>
            <w:r>
              <w:t>Supported serial controller or multidrop communications</w:t>
            </w:r>
          </w:p>
        </w:tc>
        <w:tc>
          <w:tcPr>
            <w:tcW w:type="dxa" w:w="3600"/>
          </w:tcPr>
          <w:p>
            <w:pPr>
              <w:spacing w:after="0" w:before="0" w:line="240" w:lineRule="auto"/>
              <w:jc w:val="left"/>
            </w:pPr>
            <w:r>
              <w:t>Electrical standard, wiring, termination, topology, supported protocol</w:t>
            </w:r>
          </w:p>
        </w:tc>
      </w:tr>
      <w:tr>
        <w:tc>
          <w:tcPr>
            <w:tcW w:type="dxa" w:w="3600"/>
          </w:tcPr>
          <w:p>
            <w:pPr>
              <w:spacing w:after="0" w:before="0" w:line="240" w:lineRule="auto"/>
              <w:jc w:val="left"/>
            </w:pPr>
            <w:r>
              <w:t>USB device</w:t>
            </w:r>
          </w:p>
        </w:tc>
        <w:tc>
          <w:tcPr>
            <w:tcW w:type="dxa" w:w="3600"/>
          </w:tcPr>
          <w:p>
            <w:pPr>
              <w:spacing w:after="0" w:before="0" w:line="240" w:lineRule="auto"/>
              <w:jc w:val="left"/>
            </w:pPr>
            <w:r>
              <w:t>Engineering connection or supported data transfer</w:t>
            </w:r>
          </w:p>
        </w:tc>
        <w:tc>
          <w:tcPr>
            <w:tcW w:type="dxa" w:w="3600"/>
          </w:tcPr>
          <w:p>
            <w:pPr>
              <w:spacing w:after="0" w:before="0" w:line="240" w:lineRule="auto"/>
              <w:jc w:val="left"/>
            </w:pPr>
            <w:r>
              <w:t>Connector type, PC connection requirements, driver and software support</w:t>
            </w:r>
          </w:p>
        </w:tc>
      </w:tr>
      <w:tr>
        <w:tc>
          <w:tcPr>
            <w:tcW w:type="dxa" w:w="3600"/>
          </w:tcPr>
          <w:p>
            <w:pPr>
              <w:spacing w:after="0" w:before="0" w:line="240" w:lineRule="auto"/>
              <w:jc w:val="left"/>
            </w:pPr>
            <w:r>
              <w:t>USB host</w:t>
            </w:r>
          </w:p>
        </w:tc>
        <w:tc>
          <w:tcPr>
            <w:tcW w:type="dxa" w:w="3600"/>
          </w:tcPr>
          <w:p>
            <w:pPr>
              <w:spacing w:after="0" w:before="0" w:line="240" w:lineRule="auto"/>
              <w:jc w:val="left"/>
            </w:pPr>
            <w:r>
              <w:t>Supported peripheral connection</w:t>
            </w:r>
          </w:p>
        </w:tc>
        <w:tc>
          <w:tcPr>
            <w:tcW w:type="dxa" w:w="3600"/>
          </w:tcPr>
          <w:p>
            <w:pPr>
              <w:spacing w:after="0" w:before="0" w:line="240" w:lineRule="auto"/>
              <w:jc w:val="left"/>
            </w:pPr>
            <w:r>
              <w:t>Device compatibility, power requirements, supported function</w:t>
            </w:r>
          </w:p>
        </w:tc>
      </w:tr>
      <w:tr>
        <w:tc>
          <w:tcPr>
            <w:tcW w:type="dxa" w:w="3600"/>
          </w:tcPr>
          <w:p>
            <w:pPr>
              <w:spacing w:after="0" w:before="0" w:line="240" w:lineRule="auto"/>
              <w:jc w:val="left"/>
            </w:pPr>
            <w:r>
              <w:t>SD card slot</w:t>
            </w:r>
          </w:p>
        </w:tc>
        <w:tc>
          <w:tcPr>
            <w:tcW w:type="dxa" w:w="3600"/>
          </w:tcPr>
          <w:p>
            <w:pPr>
              <w:spacing w:after="0" w:before="0" w:line="240" w:lineRule="auto"/>
              <w:jc w:val="left"/>
            </w:pPr>
            <w:r>
              <w:t>Supported project transfer, data logging, backup, or other configured functions</w:t>
            </w:r>
          </w:p>
        </w:tc>
        <w:tc>
          <w:tcPr>
            <w:tcW w:type="dxa" w:w="3600"/>
          </w:tcPr>
          <w:p>
            <w:pPr>
              <w:spacing w:after="0" w:before="0" w:line="240" w:lineRule="auto"/>
              <w:jc w:val="left"/>
            </w:pPr>
            <w:r>
              <w:t>Slot availability, card specification, supported file system and feature</w:t>
            </w:r>
          </w:p>
        </w:tc>
      </w:tr>
      <w:tr>
        <w:tc>
          <w:tcPr>
            <w:tcW w:type="dxa" w:w="3600"/>
          </w:tcPr>
          <w:p>
            <w:pPr>
              <w:spacing w:after="0" w:before="0" w:line="240" w:lineRule="auto"/>
              <w:jc w:val="left"/>
            </w:pPr>
            <w:r>
              <w:t>Expansion interface</w:t>
            </w:r>
          </w:p>
        </w:tc>
        <w:tc>
          <w:tcPr>
            <w:tcW w:type="dxa" w:w="3600"/>
          </w:tcPr>
          <w:p>
            <w:pPr>
              <w:spacing w:after="0" w:before="0" w:line="240" w:lineRule="auto"/>
              <w:jc w:val="left"/>
            </w:pPr>
            <w:r>
              <w:t>Optional supported functions</w:t>
            </w:r>
          </w:p>
        </w:tc>
        <w:tc>
          <w:tcPr>
            <w:tcW w:type="dxa" w:w="3600"/>
          </w:tcPr>
          <w:p>
            <w:pPr>
              <w:spacing w:after="0" w:before="0" w:line="240" w:lineRule="auto"/>
              <w:jc w:val="left"/>
            </w:pPr>
            <w:r>
              <w:t>Compatibility of the option with the exact GOT model</w:t>
            </w:r>
          </w:p>
        </w:tc>
      </w:tr>
      <w:tr>
        <w:tc>
          <w:tcPr>
            <w:tcW w:type="dxa" w:w="3600"/>
          </w:tcPr>
          <w:p>
            <w:pPr>
              <w:spacing w:after="0" w:before="0" w:line="240" w:lineRule="auto"/>
              <w:jc w:val="left"/>
            </w:pPr>
            <w:r>
              <w:t>Audio or other special interface</w:t>
            </w:r>
          </w:p>
        </w:tc>
        <w:tc>
          <w:tcPr>
            <w:tcW w:type="dxa" w:w="3600"/>
          </w:tcPr>
          <w:p>
            <w:pPr>
              <w:spacing w:after="0" w:before="0" w:line="240" w:lineRule="auto"/>
              <w:jc w:val="left"/>
            </w:pPr>
            <w:r>
              <w:t>Model-dependent specialized function</w:t>
            </w:r>
          </w:p>
        </w:tc>
        <w:tc>
          <w:tcPr>
            <w:tcW w:type="dxa" w:w="3600"/>
          </w:tcPr>
          <w:p>
            <w:pPr>
              <w:spacing w:after="0" w:before="0" w:line="240" w:lineRule="auto"/>
              <w:jc w:val="left"/>
            </w:pPr>
            <w:r>
              <w:t>Confirm availability and whether the existing application uses it</w:t>
            </w:r>
          </w:p>
        </w:tc>
      </w:tr>
    </w:tbl>
    <w:p/>
    <w:p>
      <w:r>
        <w:t>This table describes interface categories, not a promise that every GOT2000 model has every listed port. Check the hardware manual for the exact catalog number.</w:t>
      </w:r>
    </w:p>
    <w:p>
      <w:pPr>
        <w:pStyle w:val="Heading3"/>
      </w:pPr>
      <w:r>
        <w:t>7.2 Ethernet migration</w:t>
      </w:r>
    </w:p>
    <w:p>
      <w:r>
        <w:t>When the existing GOT communicates with a PLC over Ethernet, document:</w:t>
      </w:r>
    </w:p>
    <w:p>
      <w:pPr>
        <w:pStyle w:val="ListBullet"/>
      </w:pPr>
      <w:r>
        <w:t>GOT IP address and subnet mask.</w:t>
      </w:r>
    </w:p>
    <w:p>
      <w:pPr>
        <w:pStyle w:val="ListBullet"/>
      </w:pPr>
      <w:r>
        <w:t>PLC IP address and subnet mask.</w:t>
      </w:r>
    </w:p>
    <w:p>
      <w:pPr>
        <w:pStyle w:val="ListBullet"/>
      </w:pPr>
      <w:r>
        <w:t>Gateway requirements, if used.</w:t>
      </w:r>
    </w:p>
    <w:p>
      <w:pPr>
        <w:pStyle w:val="ListBullet"/>
      </w:pPr>
      <w:r>
        <w:t>Port and protocol requirements for the configured connection.</w:t>
      </w:r>
    </w:p>
    <w:p>
      <w:pPr>
        <w:pStyle w:val="ListBullet"/>
      </w:pPr>
      <w:r>
        <w:t>Whether the GOT uses a direct PLC connection or a routed network.</w:t>
      </w:r>
    </w:p>
    <w:p>
      <w:pPr>
        <w:pStyle w:val="ListBullet"/>
      </w:pPr>
      <w:r>
        <w:t>Any switches, VLANs, firewall rules, or network-security controls.</w:t>
      </w:r>
    </w:p>
    <w:p>
      <w:pPr>
        <w:pStyle w:val="ListBullet"/>
      </w:pPr>
      <w:r>
        <w:t>Engineering-PC access and project transfer requirements.</w:t>
      </w:r>
    </w:p>
    <w:p>
      <w:pPr>
        <w:pStyle w:val="ListBullet"/>
      </w:pPr>
      <w:r>
        <w:t>Any additional Ethernet devices or services configured on the terminal.</w:t>
      </w:r>
    </w:p>
    <w:p>
      <w:r>
        <w:t>Check for IP-address conflicts before connecting the replacement to the production network. Verify that the configured driver supports the target PLC and that the intended communication path is valid.</w:t>
      </w:r>
    </w:p>
    <w:p>
      <w:r>
        <w:t>A successful Ethernet link indication confirms only part of the connection. It does not prove that the GOT can read and write the required PLC devices correctly.</w:t>
      </w:r>
    </w:p>
    <w:p>
      <w:pPr>
        <w:pStyle w:val="Heading3"/>
      </w:pPr>
      <w:r>
        <w:t>7.3 Serial communication migration</w:t>
      </w:r>
    </w:p>
    <w:p>
      <w:r>
        <w:t>Legacy Mitsubishi installations may use serial communication to connect the GOT to a PLC or other equipment. The replacement must support the required electrical interface and protocol.</w:t>
      </w:r>
    </w:p>
    <w:p>
      <w:r>
        <w:t>Verify:</w:t>
      </w:r>
    </w:p>
    <w:p>
      <w:pPr>
        <w:pStyle w:val="ListBullet"/>
      </w:pPr>
      <w:r>
        <w:t>Whether the required serial interface is built in or needs an approved option.</w:t>
      </w:r>
    </w:p>
    <w:p>
      <w:pPr>
        <w:pStyle w:val="ListBullet"/>
      </w:pPr>
      <w:r>
        <w:t>RS-232 versus RS-422/RS-485 requirements.</w:t>
      </w:r>
    </w:p>
    <w:p>
      <w:pPr>
        <w:pStyle w:val="ListBullet"/>
      </w:pPr>
      <w:r>
        <w:t>Connector type and pin assignment.</w:t>
      </w:r>
    </w:p>
    <w:p>
      <w:pPr>
        <w:pStyle w:val="ListBullet"/>
      </w:pPr>
      <w:r>
        <w:t>Cable type and wiring.</w:t>
      </w:r>
    </w:p>
    <w:p>
      <w:pPr>
        <w:pStyle w:val="ListBullet"/>
      </w:pPr>
      <w:r>
        <w:t>Baud rate, parity, data bits, and stop bits where applicable.</w:t>
      </w:r>
    </w:p>
    <w:p>
      <w:pPr>
        <w:pStyle w:val="ListBullet"/>
      </w:pPr>
      <w:r>
        <w:t>Station number and communication settings.</w:t>
      </w:r>
    </w:p>
    <w:p>
      <w:pPr>
        <w:pStyle w:val="ListBullet"/>
      </w:pPr>
      <w:r>
        <w:t>Protocol and connected-device compatibility.</w:t>
      </w:r>
    </w:p>
    <w:p>
      <w:pPr>
        <w:pStyle w:val="ListBullet"/>
      </w:pPr>
      <w:r>
        <w:t>Termination and topology for the applicable network.</w:t>
      </w:r>
    </w:p>
    <w:p>
      <w:r>
        <w:t>Do not reuse a legacy cable merely because it fits. Similar connectors can have different pin assignments or signal requirements. Incorrect wiring can prevent communication and may damage equipment.</w:t>
      </w:r>
    </w:p>
    <w:p>
      <w:pPr>
        <w:pStyle w:val="Heading3"/>
      </w:pPr>
      <w:r>
        <w:t>7.4 USB and removable storage</w:t>
      </w:r>
    </w:p>
    <w:p>
      <w:r>
        <w:t>USB ports and SD card interfaces may be used for engineering, data transfer, logging, backup, or supported peripherals, depending on the model and configuration.</w:t>
      </w:r>
    </w:p>
    <w:p>
      <w:r>
        <w:t>Check:</w:t>
      </w:r>
    </w:p>
    <w:p>
      <w:pPr>
        <w:pStyle w:val="ListBullet"/>
      </w:pPr>
      <w:r>
        <w:t>Whether the required interface exists on the replacement.</w:t>
      </w:r>
    </w:p>
    <w:p>
      <w:pPr>
        <w:pStyle w:val="ListBullet"/>
      </w:pPr>
      <w:r>
        <w:t>Whether the connected device is supported.</w:t>
      </w:r>
    </w:p>
    <w:p>
      <w:pPr>
        <w:pStyle w:val="ListBullet"/>
      </w:pPr>
      <w:r>
        <w:t>Whether the existing project relies on removable media.</w:t>
      </w:r>
    </w:p>
    <w:p>
      <w:pPr>
        <w:pStyle w:val="ListBullet"/>
      </w:pPr>
      <w:r>
        <w:t>Whether data files, backup procedures, or logs must be retained.</w:t>
      </w:r>
    </w:p>
    <w:p>
      <w:pPr>
        <w:pStyle w:val="ListBullet"/>
      </w:pPr>
      <w:r>
        <w:t>Whether the replacement requires different engineering software or drivers.</w:t>
      </w:r>
    </w:p>
    <w:p>
      <w:pPr>
        <w:pStyle w:val="ListBullet"/>
      </w:pPr>
      <w:r>
        <w:t>Whether the intended card or USB device meets the model's requirements.</w:t>
      </w:r>
    </w:p>
    <w:p>
      <w:r>
        <w:t>Do not assume that every storage device, file system, peripheral, or transfer procedure supported by an older GOT is supported identically by the replacement.</w:t>
      </w:r>
    </w:p>
    <w:p>
      <w:pPr>
        <w:pStyle w:val="Heading2"/>
      </w:pPr>
      <w:r>
        <w:t>8. PLC and peripheral compatibility</w:t>
      </w:r>
    </w:p>
    <w:p>
      <w:r>
        <w:t>A physically compatible GOT may still be incompatible with the existing control system if its communication settings or supported device functions differ.</w:t>
      </w:r>
    </w:p>
    <w:p>
      <w:pPr>
        <w:pStyle w:val="Heading3"/>
      </w:pPr>
      <w:r>
        <w:t>8.1 PLC connection review</w:t>
      </w:r>
    </w:p>
    <w:p>
      <w:r>
        <w:t>Record the existing PLC model, CPU type, firmware, communication interface, and connection method.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Connected system</w:t>
            </w:r>
          </w:p>
        </w:tc>
        <w:tc>
          <w:tcPr>
            <w:tcW w:type="dxa" w:w="5400"/>
            <w:shd w:val="clear" w:color="auto" w:fill="EEF2F7"/>
          </w:tcPr>
          <w:p>
            <w:pPr>
              <w:spacing w:after="0" w:before="0" w:line="240" w:lineRule="auto"/>
              <w:jc w:val="left"/>
            </w:pPr>
            <w:r>
              <w:rPr>
                <w:b/>
                <w:color w:val="1A2E4A"/>
              </w:rPr>
              <w:t>Required review</w:t>
            </w:r>
          </w:p>
        </w:tc>
      </w:tr>
      <w:tr>
        <w:tc>
          <w:tcPr>
            <w:tcW w:type="dxa" w:w="5400"/>
          </w:tcPr>
          <w:p>
            <w:pPr>
              <w:spacing w:after="0" w:before="0" w:line="240" w:lineRule="auto"/>
              <w:jc w:val="left"/>
            </w:pPr>
            <w:r>
              <w:t>Mitsubishi PLC</w:t>
            </w:r>
          </w:p>
        </w:tc>
        <w:tc>
          <w:tcPr>
            <w:tcW w:type="dxa" w:w="5400"/>
          </w:tcPr>
          <w:p>
            <w:pPr>
              <w:spacing w:after="0" w:before="0" w:line="240" w:lineRule="auto"/>
              <w:jc w:val="left"/>
            </w:pPr>
            <w:r>
              <w:t>Confirm the supported driver, CPU family, communication route, and device addressing</w:t>
            </w:r>
          </w:p>
        </w:tc>
      </w:tr>
      <w:tr>
        <w:tc>
          <w:tcPr>
            <w:tcW w:type="dxa" w:w="5400"/>
          </w:tcPr>
          <w:p>
            <w:pPr>
              <w:spacing w:after="0" w:before="0" w:line="240" w:lineRule="auto"/>
              <w:jc w:val="left"/>
            </w:pPr>
            <w:r>
              <w:t>Allen-Bradley PLC</w:t>
            </w:r>
          </w:p>
        </w:tc>
        <w:tc>
          <w:tcPr>
            <w:tcW w:type="dxa" w:w="5400"/>
          </w:tcPr>
          <w:p>
            <w:pPr>
              <w:spacing w:after="0" w:before="0" w:line="240" w:lineRule="auto"/>
              <w:jc w:val="left"/>
            </w:pPr>
            <w:r>
              <w:t>Verify the exact supported controller type, communication method, and driver capabilities</w:t>
            </w:r>
          </w:p>
        </w:tc>
      </w:tr>
      <w:tr>
        <w:tc>
          <w:tcPr>
            <w:tcW w:type="dxa" w:w="5400"/>
          </w:tcPr>
          <w:p>
            <w:pPr>
              <w:spacing w:after="0" w:before="0" w:line="240" w:lineRule="auto"/>
              <w:jc w:val="left"/>
            </w:pPr>
            <w:r>
              <w:t>Siemens PLC</w:t>
            </w:r>
          </w:p>
        </w:tc>
        <w:tc>
          <w:tcPr>
            <w:tcW w:type="dxa" w:w="5400"/>
          </w:tcPr>
          <w:p>
            <w:pPr>
              <w:spacing w:after="0" w:before="0" w:line="240" w:lineRule="auto"/>
              <w:jc w:val="left"/>
            </w:pPr>
            <w:r>
              <w:t>Verify the supported PLC family, protocol, addressing, and configuration restrictions</w:t>
            </w:r>
          </w:p>
        </w:tc>
      </w:tr>
      <w:tr>
        <w:tc>
          <w:tcPr>
            <w:tcW w:type="dxa" w:w="5400"/>
          </w:tcPr>
          <w:p>
            <w:pPr>
              <w:spacing w:after="0" w:before="0" w:line="240" w:lineRule="auto"/>
              <w:jc w:val="left"/>
            </w:pPr>
            <w:r>
              <w:t>Omron or other PLC</w:t>
            </w:r>
          </w:p>
        </w:tc>
        <w:tc>
          <w:tcPr>
            <w:tcW w:type="dxa" w:w="5400"/>
          </w:tcPr>
          <w:p>
            <w:pPr>
              <w:spacing w:after="0" w:before="0" w:line="240" w:lineRule="auto"/>
              <w:jc w:val="left"/>
            </w:pPr>
            <w:r>
              <w:t>Confirm that the exact model and protocol are supported by the selected GOT</w:t>
            </w:r>
          </w:p>
        </w:tc>
      </w:tr>
      <w:tr>
        <w:tc>
          <w:tcPr>
            <w:tcW w:type="dxa" w:w="5400"/>
          </w:tcPr>
          <w:p>
            <w:pPr>
              <w:spacing w:after="0" w:before="0" w:line="240" w:lineRule="auto"/>
              <w:jc w:val="left"/>
            </w:pPr>
            <w:r>
              <w:t>VFD</w:t>
            </w:r>
          </w:p>
        </w:tc>
        <w:tc>
          <w:tcPr>
            <w:tcW w:type="dxa" w:w="5400"/>
          </w:tcPr>
          <w:p>
            <w:pPr>
              <w:spacing w:after="0" w:before="0" w:line="240" w:lineRule="auto"/>
              <w:jc w:val="left"/>
            </w:pPr>
            <w:r>
              <w:t>Verify the communication method, register or device mapping, and supported control/status functions</w:t>
            </w:r>
          </w:p>
        </w:tc>
      </w:tr>
      <w:tr>
        <w:tc>
          <w:tcPr>
            <w:tcW w:type="dxa" w:w="5400"/>
          </w:tcPr>
          <w:p>
            <w:pPr>
              <w:spacing w:after="0" w:before="0" w:line="240" w:lineRule="auto"/>
              <w:jc w:val="left"/>
            </w:pPr>
            <w:r>
              <w:t>Servo system</w:t>
            </w:r>
          </w:p>
        </w:tc>
        <w:tc>
          <w:tcPr>
            <w:tcW w:type="dxa" w:w="5400"/>
          </w:tcPr>
          <w:p>
            <w:pPr>
              <w:spacing w:after="0" w:before="0" w:line="240" w:lineRule="auto"/>
              <w:jc w:val="left"/>
            </w:pPr>
            <w:r>
              <w:t>Confirm command, status, alarm, and parameter-monitoring interfaces</w:t>
            </w:r>
          </w:p>
        </w:tc>
      </w:tr>
      <w:tr>
        <w:tc>
          <w:tcPr>
            <w:tcW w:type="dxa" w:w="5400"/>
          </w:tcPr>
          <w:p>
            <w:pPr>
              <w:spacing w:after="0" w:before="0" w:line="240" w:lineRule="auto"/>
              <w:jc w:val="left"/>
            </w:pPr>
            <w:r>
              <w:t>Robot or CNC</w:t>
            </w:r>
          </w:p>
        </w:tc>
        <w:tc>
          <w:tcPr>
            <w:tcW w:type="dxa" w:w="5400"/>
          </w:tcPr>
          <w:p>
            <w:pPr>
              <w:spacing w:after="0" w:before="0" w:line="240" w:lineRule="auto"/>
              <w:jc w:val="left"/>
            </w:pPr>
            <w:r>
              <w:t>Verify supported data exchange and any required gateway or intermediate controller</w:t>
            </w:r>
          </w:p>
        </w:tc>
      </w:tr>
      <w:tr>
        <w:tc>
          <w:tcPr>
            <w:tcW w:type="dxa" w:w="5400"/>
          </w:tcPr>
          <w:p>
            <w:pPr>
              <w:spacing w:after="0" w:before="0" w:line="240" w:lineRule="auto"/>
              <w:jc w:val="left"/>
            </w:pPr>
            <w:r>
              <w:t>Barcode scanner or other peripheral</w:t>
            </w:r>
          </w:p>
        </w:tc>
        <w:tc>
          <w:tcPr>
            <w:tcW w:type="dxa" w:w="5400"/>
          </w:tcPr>
          <w:p>
            <w:pPr>
              <w:spacing w:after="0" w:before="0" w:line="240" w:lineRule="auto"/>
              <w:jc w:val="left"/>
            </w:pPr>
            <w:r>
              <w:t>Confirm the electrical interface, protocol, and supported terminal function</w:t>
            </w:r>
          </w:p>
        </w:tc>
      </w:tr>
    </w:tbl>
    <w:p/>
    <w:p>
      <w:r>
        <w:t>This is a verification checklist, not a guarantee that all these devices are supported by every GOT2000 model. Consult the appropriate GOT connection manual and the device manufacturer's documentation.</w:t>
      </w:r>
    </w:p>
    <w:p>
      <w:pPr>
        <w:pStyle w:val="Heading3"/>
      </w:pPr>
      <w:r>
        <w:t>8.2 Communication topology</w:t>
      </w:r>
    </w:p>
    <w:p>
      <w:r>
        <w:t>A simple architecture may look like this:</w:t>
      </w:r>
    </w:p>
    <w:p>
      <w:pPr>
        <w:shd w:val="clear" w:color="auto" w:fill="F4F4F4"/>
        <w:spacing w:before="0" w:after="0" w:line="240" w:lineRule="auto"/>
        <w:ind w:left="216" w:right="216"/>
        <w:jc w:val="left"/>
      </w:pPr>
      <w:r>
        <w:rPr>
          <w:rFonts w:ascii="Consolas" w:hAnsi="Consolas"/>
          <w:color w:val="202020"/>
          <w:sz w:val="18"/>
        </w:rPr>
        <w:t>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GOT2000 HMI</w:t>
      </w:r>
    </w:p>
    <w:p>
      <w:pPr>
        <w:shd w:val="clear" w:color="auto" w:fill="F4F4F4"/>
        <w:spacing w:before="0" w:after="0" w:line="240" w:lineRule="auto"/>
        <w:ind w:left="216" w:right="216"/>
        <w:jc w:val="left"/>
      </w:pPr>
      <w:r>
        <w:rPr>
          <w:rFonts w:ascii="Consolas" w:hAnsi="Consolas"/>
          <w:color w:val="202020"/>
          <w:sz w:val="18"/>
        </w:rPr>
        <w:t xml:space="preserve">    ↓ Ethernet or supported serial link</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 / VFD / Servo / Machine devices</w:t>
      </w:r>
    </w:p>
    <w:p/>
    <w:p>
      <w:r>
        <w:t>The actual arrangement may include multiple PLCs, a switch, serial gateways, remote I/O, robots, or other devices. Document every connection that the HMI uses, including diagnostic and secondary connections.</w:t>
      </w:r>
    </w:p>
    <w:p>
      <w:r>
        <w:t>If the old GOT communicated with multiple controllers or devices, confirm that the replacement can provide the same required connection capacity and communication behavior.</w:t>
      </w:r>
    </w:p>
    <w:p>
      <w:pPr>
        <w:pStyle w:val="Heading2"/>
      </w:pPr>
      <w:r>
        <w:t>9. Display and operator-interface hardware</w:t>
      </w:r>
    </w:p>
    <w:p>
      <w:r>
        <w:t>The display itself can affect machine usability, particularly where operators rely on detailed alarms, numeric setpoints, trends, or machine diagrams.</w:t>
      </w:r>
    </w:p>
    <w:p>
      <w:r>
        <w:t>Check the following:</w:t>
      </w:r>
    </w:p>
    <w:p>
      <w:pPr>
        <w:pStyle w:val="ListBullet"/>
      </w:pPr>
      <w:r>
        <w:t>Display diagonal and active viewing area.</w:t>
      </w:r>
    </w:p>
    <w:p>
      <w:pPr>
        <w:pStyle w:val="ListBullet"/>
      </w:pPr>
      <w:r>
        <w:t>Resolution and aspect ratio.</w:t>
      </w:r>
    </w:p>
    <w:p>
      <w:pPr>
        <w:pStyle w:val="ListBullet"/>
      </w:pPr>
      <w:r>
        <w:t>Brightness and readability under the actual lighting conditions.</w:t>
      </w:r>
    </w:p>
    <w:p>
      <w:pPr>
        <w:pStyle w:val="ListBullet"/>
      </w:pPr>
      <w:r>
        <w:t>Viewing angle and viewing distance.</w:t>
      </w:r>
    </w:p>
    <w:p>
      <w:pPr>
        <w:pStyle w:val="ListBullet"/>
      </w:pPr>
      <w:r>
        <w:t>Touch technology and expected operator interaction.</w:t>
      </w:r>
    </w:p>
    <w:p>
      <w:pPr>
        <w:pStyle w:val="ListBullet"/>
      </w:pPr>
      <w:r>
        <w:t>Portrait or landscape installation requirements.</w:t>
      </w:r>
    </w:p>
    <w:p>
      <w:pPr>
        <w:pStyle w:val="ListBullet"/>
      </w:pPr>
      <w:r>
        <w:t>Protective sheet or screen-protector compatibility.</w:t>
      </w:r>
    </w:p>
    <w:p>
      <w:pPr>
        <w:pStyle w:val="ListBullet"/>
      </w:pPr>
      <w:r>
        <w:t>Physical buttons or special controls, if fitted.</w:t>
      </w:r>
    </w:p>
    <w:p>
      <w:pPr>
        <w:pStyle w:val="ListBullet"/>
      </w:pPr>
      <w:r>
        <w:t>Supported display orientation and installation restrictions.</w:t>
      </w:r>
    </w:p>
    <w:p>
      <w:r>
        <w:t>A display with the same diagonal size may have a different resolution or aspect ratio. This can affect how screens, text, alarms, graphics, and numeric values appear after software conversion.</w:t>
      </w:r>
    </w:p>
    <w:p>
      <w:r>
        <w:t>Touchscreen operation also requires practical testing. Verify that important buttons are large enough to operate reliably, that screen transitions remain intuitive, and that the operator can distinguish commands from status indicators.</w:t>
      </w:r>
    </w:p>
    <w:p>
      <w:pPr>
        <w:pStyle w:val="Heading2"/>
      </w:pPr>
      <w:r>
        <w:t>10. Environmental and installation conditions</w:t>
      </w:r>
    </w:p>
    <w:p>
      <w:r>
        <w:t>The replacement must be suitable for the real environment around the machine.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Condition</w:t>
            </w:r>
          </w:p>
        </w:tc>
        <w:tc>
          <w:tcPr>
            <w:tcW w:type="dxa" w:w="5400"/>
            <w:shd w:val="clear" w:color="auto" w:fill="EEF2F7"/>
          </w:tcPr>
          <w:p>
            <w:pPr>
              <w:spacing w:after="0" w:before="0" w:line="240" w:lineRule="auto"/>
              <w:jc w:val="left"/>
            </w:pPr>
            <w:r>
              <w:rPr>
                <w:b/>
                <w:color w:val="1A2E4A"/>
              </w:rPr>
              <w:t>Verification requirement</w:t>
            </w:r>
          </w:p>
        </w:tc>
      </w:tr>
      <w:tr>
        <w:tc>
          <w:tcPr>
            <w:tcW w:type="dxa" w:w="5400"/>
          </w:tcPr>
          <w:p>
            <w:pPr>
              <w:spacing w:after="0" w:before="0" w:line="240" w:lineRule="auto"/>
              <w:jc w:val="left"/>
            </w:pPr>
            <w:r>
              <w:t>Ambient temperature</w:t>
            </w:r>
          </w:p>
        </w:tc>
        <w:tc>
          <w:tcPr>
            <w:tcW w:type="dxa" w:w="5400"/>
          </w:tcPr>
          <w:p>
            <w:pPr>
              <w:spacing w:after="0" w:before="0" w:line="240" w:lineRule="auto"/>
              <w:jc w:val="left"/>
            </w:pPr>
            <w:r>
              <w:t>Confirm the specified operating range and cabinet conditions</w:t>
            </w:r>
          </w:p>
        </w:tc>
      </w:tr>
      <w:tr>
        <w:tc>
          <w:tcPr>
            <w:tcW w:type="dxa" w:w="5400"/>
          </w:tcPr>
          <w:p>
            <w:pPr>
              <w:spacing w:after="0" w:before="0" w:line="240" w:lineRule="auto"/>
              <w:jc w:val="left"/>
            </w:pPr>
            <w:r>
              <w:t>Humidity</w:t>
            </w:r>
          </w:p>
        </w:tc>
        <w:tc>
          <w:tcPr>
            <w:tcW w:type="dxa" w:w="5400"/>
          </w:tcPr>
          <w:p>
            <w:pPr>
              <w:spacing w:after="0" w:before="0" w:line="240" w:lineRule="auto"/>
              <w:jc w:val="left"/>
            </w:pPr>
            <w:r>
              <w:t>Confirm the permitted range and condensation restrictions</w:t>
            </w:r>
          </w:p>
        </w:tc>
      </w:tr>
      <w:tr>
        <w:tc>
          <w:tcPr>
            <w:tcW w:type="dxa" w:w="5400"/>
          </w:tcPr>
          <w:p>
            <w:pPr>
              <w:spacing w:after="0" w:before="0" w:line="240" w:lineRule="auto"/>
              <w:jc w:val="left"/>
            </w:pPr>
            <w:r>
              <w:t>Dust</w:t>
            </w:r>
          </w:p>
        </w:tc>
        <w:tc>
          <w:tcPr>
            <w:tcW w:type="dxa" w:w="5400"/>
          </w:tcPr>
          <w:p>
            <w:pPr>
              <w:spacing w:after="0" w:before="0" w:line="240" w:lineRule="auto"/>
              <w:jc w:val="left"/>
            </w:pPr>
            <w:r>
              <w:t>Verify enclosure protection and panel sealing</w:t>
            </w:r>
          </w:p>
        </w:tc>
      </w:tr>
      <w:tr>
        <w:tc>
          <w:tcPr>
            <w:tcW w:type="dxa" w:w="5400"/>
          </w:tcPr>
          <w:p>
            <w:pPr>
              <w:spacing w:after="0" w:before="0" w:line="240" w:lineRule="auto"/>
              <w:jc w:val="left"/>
            </w:pPr>
            <w:r>
              <w:t>Oil and coolant</w:t>
            </w:r>
          </w:p>
        </w:tc>
        <w:tc>
          <w:tcPr>
            <w:tcW w:type="dxa" w:w="5400"/>
          </w:tcPr>
          <w:p>
            <w:pPr>
              <w:spacing w:after="0" w:before="0" w:line="240" w:lineRule="auto"/>
              <w:jc w:val="left"/>
            </w:pPr>
            <w:r>
              <w:t>Confirm the terminal's suitability and any required protective measures</w:t>
            </w:r>
          </w:p>
        </w:tc>
      </w:tr>
      <w:tr>
        <w:tc>
          <w:tcPr>
            <w:tcW w:type="dxa" w:w="5400"/>
          </w:tcPr>
          <w:p>
            <w:pPr>
              <w:spacing w:after="0" w:before="0" w:line="240" w:lineRule="auto"/>
              <w:jc w:val="left"/>
            </w:pPr>
            <w:r>
              <w:t>Vibration and shock</w:t>
            </w:r>
          </w:p>
        </w:tc>
        <w:tc>
          <w:tcPr>
            <w:tcW w:type="dxa" w:w="5400"/>
          </w:tcPr>
          <w:p>
            <w:pPr>
              <w:spacing w:after="0" w:before="0" w:line="240" w:lineRule="auto"/>
              <w:jc w:val="left"/>
            </w:pPr>
            <w:r>
              <w:t>Check model limits and mounting rigidity</w:t>
            </w:r>
          </w:p>
        </w:tc>
      </w:tr>
      <w:tr>
        <w:tc>
          <w:tcPr>
            <w:tcW w:type="dxa" w:w="5400"/>
          </w:tcPr>
          <w:p>
            <w:pPr>
              <w:spacing w:after="0" w:before="0" w:line="240" w:lineRule="auto"/>
              <w:jc w:val="left"/>
            </w:pPr>
            <w:r>
              <w:t>Electrical noise</w:t>
            </w:r>
          </w:p>
        </w:tc>
        <w:tc>
          <w:tcPr>
            <w:tcW w:type="dxa" w:w="5400"/>
          </w:tcPr>
          <w:p>
            <w:pPr>
              <w:spacing w:after="0" w:before="0" w:line="240" w:lineRule="auto"/>
              <w:jc w:val="left"/>
            </w:pPr>
            <w:r>
              <w:t>Review grounding, cable routing, and separation from noisy power circuits</w:t>
            </w:r>
          </w:p>
        </w:tc>
      </w:tr>
      <w:tr>
        <w:tc>
          <w:tcPr>
            <w:tcW w:type="dxa" w:w="5400"/>
          </w:tcPr>
          <w:p>
            <w:pPr>
              <w:spacing w:after="0" w:before="0" w:line="240" w:lineRule="auto"/>
              <w:jc w:val="left"/>
            </w:pPr>
            <w:r>
              <w:t>Direct sunlight</w:t>
            </w:r>
          </w:p>
        </w:tc>
        <w:tc>
          <w:tcPr>
            <w:tcW w:type="dxa" w:w="5400"/>
          </w:tcPr>
          <w:p>
            <w:pPr>
              <w:spacing w:after="0" w:before="0" w:line="240" w:lineRule="auto"/>
              <w:jc w:val="left"/>
            </w:pPr>
            <w:r>
              <w:t>Confirm display readability and temperature suitability</w:t>
            </w:r>
          </w:p>
        </w:tc>
      </w:tr>
      <w:tr>
        <w:tc>
          <w:tcPr>
            <w:tcW w:type="dxa" w:w="5400"/>
          </w:tcPr>
          <w:p>
            <w:pPr>
              <w:spacing w:after="0" w:before="0" w:line="240" w:lineRule="auto"/>
              <w:jc w:val="left"/>
            </w:pPr>
            <w:r>
              <w:t>Washdown</w:t>
            </w:r>
          </w:p>
        </w:tc>
        <w:tc>
          <w:tcPr>
            <w:tcW w:type="dxa" w:w="5400"/>
          </w:tcPr>
          <w:p>
            <w:pPr>
              <w:spacing w:after="0" w:before="0" w:line="240" w:lineRule="auto"/>
              <w:jc w:val="left"/>
            </w:pPr>
            <w:r>
              <w:t>Verify the required protection for the entire installed assembly</w:t>
            </w:r>
          </w:p>
        </w:tc>
      </w:tr>
      <w:tr>
        <w:tc>
          <w:tcPr>
            <w:tcW w:type="dxa" w:w="5400"/>
          </w:tcPr>
          <w:p>
            <w:pPr>
              <w:spacing w:after="0" w:before="0" w:line="240" w:lineRule="auto"/>
              <w:jc w:val="left"/>
            </w:pPr>
            <w:r>
              <w:t>Corrosive atmosphere</w:t>
            </w:r>
          </w:p>
        </w:tc>
        <w:tc>
          <w:tcPr>
            <w:tcW w:type="dxa" w:w="5400"/>
          </w:tcPr>
          <w:p>
            <w:pPr>
              <w:spacing w:after="0" w:before="0" w:line="240" w:lineRule="auto"/>
              <w:jc w:val="left"/>
            </w:pPr>
            <w:r>
              <w:t>Confirm suitability for the actual chemicals and environment</w:t>
            </w:r>
          </w:p>
        </w:tc>
      </w:tr>
      <w:tr>
        <w:tc>
          <w:tcPr>
            <w:tcW w:type="dxa" w:w="5400"/>
          </w:tcPr>
          <w:p>
            <w:pPr>
              <w:spacing w:after="0" w:before="0" w:line="240" w:lineRule="auto"/>
              <w:jc w:val="left"/>
            </w:pPr>
            <w:r>
              <w:t>Cabinet heating</w:t>
            </w:r>
          </w:p>
        </w:tc>
        <w:tc>
          <w:tcPr>
            <w:tcW w:type="dxa" w:w="5400"/>
          </w:tcPr>
          <w:p>
            <w:pPr>
              <w:spacing w:after="0" w:before="0" w:line="240" w:lineRule="auto"/>
              <w:jc w:val="left"/>
            </w:pPr>
            <w:r>
              <w:t>Check the effects of adjacent heat-producing equipment</w:t>
            </w:r>
          </w:p>
        </w:tc>
      </w:tr>
    </w:tbl>
    <w:p/>
    <w:p>
      <w:r>
        <w:t>Do not interpret an enclosure rating as permission to expose the entire installation to any environment. The terminal, panel opening, gasket, cables, connectors, and cabinet design must all be suitable for the conditions.</w:t>
      </w:r>
    </w:p>
    <w:p>
      <w:pPr>
        <w:pStyle w:val="Heading2"/>
      </w:pPr>
      <w:r>
        <w:t>11. Hardware compatibility decision matrix</w:t>
      </w:r>
    </w:p>
    <w:p>
      <w:r>
        <w:t>Before approving a GOT1000-to-GOT2000 replacement, classify the major hardware elements.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Item</w:t>
            </w:r>
          </w:p>
        </w:tc>
        <w:tc>
          <w:tcPr>
            <w:tcW w:type="dxa" w:w="2700"/>
            <w:shd w:val="clear" w:color="auto" w:fill="EEF2F7"/>
          </w:tcPr>
          <w:p>
            <w:pPr>
              <w:spacing w:after="0" w:before="0" w:line="240" w:lineRule="auto"/>
              <w:jc w:val="left"/>
            </w:pPr>
            <w:r>
              <w:rPr>
                <w:b/>
                <w:color w:val="1A2E4A"/>
              </w:rPr>
              <w:t>Compatible without change</w:t>
            </w:r>
          </w:p>
        </w:tc>
        <w:tc>
          <w:tcPr>
            <w:tcW w:type="dxa" w:w="2700"/>
            <w:shd w:val="clear" w:color="auto" w:fill="EEF2F7"/>
          </w:tcPr>
          <w:p>
            <w:pPr>
              <w:spacing w:after="0" w:before="0" w:line="240" w:lineRule="auto"/>
              <w:jc w:val="left"/>
            </w:pPr>
            <w:r>
              <w:rPr>
                <w:b/>
                <w:color w:val="1A2E4A"/>
              </w:rPr>
              <w:t>Requires adaptation</w:t>
            </w:r>
          </w:p>
        </w:tc>
        <w:tc>
          <w:tcPr>
            <w:tcW w:type="dxa" w:w="2700"/>
            <w:shd w:val="clear" w:color="auto" w:fill="EEF2F7"/>
          </w:tcPr>
          <w:p>
            <w:pPr>
              <w:spacing w:after="0" w:before="0" w:line="240" w:lineRule="auto"/>
              <w:jc w:val="left"/>
            </w:pPr>
            <w:r>
              <w:rPr>
                <w:b/>
                <w:color w:val="1A2E4A"/>
              </w:rPr>
              <w:t>Must be replaced or redesigned</w:t>
            </w:r>
          </w:p>
        </w:tc>
      </w:tr>
      <w:tr>
        <w:tc>
          <w:tcPr>
            <w:tcW w:type="dxa" w:w="2700"/>
          </w:tcPr>
          <w:p>
            <w:pPr>
              <w:spacing w:after="0" w:before="0" w:line="240" w:lineRule="auto"/>
              <w:jc w:val="left"/>
            </w:pPr>
            <w:r>
              <w:t>Panel cutout</w:t>
            </w:r>
          </w:p>
        </w:tc>
        <w:tc>
          <w:tcPr>
            <w:tcW w:type="dxa" w:w="2700"/>
          </w:tcPr>
          <w:p>
            <w:pPr>
              <w:spacing w:after="0" w:before="0" w:line="240" w:lineRule="auto"/>
              <w:jc w:val="left"/>
            </w:pPr>
            <w:r>
              <w:t>Exact dimensions and mounting method verified</w:t>
            </w:r>
          </w:p>
        </w:tc>
        <w:tc>
          <w:tcPr>
            <w:tcW w:type="dxa" w:w="2700"/>
          </w:tcPr>
          <w:p>
            <w:pPr>
              <w:spacing w:after="0" w:before="0" w:line="240" w:lineRule="auto"/>
              <w:jc w:val="left"/>
            </w:pPr>
            <w:r>
              <w:t>Approved attachment or panel modification required</w:t>
            </w:r>
          </w:p>
        </w:tc>
        <w:tc>
          <w:tcPr>
            <w:tcW w:type="dxa" w:w="2700"/>
          </w:tcPr>
          <w:p>
            <w:pPr>
              <w:spacing w:after="0" w:before="0" w:line="240" w:lineRule="auto"/>
              <w:jc w:val="left"/>
            </w:pPr>
            <w:r>
              <w:t>No safe or approved mechanical fit</w:t>
            </w:r>
          </w:p>
        </w:tc>
      </w:tr>
      <w:tr>
        <w:tc>
          <w:tcPr>
            <w:tcW w:type="dxa" w:w="2700"/>
          </w:tcPr>
          <w:p>
            <w:pPr>
              <w:spacing w:after="0" w:before="0" w:line="240" w:lineRule="auto"/>
              <w:jc w:val="left"/>
            </w:pPr>
            <w:r>
              <w:t>Mounting hardware</w:t>
            </w:r>
          </w:p>
        </w:tc>
        <w:tc>
          <w:tcPr>
            <w:tcW w:type="dxa" w:w="2700"/>
          </w:tcPr>
          <w:p>
            <w:pPr>
              <w:spacing w:after="0" w:before="0" w:line="240" w:lineRule="auto"/>
              <w:jc w:val="left"/>
            </w:pPr>
            <w:r>
              <w:t>Approved hardware is compatible</w:t>
            </w:r>
          </w:p>
        </w:tc>
        <w:tc>
          <w:tcPr>
            <w:tcW w:type="dxa" w:w="2700"/>
          </w:tcPr>
          <w:p>
            <w:pPr>
              <w:spacing w:after="0" w:before="0" w:line="240" w:lineRule="auto"/>
              <w:jc w:val="left"/>
            </w:pPr>
            <w:r>
              <w:t>Different approved clamps or accessories required</w:t>
            </w:r>
          </w:p>
        </w:tc>
        <w:tc>
          <w:tcPr>
            <w:tcW w:type="dxa" w:w="2700"/>
          </w:tcPr>
          <w:p>
            <w:pPr>
              <w:spacing w:after="0" w:before="0" w:line="240" w:lineRule="auto"/>
              <w:jc w:val="left"/>
            </w:pPr>
            <w:r>
              <w:t>Existing arrangement cannot secure the replacement</w:t>
            </w:r>
          </w:p>
        </w:tc>
      </w:tr>
      <w:tr>
        <w:tc>
          <w:tcPr>
            <w:tcW w:type="dxa" w:w="2700"/>
          </w:tcPr>
          <w:p>
            <w:pPr>
              <w:spacing w:after="0" w:before="0" w:line="240" w:lineRule="auto"/>
              <w:jc w:val="left"/>
            </w:pPr>
            <w:r>
              <w:t>Power supply</w:t>
            </w:r>
          </w:p>
        </w:tc>
        <w:tc>
          <w:tcPr>
            <w:tcW w:type="dxa" w:w="2700"/>
          </w:tcPr>
          <w:p>
            <w:pPr>
              <w:spacing w:after="0" w:before="0" w:line="240" w:lineRule="auto"/>
              <w:jc w:val="left"/>
            </w:pPr>
            <w:r>
              <w:t>Meets target requirements</w:t>
            </w:r>
          </w:p>
        </w:tc>
        <w:tc>
          <w:tcPr>
            <w:tcW w:type="dxa" w:w="2700"/>
          </w:tcPr>
          <w:p>
            <w:pPr>
              <w:spacing w:after="0" w:before="0" w:line="240" w:lineRule="auto"/>
              <w:jc w:val="left"/>
            </w:pPr>
            <w:r>
              <w:t>Wiring or supply arrangement needs approved changes</w:t>
            </w:r>
          </w:p>
        </w:tc>
        <w:tc>
          <w:tcPr>
            <w:tcW w:type="dxa" w:w="2700"/>
          </w:tcPr>
          <w:p>
            <w:pPr>
              <w:spacing w:after="0" w:before="0" w:line="240" w:lineRule="auto"/>
              <w:jc w:val="left"/>
            </w:pPr>
            <w:r>
              <w:t>Supply cannot meet the target requirements</w:t>
            </w:r>
          </w:p>
        </w:tc>
      </w:tr>
      <w:tr>
        <w:tc>
          <w:tcPr>
            <w:tcW w:type="dxa" w:w="2700"/>
          </w:tcPr>
          <w:p>
            <w:pPr>
              <w:spacing w:after="0" w:before="0" w:line="240" w:lineRule="auto"/>
              <w:jc w:val="left"/>
            </w:pPr>
            <w:r>
              <w:t>Ethernet</w:t>
            </w:r>
          </w:p>
        </w:tc>
        <w:tc>
          <w:tcPr>
            <w:tcW w:type="dxa" w:w="2700"/>
          </w:tcPr>
          <w:p>
            <w:pPr>
              <w:spacing w:after="0" w:before="0" w:line="240" w:lineRule="auto"/>
              <w:jc w:val="left"/>
            </w:pPr>
            <w:r>
              <w:t>Port and network settings are suitable</w:t>
            </w:r>
          </w:p>
        </w:tc>
        <w:tc>
          <w:tcPr>
            <w:tcW w:type="dxa" w:w="2700"/>
          </w:tcPr>
          <w:p>
            <w:pPr>
              <w:spacing w:after="0" w:before="0" w:line="240" w:lineRule="auto"/>
              <w:jc w:val="left"/>
            </w:pPr>
            <w:r>
              <w:t>Network or configuration changes required</w:t>
            </w:r>
          </w:p>
        </w:tc>
        <w:tc>
          <w:tcPr>
            <w:tcW w:type="dxa" w:w="2700"/>
          </w:tcPr>
          <w:p>
            <w:pPr>
              <w:spacing w:after="0" w:before="0" w:line="240" w:lineRule="auto"/>
              <w:jc w:val="left"/>
            </w:pPr>
            <w:r>
              <w:t>Required interface or protocol is unavailable</w:t>
            </w:r>
          </w:p>
        </w:tc>
      </w:tr>
      <w:tr>
        <w:tc>
          <w:tcPr>
            <w:tcW w:type="dxa" w:w="2700"/>
          </w:tcPr>
          <w:p>
            <w:pPr>
              <w:spacing w:after="0" w:before="0" w:line="240" w:lineRule="auto"/>
              <w:jc w:val="left"/>
            </w:pPr>
            <w:r>
              <w:t>Serial cable</w:t>
            </w:r>
          </w:p>
        </w:tc>
        <w:tc>
          <w:tcPr>
            <w:tcW w:type="dxa" w:w="2700"/>
          </w:tcPr>
          <w:p>
            <w:pPr>
              <w:spacing w:after="0" w:before="0" w:line="240" w:lineRule="auto"/>
              <w:jc w:val="left"/>
            </w:pPr>
            <w:r>
              <w:t>Pinout and electrical interface verified</w:t>
            </w:r>
          </w:p>
        </w:tc>
        <w:tc>
          <w:tcPr>
            <w:tcW w:type="dxa" w:w="2700"/>
          </w:tcPr>
          <w:p>
            <w:pPr>
              <w:spacing w:after="0" w:before="0" w:line="240" w:lineRule="auto"/>
              <w:jc w:val="left"/>
            </w:pPr>
            <w:r>
              <w:t>Approved cable or converter required</w:t>
            </w:r>
          </w:p>
        </w:tc>
        <w:tc>
          <w:tcPr>
            <w:tcW w:type="dxa" w:w="2700"/>
          </w:tcPr>
          <w:p>
            <w:pPr>
              <w:spacing w:after="0" w:before="0" w:line="240" w:lineRule="auto"/>
              <w:jc w:val="left"/>
            </w:pPr>
            <w:r>
              <w:t>No supported interface path exists</w:t>
            </w:r>
          </w:p>
        </w:tc>
      </w:tr>
      <w:tr>
        <w:tc>
          <w:tcPr>
            <w:tcW w:type="dxa" w:w="2700"/>
          </w:tcPr>
          <w:p>
            <w:pPr>
              <w:spacing w:after="0" w:before="0" w:line="240" w:lineRule="auto"/>
              <w:jc w:val="left"/>
            </w:pPr>
            <w:r>
              <w:t>Storage/peripherals</w:t>
            </w:r>
          </w:p>
        </w:tc>
        <w:tc>
          <w:tcPr>
            <w:tcW w:type="dxa" w:w="2700"/>
          </w:tcPr>
          <w:p>
            <w:pPr>
              <w:spacing w:after="0" w:before="0" w:line="240" w:lineRule="auto"/>
              <w:jc w:val="left"/>
            </w:pPr>
            <w:r>
              <w:t>Required function and device supported</w:t>
            </w:r>
          </w:p>
        </w:tc>
        <w:tc>
          <w:tcPr>
            <w:tcW w:type="dxa" w:w="2700"/>
          </w:tcPr>
          <w:p>
            <w:pPr>
              <w:spacing w:after="0" w:before="0" w:line="240" w:lineRule="auto"/>
              <w:jc w:val="left"/>
            </w:pPr>
            <w:r>
              <w:t>New supported device or procedure required</w:t>
            </w:r>
          </w:p>
        </w:tc>
        <w:tc>
          <w:tcPr>
            <w:tcW w:type="dxa" w:w="2700"/>
          </w:tcPr>
          <w:p>
            <w:pPr>
              <w:spacing w:after="0" w:before="0" w:line="240" w:lineRule="auto"/>
              <w:jc w:val="left"/>
            </w:pPr>
            <w:r>
              <w:t>Essential function is unavailable</w:t>
            </w:r>
          </w:p>
        </w:tc>
      </w:tr>
      <w:tr>
        <w:tc>
          <w:tcPr>
            <w:tcW w:type="dxa" w:w="2700"/>
          </w:tcPr>
          <w:p>
            <w:pPr>
              <w:spacing w:after="0" w:before="0" w:line="240" w:lineRule="auto"/>
              <w:jc w:val="left"/>
            </w:pPr>
            <w:r>
              <w:t>PLC connection</w:t>
            </w:r>
          </w:p>
        </w:tc>
        <w:tc>
          <w:tcPr>
            <w:tcW w:type="dxa" w:w="2700"/>
          </w:tcPr>
          <w:p>
            <w:pPr>
              <w:spacing w:after="0" w:before="0" w:line="240" w:lineRule="auto"/>
              <w:jc w:val="left"/>
            </w:pPr>
            <w:r>
              <w:t>Driver and protocol verified</w:t>
            </w:r>
          </w:p>
        </w:tc>
        <w:tc>
          <w:tcPr>
            <w:tcW w:type="dxa" w:w="2700"/>
          </w:tcPr>
          <w:p>
            <w:pPr>
              <w:spacing w:after="0" w:before="0" w:line="240" w:lineRule="auto"/>
              <w:jc w:val="left"/>
            </w:pPr>
            <w:r>
              <w:t>New configuration, option, or gateway required</w:t>
            </w:r>
          </w:p>
        </w:tc>
        <w:tc>
          <w:tcPr>
            <w:tcW w:type="dxa" w:w="2700"/>
          </w:tcPr>
          <w:p>
            <w:pPr>
              <w:spacing w:after="0" w:before="0" w:line="240" w:lineRule="auto"/>
              <w:jc w:val="left"/>
            </w:pPr>
            <w:r>
              <w:t>No supported communication solution</w:t>
            </w:r>
          </w:p>
        </w:tc>
      </w:tr>
      <w:tr>
        <w:tc>
          <w:tcPr>
            <w:tcW w:type="dxa" w:w="2700"/>
          </w:tcPr>
          <w:p>
            <w:pPr>
              <w:spacing w:after="0" w:before="0" w:line="240" w:lineRule="auto"/>
              <w:jc w:val="left"/>
            </w:pPr>
            <w:r>
              <w:t>Enclosure protection</w:t>
            </w:r>
          </w:p>
        </w:tc>
        <w:tc>
          <w:tcPr>
            <w:tcW w:type="dxa" w:w="2700"/>
          </w:tcPr>
          <w:p>
            <w:pPr>
              <w:spacing w:after="0" w:before="0" w:line="240" w:lineRule="auto"/>
              <w:jc w:val="left"/>
            </w:pPr>
            <w:r>
              <w:t>Required protection maintained</w:t>
            </w:r>
          </w:p>
        </w:tc>
        <w:tc>
          <w:tcPr>
            <w:tcW w:type="dxa" w:w="2700"/>
          </w:tcPr>
          <w:p>
            <w:pPr>
              <w:spacing w:after="0" w:before="0" w:line="240" w:lineRule="auto"/>
              <w:jc w:val="left"/>
            </w:pPr>
            <w:r>
              <w:t>Approved sealing or enclosure changes required</w:t>
            </w:r>
          </w:p>
        </w:tc>
        <w:tc>
          <w:tcPr>
            <w:tcW w:type="dxa" w:w="2700"/>
          </w:tcPr>
          <w:p>
            <w:pPr>
              <w:spacing w:after="0" w:before="0" w:line="240" w:lineRule="auto"/>
              <w:jc w:val="left"/>
            </w:pPr>
            <w:r>
              <w:t>Required protection cannot be achieved</w:t>
            </w:r>
          </w:p>
        </w:tc>
      </w:tr>
      <w:tr>
        <w:tc>
          <w:tcPr>
            <w:tcW w:type="dxa" w:w="2700"/>
          </w:tcPr>
          <w:p>
            <w:pPr>
              <w:spacing w:after="0" w:before="0" w:line="240" w:lineRule="auto"/>
              <w:jc w:val="left"/>
            </w:pPr>
            <w:r>
              <w:t>Display and touch</w:t>
            </w:r>
          </w:p>
        </w:tc>
        <w:tc>
          <w:tcPr>
            <w:tcW w:type="dxa" w:w="2700"/>
          </w:tcPr>
          <w:p>
            <w:pPr>
              <w:spacing w:after="0" w:before="0" w:line="240" w:lineRule="auto"/>
              <w:jc w:val="left"/>
            </w:pPr>
            <w:r>
              <w:t>Meets operator requirements</w:t>
            </w:r>
          </w:p>
        </w:tc>
        <w:tc>
          <w:tcPr>
            <w:tcW w:type="dxa" w:w="2700"/>
          </w:tcPr>
          <w:p>
            <w:pPr>
              <w:spacing w:after="0" w:before="0" w:line="240" w:lineRule="auto"/>
              <w:jc w:val="left"/>
            </w:pPr>
            <w:r>
              <w:t>Screen redesign or approved accessory required</w:t>
            </w:r>
          </w:p>
        </w:tc>
        <w:tc>
          <w:tcPr>
            <w:tcW w:type="dxa" w:w="2700"/>
          </w:tcPr>
          <w:p>
            <w:pPr>
              <w:spacing w:after="0" w:before="0" w:line="240" w:lineRule="auto"/>
              <w:jc w:val="left"/>
            </w:pPr>
            <w:r>
              <w:t>Required usability or environmental function cannot be met</w:t>
            </w:r>
          </w:p>
        </w:tc>
      </w:tr>
    </w:tbl>
    <w:p/>
    <w:p>
      <w:r>
        <w:t>Mark an item “compatible without change” only after verifying the exact models and requirements. Similar product names are not engineering evidence.</w:t>
      </w:r>
    </w:p>
    <w:p>
      <w:pPr>
        <w:pStyle w:val="Heading2"/>
      </w:pPr>
      <w:r>
        <w:t>12. Practical factory example</w:t>
      </w:r>
    </w:p>
    <w:p>
      <w:r>
        <w:t>Consider a production machine using an older Mitsubishi GOT1000 terminal connected to a Mitsubishi PLC. The HMI displays automatic/manual mode, cycle status, alarms, motor status, pressure values, and maintenance screens.</w:t>
      </w:r>
    </w:p>
    <w:p>
      <w:r>
        <w:t>The proposed replacement is a GOT2000 terminal.</w:t>
      </w:r>
    </w:p>
    <w:p>
      <w:pPr>
        <w:pStyle w:val="Heading3"/>
      </w:pPr>
      <w:r>
        <w:t>12.1 Initial assessment</w:t>
      </w:r>
    </w:p>
    <w:p>
      <w:r>
        <w:t>The maintenance engineer records the full GOT1000 model, PLC model, communication interface, panel cutout, rear clearance, supply requirements, and existing cable details.</w:t>
      </w:r>
    </w:p>
    <w:p>
      <w:r>
        <w:t>The proposed GOT2000 is then checked against the same requirements. The engineer does not assume that a similar screen size guarantees the same connector arrangement, depth, or interface availability.</w:t>
      </w:r>
    </w:p>
    <w:p>
      <w:pPr>
        <w:pStyle w:val="Heading3"/>
      </w:pPr>
      <w:r>
        <w:t>12.2 Hardware checks</w:t>
      </w:r>
    </w:p>
    <w:p>
      <w:pPr>
        <w:pStyle w:val="ListBullet"/>
      </w:pPr>
      <w:r>
        <w:t>Verify the panel cutout against the exact replacement drawing.</w:t>
      </w:r>
    </w:p>
    <w:p>
      <w:pPr>
        <w:pStyle w:val="ListBullet"/>
      </w:pPr>
      <w:r>
        <w:t>Confirm that mounting clamps and the gasket are suitable.</w:t>
      </w:r>
    </w:p>
    <w:p>
      <w:pPr>
        <w:pStyle w:val="ListBullet"/>
      </w:pPr>
      <w:r>
        <w:t>Check the rear cabinet space for connectors and cable bends.</w:t>
      </w:r>
    </w:p>
    <w:p>
      <w:pPr>
        <w:pStyle w:val="ListBullet"/>
      </w:pPr>
      <w:r>
        <w:t>Confirm supply voltage and current capacity.</w:t>
      </w:r>
    </w:p>
    <w:p>
      <w:pPr>
        <w:pStyle w:val="ListBullet"/>
      </w:pPr>
      <w:r>
        <w:t>Verify that the required Ethernet or serial interface is available.</w:t>
      </w:r>
    </w:p>
    <w:p>
      <w:pPr>
        <w:pStyle w:val="ListBullet"/>
      </w:pPr>
      <w:r>
        <w:t>Confirm the existing PLC connection method is supported.</w:t>
      </w:r>
    </w:p>
    <w:p>
      <w:pPr>
        <w:pStyle w:val="ListBullet"/>
      </w:pPr>
      <w:r>
        <w:t>Check protective-sheet compatibility and environmental suitability.</w:t>
      </w:r>
    </w:p>
    <w:p>
      <w:pPr>
        <w:pStyle w:val="Heading3"/>
      </w:pPr>
      <w:r>
        <w:t>12.3 Installation and validation</w:t>
      </w:r>
    </w:p>
    <w:p>
      <w:r>
        <w:t>After the hardware compatibility review, the approved installation procedure is followed. The terminal is installed, powered, and connected to the PLC under controlled commissioning conditions.</w:t>
      </w:r>
    </w:p>
    <w:p>
      <w:r>
        <w:t>The engineer verifies:</w:t>
      </w:r>
    </w:p>
    <w:p>
      <w:pPr>
        <w:pStyle w:val="ListBullet"/>
      </w:pPr>
      <w:r>
        <w:t>The GOT starts and displays the expected project.</w:t>
      </w:r>
    </w:p>
    <w:p>
      <w:pPr>
        <w:pStyle w:val="ListBullet"/>
      </w:pPr>
      <w:r>
        <w:t>PLC communication is established.</w:t>
      </w:r>
    </w:p>
    <w:p>
      <w:pPr>
        <w:pStyle w:val="ListBullet"/>
      </w:pPr>
      <w:r>
        <w:t>Machine status and feedback values are correct.</w:t>
      </w:r>
    </w:p>
    <w:p>
      <w:pPr>
        <w:pStyle w:val="ListBullet"/>
      </w:pPr>
      <w:r>
        <w:t>Operator commands reach the intended PLC tags or devices.</w:t>
      </w:r>
    </w:p>
    <w:p>
      <w:pPr>
        <w:pStyle w:val="ListBullet"/>
      </w:pPr>
      <w:r>
        <w:t>Alarms and diagnostic screens function correctly.</w:t>
      </w:r>
    </w:p>
    <w:p>
      <w:pPr>
        <w:pStyle w:val="ListBullet"/>
      </w:pPr>
      <w:r>
        <w:t>Communication loss and restoration produce the expected behavior.</w:t>
      </w:r>
    </w:p>
    <w:p>
      <w:pPr>
        <w:pStyle w:val="ListBullet"/>
      </w:pPr>
      <w:r>
        <w:t>The installed panel remains mechanically secure and maintains the required environmental protection.</w:t>
      </w:r>
    </w:p>
    <w:p>
      <w:r>
        <w:t>A successful display startup is not the acceptance criterion. The replacement must work correctly as part of the complete machine control system.</w:t>
      </w:r>
    </w:p>
    <w:p>
      <w:pPr>
        <w:pStyle w:val="Heading2"/>
      </w:pPr>
      <w:r>
        <w:t>13. Maintenance and spare-parts planning</w:t>
      </w:r>
    </w:p>
    <w:p>
      <w:r>
        <w:t>GOT hardware migration should also update the plant's installed-base and spare-parts records.</w:t>
      </w:r>
    </w:p>
    <w:p>
      <w:r>
        <w:t>Record:</w:t>
      </w:r>
    </w:p>
    <w:p>
      <w:pPr>
        <w:pStyle w:val="ListBullet"/>
      </w:pPr>
      <w:r>
        <w:t>Existing GOT model and machine identification.</w:t>
      </w:r>
    </w:p>
    <w:p>
      <w:pPr>
        <w:pStyle w:val="ListBullet"/>
      </w:pPr>
      <w:r>
        <w:t>Replacement GOT model and approved configuration.</w:t>
      </w:r>
    </w:p>
    <w:p>
      <w:pPr>
        <w:pStyle w:val="ListBullet"/>
      </w:pPr>
      <w:r>
        <w:t>Required mounting accessories and protective sheets.</w:t>
      </w:r>
    </w:p>
    <w:p>
      <w:pPr>
        <w:pStyle w:val="ListBullet"/>
      </w:pPr>
      <w:r>
        <w:t>Compatible cables and optional communication units.</w:t>
      </w:r>
    </w:p>
    <w:p>
      <w:pPr>
        <w:pStyle w:val="ListBullet"/>
      </w:pPr>
      <w:r>
        <w:t>Power-supply requirements.</w:t>
      </w:r>
    </w:p>
    <w:p>
      <w:pPr>
        <w:pStyle w:val="ListBullet"/>
      </w:pPr>
      <w:r>
        <w:t>Firmware and project-software compatibility information.</w:t>
      </w:r>
    </w:p>
    <w:p>
      <w:pPr>
        <w:pStyle w:val="ListBullet"/>
      </w:pPr>
      <w:r>
        <w:t>Approved spare model and any limitations.</w:t>
      </w:r>
    </w:p>
    <w:p>
      <w:pPr>
        <w:pStyle w:val="ListBullet"/>
      </w:pPr>
      <w:r>
        <w:t>Vendor availability and lifecycle status.</w:t>
      </w:r>
    </w:p>
    <w:p>
      <w:pPr>
        <w:pStyle w:val="ListBullet"/>
      </w:pPr>
      <w:r>
        <w:t>Backup location and restoration procedure.</w:t>
      </w:r>
    </w:p>
    <w:p>
      <w:pPr>
        <w:pStyle w:val="ListBullet"/>
      </w:pPr>
      <w:r>
        <w:t>Date of replacement and responsible engineering team.</w:t>
      </w:r>
    </w:p>
    <w:p>
      <w:r>
        <w:t>A spare terminal should not be marked as a direct replacement merely because it belongs to the GOT2000 family. Record the specific machine models and configurations for which it has been approved.</w:t>
      </w:r>
    </w:p>
    <w:p>
      <w:pPr>
        <w:pStyle w:val="Heading2"/>
      </w:pPr>
      <w:r>
        <w:t>14. Hardware migration checklist</w:t>
      </w:r>
    </w:p>
    <w:p>
      <w:pPr>
        <w:pStyle w:val="ListBullet"/>
      </w:pPr>
      <w:r>
        <w:t>Existing and proposed GOT catalog numbers confirmed.</w:t>
      </w:r>
    </w:p>
    <w:p>
      <w:pPr>
        <w:pStyle w:val="ListBullet"/>
      </w:pPr>
      <w:r>
        <w:t>Official mechanical drawings obtained.</w:t>
      </w:r>
    </w:p>
    <w:p>
      <w:pPr>
        <w:pStyle w:val="ListBullet"/>
      </w:pPr>
      <w:r>
        <w:t>Front dimensions and panel cutout verified.</w:t>
      </w:r>
    </w:p>
    <w:p>
      <w:pPr>
        <w:pStyle w:val="ListBullet"/>
      </w:pPr>
      <w:r>
        <w:t>Rear depth and cable clearance verified.</w:t>
      </w:r>
    </w:p>
    <w:p>
      <w:pPr>
        <w:pStyle w:val="ListBullet"/>
      </w:pPr>
      <w:r>
        <w:t>Mounting hardware and gasket compatibility confirmed.</w:t>
      </w:r>
    </w:p>
    <w:p>
      <w:pPr>
        <w:pStyle w:val="ListBullet"/>
      </w:pPr>
      <w:r>
        <w:t>Environmental protection requirements verified.</w:t>
      </w:r>
    </w:p>
    <w:p>
      <w:pPr>
        <w:pStyle w:val="ListBullet"/>
      </w:pPr>
      <w:r>
        <w:t>Supply voltage and power budget checked.</w:t>
      </w:r>
    </w:p>
    <w:p>
      <w:pPr>
        <w:pStyle w:val="ListBullet"/>
      </w:pPr>
      <w:r>
        <w:t>Grounding and protective-device requirements checked.</w:t>
      </w:r>
    </w:p>
    <w:p>
      <w:pPr>
        <w:pStyle w:val="ListBullet"/>
      </w:pPr>
      <w:r>
        <w:t>Ethernet and serial interface requirements confirmed.</w:t>
      </w:r>
    </w:p>
    <w:p>
      <w:pPr>
        <w:pStyle w:val="ListBullet"/>
      </w:pPr>
      <w:r>
        <w:t>Cable pinouts and communication settings documented.</w:t>
      </w:r>
    </w:p>
    <w:p>
      <w:pPr>
        <w:pStyle w:val="ListBullet"/>
      </w:pPr>
      <w:r>
        <w:t>USB, storage, and peripheral requirements reviewed.</w:t>
      </w:r>
    </w:p>
    <w:p>
      <w:pPr>
        <w:pStyle w:val="ListBullet"/>
      </w:pPr>
      <w:r>
        <w:t>PLC and connected-device compatibility verified.</w:t>
      </w:r>
    </w:p>
    <w:p>
      <w:pPr>
        <w:pStyle w:val="ListBullet"/>
      </w:pPr>
      <w:r>
        <w:t>Display and touch usability assessed.</w:t>
      </w:r>
    </w:p>
    <w:p>
      <w:pPr>
        <w:pStyle w:val="ListBullet"/>
      </w:pPr>
      <w:r>
        <w:t>Required accessories and spare parts identified.</w:t>
      </w:r>
    </w:p>
    <w:p>
      <w:pPr>
        <w:pStyle w:val="ListBullet"/>
      </w:pPr>
      <w:r>
        <w:t>Installation and commissioning procedure approved.</w:t>
      </w:r>
    </w:p>
    <w:p>
      <w:pPr>
        <w:pStyle w:val="ListBullet"/>
      </w:pPr>
      <w:r>
        <w:t>As-built drawings and equipment records updated.</w:t>
      </w:r>
    </w:p>
    <w:p>
      <w:pPr>
        <w:pStyle w:val="Heading2"/>
      </w:pPr>
      <w:r>
        <w:t>15. Interview questions and answers</w:t>
      </w:r>
    </w:p>
    <w:p>
      <w:r>
        <w:t>1\. What are the three key mechanical dimensions when replacing an HMI?</w:t>
      </w:r>
    </w:p>
    <w:p>
      <w:r>
        <w:t>Front-panel dimensions, panel cutout dimensions, and mounting depth. Each serves a different purpose, and all must be checked.</w:t>
      </w:r>
    </w:p>
    <w:p>
      <w:r>
        <w:t>2\. Can a GOT1000 terminal always be replaced with a same-size GOT2000 without modifying the panel?</w:t>
      </w:r>
    </w:p>
    <w:p>
      <w:r>
        <w:t>Mitsubishi Electric documents matching panel cutout dimensions for same-screen-size models in general, except for GT25 open-frame models. The exact model and mounting arrangement must still be verified.</w:t>
      </w:r>
    </w:p>
    <w:p>
      <w:r>
        <w:t>3\. Why is checking only the Ethernet port insufficient?</w:t>
      </w:r>
    </w:p>
    <w:p>
      <w:r>
        <w:t>The physical port may be available while the required PLC driver, protocol, network configuration, or communication path is incompatible.</w:t>
      </w:r>
    </w:p>
    <w:p>
      <w:r>
        <w:t>4\. Why must the old serial cable be checked?</w:t>
      </w:r>
    </w:p>
    <w:p>
      <w:r>
        <w:t>Connector appearance does not establish pinout or electrical compatibility. The replacement may require a different cable or supported conversion arrangement.</w:t>
      </w:r>
    </w:p>
    <w:p>
      <w:r>
        <w:t>5\. What is the difference between an HMI's front dimensions and its cutout dimensions?</w:t>
      </w:r>
    </w:p>
    <w:p>
      <w:r>
        <w:t>Front dimensions describe the external bezel; cutout dimensions define the panel opening required for installation.</w:t>
      </w:r>
    </w:p>
    <w:p>
      <w:r>
        <w:t>6\. Why should rear clearance be checked?</w:t>
      </w:r>
    </w:p>
    <w:p>
      <w:r>
        <w:t>The terminal may fit the panel opening but leave insufficient room for connectors, cable bends, mounting hardware, or maintenance access.</w:t>
      </w:r>
    </w:p>
    <w:p>
      <w:r>
        <w:t>7\. What determines whether a replacement can maintain the required enclosure protection?</w:t>
      </w:r>
    </w:p>
    <w:p>
      <w:r>
        <w:t>The terminal's specified rating, gasket, panel surface, mounting method, connector arrangement, and installation conditions all contribute.</w:t>
      </w:r>
    </w:p>
    <w:p>
      <w:r>
        <w:t>8\. What should be updated after the replacement?</w:t>
      </w:r>
    </w:p>
    <w:p>
      <w:r>
        <w:t>The approved HMI model, wiring and network records, project backup, accessory list, spare-parts mapping, and maintenance documentation.</w:t>
      </w:r>
    </w:p>
    <w:p>
      <w:pPr>
        <w:pStyle w:val="Heading2"/>
      </w:pPr>
      <w:r>
        <w:t>16. Key takeaway</w:t>
      </w:r>
    </w:p>
    <w:p>
      <w:r>
        <w:t>A GOT1000-to-GOT2000 hardware migration requires more than selecting a replacement with a similar display size. Confirm the exact model, mechanical fit, mounting arrangement, power requirements, ports, cables, PLC compatibility, environmental conditions, and spare-parts strategy before installation.</w:t>
      </w:r>
    </w:p>
    <w:p>
      <w:r>
        <w:t>The most reliable approach is to verify each requirement against the official hardware manual and model-specific drawings, then validate the complete installed system during commissioning.</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02_PLAN_WISE_2026\02_INDUSTRY3_0\24_Obsolescence\07_Examples\03_GOT_to_GOT2000\02_Software - Software: GT Designer conversion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Mitsubishi GOT to GOT2000 Migration: Hardware Compatibility, Panel Size, Mounting, and Ports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