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GOT1000 to GOT2000 Migration: Convert, Transfer, Test</w:t>
      </w:r>
    </w:p>
    <w:p>
      <w:pPr>
        <w:pStyle w:val="Heading2"/>
      </w:pPr>
      <w:r>
        <w:t>1. Purpose and scope</w:t>
      </w:r>
    </w:p>
    <w:p>
      <w:r>
        <w:t>The purpose of migrating a Mitsubishi GOT1000 HMI to a GOT2000 HMI is to replace an older operator interface with a supported, maintainable platform while preserving the required machine operation, PLC communication, alarms, recipes, trends, and operator functions.</w:t>
      </w:r>
    </w:p>
    <w:p>
      <w:r>
        <w:t>A successful migration is not simply transferring a converted project into the replacement panel. It requires three separate activities:</w:t>
      </w:r>
    </w:p>
    <w:p>
      <w:pPr>
        <w:pStyle w:val="ListBullet"/>
      </w:pPr>
      <w:r>
        <w:t>Convert: Adapt the existing HMI project to the target GOT2000 model and its supported software features.</w:t>
      </w:r>
    </w:p>
    <w:p>
      <w:pPr>
        <w:pStyle w:val="ListBullet"/>
      </w:pPr>
      <w:r>
        <w:t>Transfer: Download the verified project to the replacement HMI and establish the correct communication settings.</w:t>
      </w:r>
    </w:p>
    <w:p>
      <w:pPr>
        <w:pStyle w:val="ListBullet"/>
      </w:pPr>
      <w:r>
        <w:t>Test: Confirm that every required function operates correctly with the PLC and the actual machine.</w:t>
      </w:r>
    </w:p>
    <w:p>
      <w:r>
        <w:t>The main engineering objective is to preserve the machine's intended behavior without introducing incorrect commands, lost alarms, corrupted recipes, communication failures, or unsafe operating conditions.</w:t>
      </w:r>
    </w:p>
    <w:p>
      <w:pPr>
        <w:pStyle w:val="Heading2"/>
      </w:pPr>
      <w:r>
        <w:t>2. Migration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example</w:t>
            </w:r>
          </w:p>
        </w:tc>
      </w:tr>
      <w:tr>
        <w:tc>
          <w:tcPr>
            <w:tcW w:type="dxa" w:w="3600"/>
          </w:tcPr>
          <w:p>
            <w:pPr>
              <w:spacing w:after="0" w:before="0" w:line="240" w:lineRule="auto"/>
              <w:jc w:val="left"/>
            </w:pPr>
            <w:r>
              <w:t>Source HMI</w:t>
            </w:r>
          </w:p>
        </w:tc>
        <w:tc>
          <w:tcPr>
            <w:tcW w:type="dxa" w:w="3600"/>
          </w:tcPr>
          <w:p>
            <w:pPr>
              <w:spacing w:after="0" w:before="0" w:line="240" w:lineRule="auto"/>
              <w:jc w:val="left"/>
            </w:pPr>
            <w:r>
              <w:t>Existing panel being replaced</w:t>
            </w:r>
          </w:p>
        </w:tc>
        <w:tc>
          <w:tcPr>
            <w:tcW w:type="dxa" w:w="3600"/>
          </w:tcPr>
          <w:p>
            <w:pPr>
              <w:spacing w:after="0" w:before="0" w:line="240" w:lineRule="auto"/>
              <w:jc w:val="left"/>
            </w:pPr>
            <w:r>
              <w:t>GOT1000</w:t>
            </w:r>
          </w:p>
        </w:tc>
      </w:tr>
      <w:tr>
        <w:tc>
          <w:tcPr>
            <w:tcW w:type="dxa" w:w="3600"/>
          </w:tcPr>
          <w:p>
            <w:pPr>
              <w:spacing w:after="0" w:before="0" w:line="240" w:lineRule="auto"/>
              <w:jc w:val="left"/>
            </w:pPr>
            <w:r>
              <w:t>Target HMI</w:t>
            </w:r>
          </w:p>
        </w:tc>
        <w:tc>
          <w:tcPr>
            <w:tcW w:type="dxa" w:w="3600"/>
          </w:tcPr>
          <w:p>
            <w:pPr>
              <w:spacing w:after="0" w:before="0" w:line="240" w:lineRule="auto"/>
              <w:jc w:val="left"/>
            </w:pPr>
            <w:r>
              <w:t>New panel receiving the migrated project</w:t>
            </w:r>
          </w:p>
        </w:tc>
        <w:tc>
          <w:tcPr>
            <w:tcW w:type="dxa" w:w="3600"/>
          </w:tcPr>
          <w:p>
            <w:pPr>
              <w:spacing w:after="0" w:before="0" w:line="240" w:lineRule="auto"/>
              <w:jc w:val="left"/>
            </w:pPr>
            <w:r>
              <w:t>Compatible GOT2000 model</w:t>
            </w:r>
          </w:p>
        </w:tc>
      </w:tr>
      <w:tr>
        <w:tc>
          <w:tcPr>
            <w:tcW w:type="dxa" w:w="3600"/>
          </w:tcPr>
          <w:p>
            <w:pPr>
              <w:spacing w:after="0" w:before="0" w:line="240" w:lineRule="auto"/>
              <w:jc w:val="left"/>
            </w:pPr>
            <w:r>
              <w:t>Source project</w:t>
            </w:r>
          </w:p>
        </w:tc>
        <w:tc>
          <w:tcPr>
            <w:tcW w:type="dxa" w:w="3600"/>
          </w:tcPr>
          <w:p>
            <w:pPr>
              <w:spacing w:after="0" w:before="0" w:line="240" w:lineRule="auto"/>
              <w:jc w:val="left"/>
            </w:pPr>
            <w:r>
              <w:t>Original editable HMI engineering project</w:t>
            </w:r>
          </w:p>
        </w:tc>
        <w:tc>
          <w:tcPr>
            <w:tcW w:type="dxa" w:w="3600"/>
          </w:tcPr>
          <w:p>
            <w:pPr>
              <w:spacing w:after="0" w:before="0" w:line="240" w:lineRule="auto"/>
              <w:jc w:val="left"/>
            </w:pPr>
            <w:r>
              <w:t>GOT1000 project maintained in GT Designer</w:t>
            </w:r>
          </w:p>
        </w:tc>
      </w:tr>
      <w:tr>
        <w:tc>
          <w:tcPr>
            <w:tcW w:type="dxa" w:w="3600"/>
          </w:tcPr>
          <w:p>
            <w:pPr>
              <w:spacing w:after="0" w:before="0" w:line="240" w:lineRule="auto"/>
              <w:jc w:val="left"/>
            </w:pPr>
            <w:r>
              <w:t>Conversion</w:t>
            </w:r>
          </w:p>
        </w:tc>
        <w:tc>
          <w:tcPr>
            <w:tcW w:type="dxa" w:w="3600"/>
          </w:tcPr>
          <w:p>
            <w:pPr>
              <w:spacing w:after="0" w:before="0" w:line="240" w:lineRule="auto"/>
              <w:jc w:val="left"/>
            </w:pPr>
            <w:r>
              <w:t>Adapting project data for the target generation</w:t>
            </w:r>
          </w:p>
        </w:tc>
        <w:tc>
          <w:tcPr>
            <w:tcW w:type="dxa" w:w="3600"/>
          </w:tcPr>
          <w:p>
            <w:pPr>
              <w:spacing w:after="0" w:before="0" w:line="240" w:lineRule="auto"/>
              <w:jc w:val="left"/>
            </w:pPr>
            <w:r>
              <w:t>Converting the project into a GOT2000-compatible format</w:t>
            </w:r>
          </w:p>
        </w:tc>
      </w:tr>
      <w:tr>
        <w:tc>
          <w:tcPr>
            <w:tcW w:type="dxa" w:w="3600"/>
          </w:tcPr>
          <w:p>
            <w:pPr>
              <w:spacing w:after="0" w:before="0" w:line="240" w:lineRule="auto"/>
              <w:jc w:val="left"/>
            </w:pPr>
            <w:r>
              <w:t>Transfer</w:t>
            </w:r>
          </w:p>
        </w:tc>
        <w:tc>
          <w:tcPr>
            <w:tcW w:type="dxa" w:w="3600"/>
          </w:tcPr>
          <w:p>
            <w:pPr>
              <w:spacing w:after="0" w:before="0" w:line="240" w:lineRule="auto"/>
              <w:jc w:val="left"/>
            </w:pPr>
            <w:r>
              <w:t>Moving the project between the engineering PC and HMI</w:t>
            </w:r>
          </w:p>
        </w:tc>
        <w:tc>
          <w:tcPr>
            <w:tcW w:type="dxa" w:w="3600"/>
          </w:tcPr>
          <w:p>
            <w:pPr>
              <w:spacing w:after="0" w:before="0" w:line="240" w:lineRule="auto"/>
              <w:jc w:val="left"/>
            </w:pPr>
            <w:r>
              <w:t>Downloading through USB or Ethernet where supported</w:t>
            </w:r>
          </w:p>
        </w:tc>
      </w:tr>
      <w:tr>
        <w:tc>
          <w:tcPr>
            <w:tcW w:type="dxa" w:w="3600"/>
          </w:tcPr>
          <w:p>
            <w:pPr>
              <w:spacing w:after="0" w:before="0" w:line="240" w:lineRule="auto"/>
              <w:jc w:val="left"/>
            </w:pPr>
            <w:r>
              <w:t>Upload</w:t>
            </w:r>
          </w:p>
        </w:tc>
        <w:tc>
          <w:tcPr>
            <w:tcW w:type="dxa" w:w="3600"/>
          </w:tcPr>
          <w:p>
            <w:pPr>
              <w:spacing w:after="0" w:before="0" w:line="240" w:lineRule="auto"/>
              <w:jc w:val="left"/>
            </w:pPr>
            <w:r>
              <w:t>Retrieving data from the HMI to the engineering PC</w:t>
            </w:r>
          </w:p>
        </w:tc>
        <w:tc>
          <w:tcPr>
            <w:tcW w:type="dxa" w:w="3600"/>
          </w:tcPr>
          <w:p>
            <w:pPr>
              <w:spacing w:after="0" w:before="0" w:line="240" w:lineRule="auto"/>
              <w:jc w:val="left"/>
            </w:pPr>
            <w:r>
              <w:t>Recovering an available project or runtime configuration</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Checking project configuration and conversion results</w:t>
            </w:r>
          </w:p>
        </w:tc>
        <w:tc>
          <w:tcPr>
            <w:tcW w:type="dxa" w:w="3600"/>
          </w:tcPr>
          <w:p>
            <w:pPr>
              <w:spacing w:after="0" w:before="0" w:line="240" w:lineRule="auto"/>
              <w:jc w:val="left"/>
            </w:pPr>
            <w:r>
              <w:t>Reviewing warnings and device assignments</w:t>
            </w:r>
          </w:p>
        </w:tc>
      </w:tr>
      <w:tr>
        <w:tc>
          <w:tcPr>
            <w:tcW w:type="dxa" w:w="3600"/>
          </w:tcPr>
          <w:p>
            <w:pPr>
              <w:spacing w:after="0" w:before="0" w:line="240" w:lineRule="auto"/>
              <w:jc w:val="left"/>
            </w:pPr>
            <w:r>
              <w:t>FAT</w:t>
            </w:r>
          </w:p>
        </w:tc>
        <w:tc>
          <w:tcPr>
            <w:tcW w:type="dxa" w:w="3600"/>
          </w:tcPr>
          <w:p>
            <w:pPr>
              <w:spacing w:after="0" w:before="0" w:line="240" w:lineRule="auto"/>
              <w:jc w:val="left"/>
            </w:pPr>
            <w:r>
              <w:t>Factory Acceptance Test</w:t>
            </w:r>
          </w:p>
        </w:tc>
        <w:tc>
          <w:tcPr>
            <w:tcW w:type="dxa" w:w="3600"/>
          </w:tcPr>
          <w:p>
            <w:pPr>
              <w:spacing w:after="0" w:before="0" w:line="240" w:lineRule="auto"/>
              <w:jc w:val="left"/>
            </w:pPr>
            <w:r>
              <w:t>Testing the migrated HMI in a controlled engineering environment</w:t>
            </w:r>
          </w:p>
        </w:tc>
      </w:tr>
      <w:tr>
        <w:tc>
          <w:tcPr>
            <w:tcW w:type="dxa" w:w="3600"/>
          </w:tcPr>
          <w:p>
            <w:pPr>
              <w:spacing w:after="0" w:before="0" w:line="240" w:lineRule="auto"/>
              <w:jc w:val="left"/>
            </w:pPr>
            <w:r>
              <w:t>SAT</w:t>
            </w:r>
          </w:p>
        </w:tc>
        <w:tc>
          <w:tcPr>
            <w:tcW w:type="dxa" w:w="3600"/>
          </w:tcPr>
          <w:p>
            <w:pPr>
              <w:spacing w:after="0" w:before="0" w:line="240" w:lineRule="auto"/>
              <w:jc w:val="left"/>
            </w:pPr>
            <w:r>
              <w:t>Site Acceptance Test</w:t>
            </w:r>
          </w:p>
        </w:tc>
        <w:tc>
          <w:tcPr>
            <w:tcW w:type="dxa" w:w="3600"/>
          </w:tcPr>
          <w:p>
            <w:pPr>
              <w:spacing w:after="0" w:before="0" w:line="240" w:lineRule="auto"/>
              <w:jc w:val="left"/>
            </w:pPr>
            <w:r>
              <w:t>Testing the HMI on the installed machine</w:t>
            </w:r>
          </w:p>
        </w:tc>
      </w:tr>
      <w:tr>
        <w:tc>
          <w:tcPr>
            <w:tcW w:type="dxa" w:w="3600"/>
          </w:tcPr>
          <w:p>
            <w:pPr>
              <w:spacing w:after="0" w:before="0" w:line="240" w:lineRule="auto"/>
              <w:jc w:val="left"/>
            </w:pPr>
            <w:r>
              <w:t>Cutover</w:t>
            </w:r>
          </w:p>
        </w:tc>
        <w:tc>
          <w:tcPr>
            <w:tcW w:type="dxa" w:w="3600"/>
          </w:tcPr>
          <w:p>
            <w:pPr>
              <w:spacing w:after="0" w:before="0" w:line="240" w:lineRule="auto"/>
              <w:jc w:val="left"/>
            </w:pPr>
            <w:r>
              <w:t>Changing from the old HMI to the new HMI</w:t>
            </w:r>
          </w:p>
        </w:tc>
        <w:tc>
          <w:tcPr>
            <w:tcW w:type="dxa" w:w="3600"/>
          </w:tcPr>
          <w:p>
            <w:pPr>
              <w:spacing w:after="0" w:before="0" w:line="240" w:lineRule="auto"/>
              <w:jc w:val="left"/>
            </w:pPr>
            <w:r>
              <w:t>Installing the GOT2000 during an approved shutdown</w:t>
            </w:r>
          </w:p>
        </w:tc>
      </w:tr>
      <w:tr>
        <w:tc>
          <w:tcPr>
            <w:tcW w:type="dxa" w:w="3600"/>
          </w:tcPr>
          <w:p>
            <w:pPr>
              <w:spacing w:after="0" w:before="0" w:line="240" w:lineRule="auto"/>
              <w:jc w:val="left"/>
            </w:pPr>
            <w:r>
              <w:t>Rollback</w:t>
            </w:r>
          </w:p>
        </w:tc>
        <w:tc>
          <w:tcPr>
            <w:tcW w:type="dxa" w:w="3600"/>
          </w:tcPr>
          <w:p>
            <w:pPr>
              <w:spacing w:after="0" w:before="0" w:line="240" w:lineRule="auto"/>
              <w:jc w:val="left"/>
            </w:pPr>
            <w:r>
              <w:t>Returning to the previous configuration</w:t>
            </w:r>
          </w:p>
        </w:tc>
        <w:tc>
          <w:tcPr>
            <w:tcW w:type="dxa" w:w="3600"/>
          </w:tcPr>
          <w:p>
            <w:pPr>
              <w:spacing w:after="0" w:before="0" w:line="240" w:lineRule="auto"/>
              <w:jc w:val="left"/>
            </w:pPr>
            <w:r>
              <w:t>Reinstalling the original HMI or restoring the previous setup</w:t>
            </w:r>
          </w:p>
        </w:tc>
      </w:tr>
    </w:tbl>
    <w:p/>
    <w:p>
      <w:pPr>
        <w:pStyle w:val="Heading2"/>
      </w:pPr>
      <w:r>
        <w:t>3. Migration architecture</w:t>
      </w:r>
    </w:p>
    <w:p>
      <w:pPr>
        <w:shd w:val="clear" w:color="auto" w:fill="F4F4F4"/>
        <w:spacing w:before="0" w:after="0" w:line="240" w:lineRule="auto"/>
        <w:ind w:left="216" w:right="216"/>
        <w:jc w:val="left"/>
      </w:pPr>
      <w:r>
        <w:rPr>
          <w:rFonts w:ascii="Consolas" w:hAnsi="Consolas"/>
          <w:color w:val="202020"/>
          <w:sz w:val="18"/>
        </w:rPr>
        <w:t>Existing GOT1000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Recover original project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 up source project and existing settings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Open project in compatible Mitsubishi engineering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and configure the exact GOT2000 target model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Convert project and review warnings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Reconfigure unsupported or changed features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Compile or validate the converted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Transfer project to target GOT2000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screens, PLC communication, alarms and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FAT/SAT and obtain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Cutover, monitor operation and retain rollback capability</w:t>
      </w:r>
    </w:p>
    <w:p/>
    <w:p>
      <w:pPr>
        <w:pStyle w:val="Heading2"/>
      </w:pPr>
      <w:r>
        <w:t>4. Engineering software and project compatibility</w:t>
      </w:r>
    </w:p>
    <w:p>
      <w:pPr>
        <w:pStyle w:val="Heading3"/>
      </w:pPr>
      <w:r>
        <w:t>4.1 GT Designer2 and GT Designer3</w:t>
      </w:r>
    </w:p>
    <w:p>
      <w:r>
        <w:t>Mitsubishi GOT1000 projects are commonly associated with GT Designer2, while GOT2000 engineering is commonly performed using GT Designer3, supplied as part of the applicable GT Works3 environment.</w:t>
      </w:r>
    </w:p>
    <w:p>
      <w:r>
        <w:t>The exact supported conversion route depends on the original project format, source HMI model, target model, and installed software version.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Source software</w:t>
            </w:r>
          </w:p>
        </w:tc>
        <w:tc>
          <w:tcPr>
            <w:tcW w:type="dxa" w:w="3600"/>
          </w:tcPr>
          <w:p>
            <w:pPr>
              <w:spacing w:after="0" w:before="0" w:line="240" w:lineRule="auto"/>
              <w:jc w:val="left"/>
            </w:pPr>
            <w:r>
              <w:t>GT Designer version and project format</w:t>
            </w:r>
          </w:p>
        </w:tc>
        <w:tc>
          <w:tcPr>
            <w:tcW w:type="dxa" w:w="3600"/>
          </w:tcPr>
          <w:p>
            <w:pPr>
              <w:spacing w:after="0" w:before="0" w:line="240" w:lineRule="auto"/>
              <w:jc w:val="left"/>
            </w:pPr>
            <w:r>
              <w:t>Determines whether the source project can be opened or converted directly</w:t>
            </w:r>
          </w:p>
        </w:tc>
      </w:tr>
      <w:tr>
        <w:tc>
          <w:tcPr>
            <w:tcW w:type="dxa" w:w="3600"/>
          </w:tcPr>
          <w:p>
            <w:pPr>
              <w:spacing w:after="0" w:before="0" w:line="240" w:lineRule="auto"/>
              <w:jc w:val="left"/>
            </w:pPr>
            <w:r>
              <w:t>Target software</w:t>
            </w:r>
          </w:p>
        </w:tc>
        <w:tc>
          <w:tcPr>
            <w:tcW w:type="dxa" w:w="3600"/>
          </w:tcPr>
          <w:p>
            <w:pPr>
              <w:spacing w:after="0" w:before="0" w:line="240" w:lineRule="auto"/>
              <w:jc w:val="left"/>
            </w:pPr>
            <w:r>
              <w:t>Installed GT Designer3/GT Works3 version</w:t>
            </w:r>
          </w:p>
        </w:tc>
        <w:tc>
          <w:tcPr>
            <w:tcW w:type="dxa" w:w="3600"/>
          </w:tcPr>
          <w:p>
            <w:pPr>
              <w:spacing w:after="0" w:before="0" w:line="240" w:lineRule="auto"/>
              <w:jc w:val="left"/>
            </w:pPr>
            <w:r>
              <w:t>Determines target-model and feature support</w:t>
            </w:r>
          </w:p>
        </w:tc>
      </w:tr>
      <w:tr>
        <w:tc>
          <w:tcPr>
            <w:tcW w:type="dxa" w:w="3600"/>
          </w:tcPr>
          <w:p>
            <w:pPr>
              <w:spacing w:after="0" w:before="0" w:line="240" w:lineRule="auto"/>
              <w:jc w:val="left"/>
            </w:pPr>
            <w:r>
              <w:t>Source panel</w:t>
            </w:r>
          </w:p>
        </w:tc>
        <w:tc>
          <w:tcPr>
            <w:tcW w:type="dxa" w:w="3600"/>
          </w:tcPr>
          <w:p>
            <w:pPr>
              <w:spacing w:after="0" w:before="0" w:line="240" w:lineRule="auto"/>
              <w:jc w:val="left"/>
            </w:pPr>
            <w:r>
              <w:t>Complete GOT1000 model number</w:t>
            </w:r>
          </w:p>
        </w:tc>
        <w:tc>
          <w:tcPr>
            <w:tcW w:type="dxa" w:w="3600"/>
          </w:tcPr>
          <w:p>
            <w:pPr>
              <w:spacing w:after="0" w:before="0" w:line="240" w:lineRule="auto"/>
              <w:jc w:val="left"/>
            </w:pPr>
            <w:r>
              <w:t>Identifies source capabilities and limitations</w:t>
            </w:r>
          </w:p>
        </w:tc>
      </w:tr>
      <w:tr>
        <w:tc>
          <w:tcPr>
            <w:tcW w:type="dxa" w:w="3600"/>
          </w:tcPr>
          <w:p>
            <w:pPr>
              <w:spacing w:after="0" w:before="0" w:line="240" w:lineRule="auto"/>
              <w:jc w:val="left"/>
            </w:pPr>
            <w:r>
              <w:t>Target panel</w:t>
            </w:r>
          </w:p>
        </w:tc>
        <w:tc>
          <w:tcPr>
            <w:tcW w:type="dxa" w:w="3600"/>
          </w:tcPr>
          <w:p>
            <w:pPr>
              <w:spacing w:after="0" w:before="0" w:line="240" w:lineRule="auto"/>
              <w:jc w:val="left"/>
            </w:pPr>
            <w:r>
              <w:t>Complete GOT2000 model number</w:t>
            </w:r>
          </w:p>
        </w:tc>
        <w:tc>
          <w:tcPr>
            <w:tcW w:type="dxa" w:w="3600"/>
          </w:tcPr>
          <w:p>
            <w:pPr>
              <w:spacing w:after="0" w:before="0" w:line="240" w:lineRule="auto"/>
              <w:jc w:val="left"/>
            </w:pPr>
            <w:r>
              <w:t>Determines resolution, interfaces, and supported functions</w:t>
            </w:r>
          </w:p>
        </w:tc>
      </w:tr>
      <w:tr>
        <w:tc>
          <w:tcPr>
            <w:tcW w:type="dxa" w:w="3600"/>
          </w:tcPr>
          <w:p>
            <w:pPr>
              <w:spacing w:after="0" w:before="0" w:line="240" w:lineRule="auto"/>
              <w:jc w:val="left"/>
            </w:pPr>
            <w:r>
              <w:t>Firmware</w:t>
            </w:r>
          </w:p>
        </w:tc>
        <w:tc>
          <w:tcPr>
            <w:tcW w:type="dxa" w:w="3600"/>
          </w:tcPr>
          <w:p>
            <w:pPr>
              <w:spacing w:after="0" w:before="0" w:line="240" w:lineRule="auto"/>
              <w:jc w:val="left"/>
            </w:pPr>
            <w:r>
              <w:t>Target HMI system software requirements</w:t>
            </w:r>
          </w:p>
        </w:tc>
        <w:tc>
          <w:tcPr>
            <w:tcW w:type="dxa" w:w="3600"/>
          </w:tcPr>
          <w:p>
            <w:pPr>
              <w:spacing w:after="0" w:before="0" w:line="240" w:lineRule="auto"/>
              <w:jc w:val="left"/>
            </w:pPr>
            <w:r>
              <w:t>Prevents software and firmware incompatibilities</w:t>
            </w:r>
          </w:p>
        </w:tc>
      </w:tr>
      <w:tr>
        <w:tc>
          <w:tcPr>
            <w:tcW w:type="dxa" w:w="3600"/>
          </w:tcPr>
          <w:p>
            <w:pPr>
              <w:spacing w:after="0" w:before="0" w:line="240" w:lineRule="auto"/>
              <w:jc w:val="left"/>
            </w:pPr>
            <w:r>
              <w:t>Communication driver</w:t>
            </w:r>
          </w:p>
        </w:tc>
        <w:tc>
          <w:tcPr>
            <w:tcW w:type="dxa" w:w="3600"/>
          </w:tcPr>
          <w:p>
            <w:pPr>
              <w:spacing w:after="0" w:before="0" w:line="240" w:lineRule="auto"/>
              <w:jc w:val="left"/>
            </w:pPr>
            <w:r>
              <w:t>Supported PLC and connection type</w:t>
            </w:r>
          </w:p>
        </w:tc>
        <w:tc>
          <w:tcPr>
            <w:tcW w:type="dxa" w:w="3600"/>
          </w:tcPr>
          <w:p>
            <w:pPr>
              <w:spacing w:after="0" w:before="0" w:line="240" w:lineRule="auto"/>
              <w:jc w:val="left"/>
            </w:pPr>
            <w:r>
              <w:t>Determines whether the HMI can communicate with the controller</w:t>
            </w:r>
          </w:p>
        </w:tc>
      </w:tr>
      <w:tr>
        <w:tc>
          <w:tcPr>
            <w:tcW w:type="dxa" w:w="3600"/>
          </w:tcPr>
          <w:p>
            <w:pPr>
              <w:spacing w:after="0" w:before="0" w:line="240" w:lineRule="auto"/>
              <w:jc w:val="left"/>
            </w:pPr>
            <w:r>
              <w:t>Options</w:t>
            </w:r>
          </w:p>
        </w:tc>
        <w:tc>
          <w:tcPr>
            <w:tcW w:type="dxa" w:w="3600"/>
          </w:tcPr>
          <w:p>
            <w:pPr>
              <w:spacing w:after="0" w:before="0" w:line="240" w:lineRule="auto"/>
              <w:jc w:val="left"/>
            </w:pPr>
            <w:r>
              <w:t>Required functions and hardware options</w:t>
            </w:r>
          </w:p>
        </w:tc>
        <w:tc>
          <w:tcPr>
            <w:tcW w:type="dxa" w:w="3600"/>
          </w:tcPr>
          <w:p>
            <w:pPr>
              <w:spacing w:after="0" w:before="0" w:line="240" w:lineRule="auto"/>
              <w:jc w:val="left"/>
            </w:pPr>
            <w:r>
              <w:t>Prevents loss of functions dependent on optional hardware or licenses</w:t>
            </w:r>
          </w:p>
        </w:tc>
      </w:tr>
    </w:tbl>
    <w:p/>
    <w:p>
      <w:r>
        <w:t>Important: Do not assume every GOT1000 project can be converted directly in one step. Follow the documented conversion procedure for the specific source and target combination.</w:t>
      </w:r>
    </w:p>
    <w:p>
      <w:pPr>
        <w:pStyle w:val="Heading3"/>
      </w:pPr>
      <w:r>
        <w:t>4.2 Project recovery before conversion</w:t>
      </w:r>
    </w:p>
    <w:p>
      <w:r>
        <w:t>Recover the original editable project from the engineering PC, approved engineering archive, or other authorized backup location.</w:t>
      </w:r>
    </w:p>
    <w:p>
      <w:r>
        <w:t>If the original project is unavailable, investigate whether the existing GOT1000 supports retrieving project data. An upload from a running HMI may not recover all original engineering information, comments, reusable libraries, or source objects in the same form as the original editable project.</w:t>
      </w:r>
    </w:p>
    <w:p>
      <w:r>
        <w:t>Before conversion, record:</w:t>
      </w:r>
    </w:p>
    <w:p>
      <w:pPr>
        <w:pStyle w:val="ListBullet"/>
      </w:pPr>
      <w:r>
        <w:t>GOT1000 model and system version.</w:t>
      </w:r>
    </w:p>
    <w:p>
      <w:pPr>
        <w:pStyle w:val="ListBullet"/>
      </w:pPr>
      <w:r>
        <w:t>PLC make, model, CPU type, and firmware where relevant.</w:t>
      </w:r>
    </w:p>
    <w:p>
      <w:pPr>
        <w:pStyle w:val="ListBullet"/>
      </w:pPr>
      <w:r>
        <w:t>Communication interface, driver, station number, IP address, and port settings.</w:t>
      </w:r>
    </w:p>
    <w:p>
      <w:pPr>
        <w:pStyle w:val="ListBullet"/>
      </w:pPr>
      <w:r>
        <w:t>Screen count and screen navigation.</w:t>
      </w:r>
    </w:p>
    <w:p>
      <w:pPr>
        <w:pStyle w:val="ListBullet"/>
      </w:pPr>
      <w:r>
        <w:t>PLC device addresses used by each screen.</w:t>
      </w:r>
    </w:p>
    <w:p>
      <w:pPr>
        <w:pStyle w:val="ListBullet"/>
      </w:pPr>
      <w:r>
        <w:t>Alarm configuration, recipes, trends, scripts, and logging.</w:t>
      </w:r>
    </w:p>
    <w:p>
      <w:pPr>
        <w:pStyle w:val="ListBullet"/>
      </w:pPr>
      <w:r>
        <w:t>Passwords, user permissions, and protected settings.</w:t>
      </w:r>
    </w:p>
    <w:p>
      <w:pPr>
        <w:pStyle w:val="ListBullet"/>
      </w:pPr>
      <w:r>
        <w:t>Fonts, graphics, custom objects, and installed options.</w:t>
      </w:r>
    </w:p>
    <w:p>
      <w:pPr>
        <w:pStyle w:val="ListBullet"/>
      </w:pPr>
      <w:r>
        <w:t>Current PLC program revision and associated project backup.</w:t>
      </w:r>
    </w:p>
    <w:p>
      <w:r>
        <w:t>Never overwrite the only copy of the original project. Preserve an untouched source version and work on a separate migration copy.</w:t>
      </w:r>
    </w:p>
    <w:p>
      <w:pPr>
        <w:pStyle w:val="Heading2"/>
      </w:pPr>
      <w:r>
        <w:t>5. Hardware and target-model verification</w:t>
      </w:r>
    </w:p>
    <w:p>
      <w:r>
        <w:t>Before converting the project, confirm that the target GOT2000 can support the required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Verification item</w:t>
            </w:r>
          </w:p>
        </w:tc>
        <w:tc>
          <w:tcPr>
            <w:tcW w:type="dxa" w:w="5400"/>
            <w:shd w:val="clear" w:color="auto" w:fill="EEF2F7"/>
          </w:tcPr>
          <w:p>
            <w:pPr>
              <w:spacing w:after="0" w:before="0" w:line="240" w:lineRule="auto"/>
              <w:jc w:val="left"/>
            </w:pPr>
            <w:r>
              <w:rPr>
                <w:b/>
                <w:color w:val="1A2E4A"/>
              </w:rPr>
              <w:t>Required engineering action</w:t>
            </w:r>
          </w:p>
        </w:tc>
      </w:tr>
      <w:tr>
        <w:tc>
          <w:tcPr>
            <w:tcW w:type="dxa" w:w="5400"/>
          </w:tcPr>
          <w:p>
            <w:pPr>
              <w:spacing w:after="0" w:before="0" w:line="240" w:lineRule="auto"/>
              <w:jc w:val="left"/>
            </w:pPr>
            <w:r>
              <w:t>Display size</w:t>
            </w:r>
          </w:p>
        </w:tc>
        <w:tc>
          <w:tcPr>
            <w:tcW w:type="dxa" w:w="5400"/>
          </w:tcPr>
          <w:p>
            <w:pPr>
              <w:spacing w:after="0" w:before="0" w:line="240" w:lineRule="auto"/>
              <w:jc w:val="left"/>
            </w:pPr>
            <w:r>
              <w:t>Confirm that the new display is suitable for the operator panel</w:t>
            </w:r>
          </w:p>
        </w:tc>
      </w:tr>
      <w:tr>
        <w:tc>
          <w:tcPr>
            <w:tcW w:type="dxa" w:w="5400"/>
          </w:tcPr>
          <w:p>
            <w:pPr>
              <w:spacing w:after="0" w:before="0" w:line="240" w:lineRule="auto"/>
              <w:jc w:val="left"/>
            </w:pPr>
            <w:r>
              <w:t>Resolution</w:t>
            </w:r>
          </w:p>
        </w:tc>
        <w:tc>
          <w:tcPr>
            <w:tcW w:type="dxa" w:w="5400"/>
          </w:tcPr>
          <w:p>
            <w:pPr>
              <w:spacing w:after="0" w:before="0" w:line="240" w:lineRule="auto"/>
              <w:jc w:val="left"/>
            </w:pPr>
            <w:r>
              <w:t>Check screen dimensions and object positioning</w:t>
            </w:r>
          </w:p>
        </w:tc>
      </w:tr>
      <w:tr>
        <w:tc>
          <w:tcPr>
            <w:tcW w:type="dxa" w:w="5400"/>
          </w:tcPr>
          <w:p>
            <w:pPr>
              <w:spacing w:after="0" w:before="0" w:line="240" w:lineRule="auto"/>
              <w:jc w:val="left"/>
            </w:pPr>
            <w:r>
              <w:t>Touch operation</w:t>
            </w:r>
          </w:p>
        </w:tc>
        <w:tc>
          <w:tcPr>
            <w:tcW w:type="dxa" w:w="5400"/>
          </w:tcPr>
          <w:p>
            <w:pPr>
              <w:spacing w:after="0" w:before="0" w:line="240" w:lineRule="auto"/>
              <w:jc w:val="left"/>
            </w:pPr>
            <w:r>
              <w:t>Verify touch technology and operator interaction requirements</w:t>
            </w:r>
          </w:p>
        </w:tc>
      </w:tr>
      <w:tr>
        <w:tc>
          <w:tcPr>
            <w:tcW w:type="dxa" w:w="5400"/>
          </w:tcPr>
          <w:p>
            <w:pPr>
              <w:spacing w:after="0" w:before="0" w:line="240" w:lineRule="auto"/>
              <w:jc w:val="left"/>
            </w:pPr>
            <w:r>
              <w:t>Interfaces</w:t>
            </w:r>
          </w:p>
        </w:tc>
        <w:tc>
          <w:tcPr>
            <w:tcW w:type="dxa" w:w="5400"/>
          </w:tcPr>
          <w:p>
            <w:pPr>
              <w:spacing w:after="0" w:before="0" w:line="240" w:lineRule="auto"/>
              <w:jc w:val="left"/>
            </w:pPr>
            <w:r>
              <w:t>Confirm required Ethernet, serial, USB, and storage interfaces</w:t>
            </w:r>
          </w:p>
        </w:tc>
      </w:tr>
      <w:tr>
        <w:tc>
          <w:tcPr>
            <w:tcW w:type="dxa" w:w="5400"/>
          </w:tcPr>
          <w:p>
            <w:pPr>
              <w:spacing w:after="0" w:before="0" w:line="240" w:lineRule="auto"/>
              <w:jc w:val="left"/>
            </w:pPr>
            <w:r>
              <w:t>PLC connectivity</w:t>
            </w:r>
          </w:p>
        </w:tc>
        <w:tc>
          <w:tcPr>
            <w:tcW w:type="dxa" w:w="5400"/>
          </w:tcPr>
          <w:p>
            <w:pPr>
              <w:spacing w:after="0" w:before="0" w:line="240" w:lineRule="auto"/>
              <w:jc w:val="left"/>
            </w:pPr>
            <w:r>
              <w:t>Verify the target model and supported communication driver</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Confirm voltage, current requirements, and wiring</w:t>
            </w:r>
          </w:p>
        </w:tc>
      </w:tr>
      <w:tr>
        <w:tc>
          <w:tcPr>
            <w:tcW w:type="dxa" w:w="5400"/>
          </w:tcPr>
          <w:p>
            <w:pPr>
              <w:spacing w:after="0" w:before="0" w:line="240" w:lineRule="auto"/>
              <w:jc w:val="left"/>
            </w:pPr>
            <w:r>
              <w:t>Mounting</w:t>
            </w:r>
          </w:p>
        </w:tc>
        <w:tc>
          <w:tcPr>
            <w:tcW w:type="dxa" w:w="5400"/>
          </w:tcPr>
          <w:p>
            <w:pPr>
              <w:spacing w:after="0" w:before="0" w:line="240" w:lineRule="auto"/>
              <w:jc w:val="left"/>
            </w:pPr>
            <w:r>
              <w:t>Verify panel cutout, depth, gasket, and mounting clamps</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Confirm suitability for dust, moisture, vibration, and temperature</w:t>
            </w:r>
          </w:p>
        </w:tc>
      </w:tr>
      <w:tr>
        <w:tc>
          <w:tcPr>
            <w:tcW w:type="dxa" w:w="5400"/>
          </w:tcPr>
          <w:p>
            <w:pPr>
              <w:spacing w:after="0" w:before="0" w:line="240" w:lineRule="auto"/>
              <w:jc w:val="left"/>
            </w:pPr>
            <w:r>
              <w:t>Storage</w:t>
            </w:r>
          </w:p>
        </w:tc>
        <w:tc>
          <w:tcPr>
            <w:tcW w:type="dxa" w:w="5400"/>
          </w:tcPr>
          <w:p>
            <w:pPr>
              <w:spacing w:after="0" w:before="0" w:line="240" w:lineRule="auto"/>
              <w:jc w:val="left"/>
            </w:pPr>
            <w:r>
              <w:t>Check requirements for logging, recipes, and backup storage</w:t>
            </w:r>
          </w:p>
        </w:tc>
      </w:tr>
      <w:tr>
        <w:tc>
          <w:tcPr>
            <w:tcW w:type="dxa" w:w="5400"/>
          </w:tcPr>
          <w:p>
            <w:pPr>
              <w:spacing w:after="0" w:before="0" w:line="240" w:lineRule="auto"/>
              <w:jc w:val="left"/>
            </w:pPr>
            <w:r>
              <w:t>Options</w:t>
            </w:r>
          </w:p>
        </w:tc>
        <w:tc>
          <w:tcPr>
            <w:tcW w:type="dxa" w:w="5400"/>
          </w:tcPr>
          <w:p>
            <w:pPr>
              <w:spacing w:after="0" w:before="0" w:line="240" w:lineRule="auto"/>
              <w:jc w:val="left"/>
            </w:pPr>
            <w:r>
              <w:t>Verify required licenses, accessories, and model-specific features</w:t>
            </w:r>
          </w:p>
        </w:tc>
      </w:tr>
    </w:tbl>
    <w:p/>
    <w:p>
      <w:r>
        <w:t>A mechanically compatible panel is not necessarily functionally compatible. The replacement must also support the required communication, storage, and software features.</w:t>
      </w:r>
    </w:p>
    <w:p>
      <w:pPr>
        <w:pStyle w:val="Heading2"/>
      </w:pPr>
      <w:r>
        <w:t>6. Converting the project</w:t>
      </w:r>
    </w:p>
    <w:p>
      <w:pPr>
        <w:pStyle w:val="Heading3"/>
      </w:pPr>
      <w:r>
        <w:t>6.1 Recommended conversion procedure</w:t>
      </w:r>
    </w:p>
    <w:p>
      <w:pPr>
        <w:tabs>
          <w:tab w:pos="403" w:val="left"/>
        </w:tabs>
        <w:spacing w:after="40" w:line="276" w:lineRule="auto"/>
        <w:ind w:left="403" w:hanging="403"/>
        <w:jc w:val="left"/>
      </w:pPr>
      <w:r>
        <w:rPr>
          <w:color w:val="1A2E4A"/>
        </w:rPr>
        <w:t>1.</w:t>
        <w:tab/>
      </w:r>
      <w:r>
        <w:t>Create a dedicated migration folder.</w:t>
      </w:r>
    </w:p>
    <w:p>
      <w:pPr>
        <w:tabs>
          <w:tab w:pos="403" w:val="left"/>
        </w:tabs>
        <w:spacing w:after="40" w:line="276" w:lineRule="auto"/>
        <w:ind w:left="403" w:hanging="403"/>
        <w:jc w:val="left"/>
      </w:pPr>
      <w:r>
        <w:rPr>
          <w:color w:val="1A2E4A"/>
        </w:rPr>
        <w:t>2.</w:t>
        <w:tab/>
      </w:r>
      <w:r>
        <w:t>Copy the original project into the migration folder without altering the source.</w:t>
      </w:r>
    </w:p>
    <w:p>
      <w:pPr>
        <w:tabs>
          <w:tab w:pos="403" w:val="left"/>
        </w:tabs>
        <w:spacing w:after="40" w:line="276" w:lineRule="auto"/>
        <w:ind w:left="403" w:hanging="403"/>
        <w:jc w:val="left"/>
      </w:pPr>
      <w:r>
        <w:rPr>
          <w:color w:val="1A2E4A"/>
        </w:rPr>
        <w:t>3.</w:t>
        <w:tab/>
      </w:r>
      <w:r>
        <w:t>Record the source project version and source GOT model.</w:t>
      </w:r>
    </w:p>
    <w:p>
      <w:pPr>
        <w:tabs>
          <w:tab w:pos="403" w:val="left"/>
        </w:tabs>
        <w:spacing w:after="40" w:line="276" w:lineRule="auto"/>
        <w:ind w:left="403" w:hanging="403"/>
        <w:jc w:val="left"/>
      </w:pPr>
      <w:r>
        <w:rPr>
          <w:color w:val="1A2E4A"/>
        </w:rPr>
        <w:t>4.</w:t>
        <w:tab/>
      </w:r>
      <w:r>
        <w:t>Open or import the project using the documented Mitsubishi conversion procedure.</w:t>
      </w:r>
    </w:p>
    <w:p>
      <w:pPr>
        <w:tabs>
          <w:tab w:pos="403" w:val="left"/>
        </w:tabs>
        <w:spacing w:after="40" w:line="276" w:lineRule="auto"/>
        <w:ind w:left="403" w:hanging="403"/>
        <w:jc w:val="left"/>
      </w:pPr>
      <w:r>
        <w:rPr>
          <w:color w:val="1A2E4A"/>
        </w:rPr>
        <w:t>5.</w:t>
        <w:tab/>
      </w:r>
      <w:r>
        <w:t>Select the exact target GOT2000 model.</w:t>
      </w:r>
    </w:p>
    <w:p>
      <w:pPr>
        <w:tabs>
          <w:tab w:pos="403" w:val="left"/>
        </w:tabs>
        <w:spacing w:after="40" w:line="276" w:lineRule="auto"/>
        <w:ind w:left="403" w:hanging="403"/>
        <w:jc w:val="left"/>
      </w:pPr>
      <w:r>
        <w:rPr>
          <w:color w:val="1A2E4A"/>
        </w:rPr>
        <w:t>6.</w:t>
        <w:tab/>
      </w:r>
      <w:r>
        <w:t>Configure the target display resolution and orientation.</w:t>
      </w:r>
    </w:p>
    <w:p>
      <w:pPr>
        <w:tabs>
          <w:tab w:pos="403" w:val="left"/>
        </w:tabs>
        <w:spacing w:after="40" w:line="276" w:lineRule="auto"/>
        <w:ind w:left="403" w:hanging="403"/>
        <w:jc w:val="left"/>
      </w:pPr>
      <w:r>
        <w:rPr>
          <w:color w:val="1A2E4A"/>
        </w:rPr>
        <w:t>7.</w:t>
        <w:tab/>
      </w:r>
      <w:r>
        <w:t>Review the conversion report, warnings, and errors.</w:t>
      </w:r>
    </w:p>
    <w:p>
      <w:pPr>
        <w:tabs>
          <w:tab w:pos="403" w:val="left"/>
        </w:tabs>
        <w:spacing w:after="40" w:line="276" w:lineRule="auto"/>
        <w:ind w:left="403" w:hanging="403"/>
        <w:jc w:val="left"/>
      </w:pPr>
      <w:r>
        <w:rPr>
          <w:color w:val="1A2E4A"/>
        </w:rPr>
        <w:t>8.</w:t>
        <w:tab/>
      </w:r>
      <w:r>
        <w:t>Reconfigure communication drivers, PLC connections, and interface settings as necessary.</w:t>
      </w:r>
    </w:p>
    <w:p>
      <w:pPr>
        <w:tabs>
          <w:tab w:pos="403" w:val="left"/>
        </w:tabs>
        <w:spacing w:after="40" w:line="276" w:lineRule="auto"/>
        <w:ind w:left="403" w:hanging="403"/>
        <w:jc w:val="left"/>
      </w:pPr>
      <w:r>
        <w:rPr>
          <w:color w:val="1A2E4A"/>
        </w:rPr>
        <w:t>9.</w:t>
        <w:tab/>
      </w:r>
      <w:r>
        <w:t>Inspect unsupported objects and features that require manual replacement.</w:t>
      </w:r>
    </w:p>
    <w:p>
      <w:pPr>
        <w:tabs>
          <w:tab w:pos="403" w:val="left"/>
        </w:tabs>
        <w:spacing w:after="40" w:line="276" w:lineRule="auto"/>
        <w:ind w:left="403" w:hanging="403"/>
        <w:jc w:val="left"/>
      </w:pPr>
      <w:r>
        <w:rPr>
          <w:color w:val="1A2E4A"/>
        </w:rPr>
        <w:t>10.</w:t>
        <w:tab/>
      </w:r>
      <w:r>
        <w:t>Verify all screen layouts, fonts, graphics, scripts, and numerical formats.</w:t>
      </w:r>
    </w:p>
    <w:p>
      <w:pPr>
        <w:tabs>
          <w:tab w:pos="403" w:val="left"/>
        </w:tabs>
        <w:spacing w:after="40" w:line="276" w:lineRule="auto"/>
        <w:ind w:left="403" w:hanging="403"/>
        <w:jc w:val="left"/>
      </w:pPr>
      <w:r>
        <w:rPr>
          <w:color w:val="1A2E4A"/>
        </w:rPr>
        <w:t>11.</w:t>
        <w:tab/>
      </w:r>
      <w:r>
        <w:t>Check alarm, recipe, trend, logging, and security settings.</w:t>
      </w:r>
    </w:p>
    <w:p>
      <w:pPr>
        <w:tabs>
          <w:tab w:pos="403" w:val="left"/>
        </w:tabs>
        <w:spacing w:after="40" w:line="276" w:lineRule="auto"/>
        <w:ind w:left="403" w:hanging="403"/>
        <w:jc w:val="left"/>
      </w:pPr>
      <w:r>
        <w:rPr>
          <w:color w:val="1A2E4A"/>
        </w:rPr>
        <w:t>12.</w:t>
        <w:tab/>
      </w:r>
      <w:r>
        <w:t>Validate or compile the converted project using the target software.</w:t>
      </w:r>
    </w:p>
    <w:p>
      <w:pPr>
        <w:tabs>
          <w:tab w:pos="403" w:val="left"/>
        </w:tabs>
        <w:spacing w:after="40" w:line="276" w:lineRule="auto"/>
        <w:ind w:left="403" w:hanging="403"/>
        <w:jc w:val="left"/>
      </w:pPr>
      <w:r>
        <w:rPr>
          <w:color w:val="1A2E4A"/>
        </w:rPr>
        <w:t>13.</w:t>
        <w:tab/>
      </w:r>
      <w:r>
        <w:t>Save the converted project under a new name and revision.</w:t>
      </w:r>
    </w:p>
    <w:p>
      <w:r>
        <w:t>Example project organization:</w:t>
      </w:r>
    </w:p>
    <w:p>
      <w:pPr>
        <w:shd w:val="clear" w:color="auto" w:fill="F4F4F4"/>
        <w:spacing w:before="0" w:after="0" w:line="240" w:lineRule="auto"/>
        <w:ind w:left="216" w:right="216"/>
        <w:jc w:val="left"/>
      </w:pPr>
      <w:r>
        <w:rPr>
          <w:rFonts w:ascii="Consolas" w:hAnsi="Consolas"/>
          <w:color w:val="202020"/>
          <w:sz w:val="18"/>
        </w:rPr>
        <w:t>GOT_MIGRATION/</w:t>
      </w:r>
    </w:p>
    <w:p>
      <w:pPr>
        <w:shd w:val="clear" w:color="auto" w:fill="F4F4F4"/>
        <w:spacing w:before="0" w:after="0" w:line="240" w:lineRule="auto"/>
        <w:ind w:left="216" w:right="216"/>
        <w:jc w:val="left"/>
      </w:pPr>
      <w:r>
        <w:rPr>
          <w:rFonts w:ascii="Consolas" w:hAnsi="Consolas"/>
          <w:color w:val="202020"/>
          <w:sz w:val="18"/>
        </w:rPr>
        <w:t xml:space="preserve">    SOURCE_GOT1000/</w:t>
      </w:r>
    </w:p>
    <w:p>
      <w:pPr>
        <w:shd w:val="clear" w:color="auto" w:fill="F4F4F4"/>
        <w:spacing w:before="0" w:after="0" w:line="240" w:lineRule="auto"/>
        <w:ind w:left="216" w:right="216"/>
        <w:jc w:val="left"/>
      </w:pPr>
      <w:r>
        <w:rPr>
          <w:rFonts w:ascii="Consolas" w:hAnsi="Consolas"/>
          <w:color w:val="202020"/>
          <w:sz w:val="18"/>
        </w:rPr>
        <w:t xml:space="preserve">        Original_Project</w:t>
      </w:r>
    </w:p>
    <w:p>
      <w:pPr>
        <w:shd w:val="clear" w:color="auto" w:fill="F4F4F4"/>
        <w:spacing w:before="0" w:after="0" w:line="240" w:lineRule="auto"/>
        <w:ind w:left="216" w:right="216"/>
        <w:jc w:val="left"/>
      </w:pPr>
      <w:r>
        <w:rPr>
          <w:rFonts w:ascii="Consolas" w:hAnsi="Consolas"/>
          <w:color w:val="202020"/>
          <w:sz w:val="18"/>
        </w:rPr>
        <w:t xml:space="preserve">        Source_Configuration</w:t>
      </w:r>
    </w:p>
    <w:p>
      <w:pPr>
        <w:shd w:val="clear" w:color="auto" w:fill="F4F4F4"/>
        <w:spacing w:before="0" w:after="0" w:line="240" w:lineRule="auto"/>
        <w:ind w:left="216" w:right="216"/>
        <w:jc w:val="left"/>
      </w:pPr>
      <w:r>
        <w:rPr>
          <w:rFonts w:ascii="Consolas" w:hAnsi="Consolas"/>
          <w:color w:val="202020"/>
          <w:sz w:val="18"/>
        </w:rPr>
        <w:t xml:space="preserve">        Source_Backup</w:t>
      </w:r>
    </w:p>
    <w:p>
      <w:pPr>
        <w:shd w:val="clear" w:color="auto" w:fill="F4F4F4"/>
        <w:spacing w:before="0" w:after="0" w:line="240" w:lineRule="auto"/>
        <w:ind w:left="216" w:right="216"/>
        <w:jc w:val="left"/>
      </w:pPr>
      <w:r>
        <w:rPr>
          <w:rFonts w:ascii="Consolas" w:hAnsi="Consolas"/>
          <w:color w:val="202020"/>
          <w:sz w:val="18"/>
        </w:rPr>
        <w:t xml:space="preserve">    WORKING_CONVERSION/</w:t>
      </w:r>
    </w:p>
    <w:p>
      <w:pPr>
        <w:shd w:val="clear" w:color="auto" w:fill="F4F4F4"/>
        <w:spacing w:before="0" w:after="0" w:line="240" w:lineRule="auto"/>
        <w:ind w:left="216" w:right="216"/>
        <w:jc w:val="left"/>
      </w:pPr>
      <w:r>
        <w:rPr>
          <w:rFonts w:ascii="Consolas" w:hAnsi="Consolas"/>
          <w:color w:val="202020"/>
          <w:sz w:val="18"/>
        </w:rPr>
        <w:t xml:space="preserve">        Converted_Project</w:t>
      </w:r>
    </w:p>
    <w:p>
      <w:pPr>
        <w:shd w:val="clear" w:color="auto" w:fill="F4F4F4"/>
        <w:spacing w:before="0" w:after="0" w:line="240" w:lineRule="auto"/>
        <w:ind w:left="216" w:right="216"/>
        <w:jc w:val="left"/>
      </w:pPr>
      <w:r>
        <w:rPr>
          <w:rFonts w:ascii="Consolas" w:hAnsi="Consolas"/>
          <w:color w:val="202020"/>
          <w:sz w:val="18"/>
        </w:rPr>
        <w:t xml:space="preserve">        Conversion_Report</w:t>
      </w:r>
    </w:p>
    <w:p>
      <w:pPr>
        <w:shd w:val="clear" w:color="auto" w:fill="F4F4F4"/>
        <w:spacing w:before="0" w:after="0" w:line="240" w:lineRule="auto"/>
        <w:ind w:left="216" w:right="216"/>
        <w:jc w:val="left"/>
      </w:pPr>
      <w:r>
        <w:rPr>
          <w:rFonts w:ascii="Consolas" w:hAnsi="Consolas"/>
          <w:color w:val="202020"/>
          <w:sz w:val="18"/>
        </w:rPr>
        <w:t xml:space="preserve">        Engineering_Notes</w:t>
      </w:r>
    </w:p>
    <w:p>
      <w:pPr>
        <w:shd w:val="clear" w:color="auto" w:fill="F4F4F4"/>
        <w:spacing w:before="0" w:after="0" w:line="240" w:lineRule="auto"/>
        <w:ind w:left="216" w:right="216"/>
        <w:jc w:val="left"/>
      </w:pPr>
      <w:r>
        <w:rPr>
          <w:rFonts w:ascii="Consolas" w:hAnsi="Consolas"/>
          <w:color w:val="202020"/>
          <w:sz w:val="18"/>
        </w:rPr>
        <w:t xml:space="preserve">    TARGET_GOT2000/</w:t>
      </w:r>
    </w:p>
    <w:p>
      <w:pPr>
        <w:shd w:val="clear" w:color="auto" w:fill="F4F4F4"/>
        <w:spacing w:before="0" w:after="0" w:line="240" w:lineRule="auto"/>
        <w:ind w:left="216" w:right="216"/>
        <w:jc w:val="left"/>
      </w:pPr>
      <w:r>
        <w:rPr>
          <w:rFonts w:ascii="Consolas" w:hAnsi="Consolas"/>
          <w:color w:val="202020"/>
          <w:sz w:val="18"/>
        </w:rPr>
        <w:t xml:space="preserve">        Final_Project</w:t>
      </w:r>
    </w:p>
    <w:p>
      <w:pPr>
        <w:shd w:val="clear" w:color="auto" w:fill="F4F4F4"/>
        <w:spacing w:before="0" w:after="0" w:line="240" w:lineRule="auto"/>
        <w:ind w:left="216" w:right="216"/>
        <w:jc w:val="left"/>
      </w:pPr>
      <w:r>
        <w:rPr>
          <w:rFonts w:ascii="Consolas" w:hAnsi="Consolas"/>
          <w:color w:val="202020"/>
          <w:sz w:val="18"/>
        </w:rPr>
        <w:t xml:space="preserve">        Transfer_Settings</w:t>
      </w:r>
    </w:p>
    <w:p>
      <w:pPr>
        <w:shd w:val="clear" w:color="auto" w:fill="F4F4F4"/>
        <w:spacing w:before="0" w:after="0" w:line="240" w:lineRule="auto"/>
        <w:ind w:left="216" w:right="216"/>
        <w:jc w:val="left"/>
      </w:pPr>
      <w:r>
        <w:rPr>
          <w:rFonts w:ascii="Consolas" w:hAnsi="Consolas"/>
          <w:color w:val="202020"/>
          <w:sz w:val="18"/>
        </w:rPr>
        <w:t xml:space="preserve">        Test_Records</w:t>
      </w:r>
    </w:p>
    <w:p>
      <w:pPr>
        <w:shd w:val="clear" w:color="auto" w:fill="F4F4F4"/>
        <w:spacing w:before="0" w:after="0" w:line="240" w:lineRule="auto"/>
        <w:ind w:left="216" w:right="216"/>
        <w:jc w:val="left"/>
      </w:pPr>
      <w:r>
        <w:rPr>
          <w:rFonts w:ascii="Consolas" w:hAnsi="Consolas"/>
          <w:color w:val="202020"/>
          <w:sz w:val="18"/>
        </w:rPr>
        <w:t xml:space="preserve">        Approved_Backup</w:t>
      </w:r>
    </w:p>
    <w:p/>
    <w:p>
      <w:r>
        <w:t>This organization separates the original evidence from the converted project and the released production version. It also prevents a common maintenance disaster: discovering that the only copy of the old project was overwritten during an experiment.</w:t>
      </w:r>
    </w:p>
    <w:p>
      <w:pPr>
        <w:pStyle w:val="Heading3"/>
      </w:pPr>
      <w:r>
        <w:t>6.2 Conversion warnings and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Finding</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Unsupported object</w:t>
            </w:r>
          </w:p>
        </w:tc>
        <w:tc>
          <w:tcPr>
            <w:tcW w:type="dxa" w:w="3600"/>
          </w:tcPr>
          <w:p>
            <w:pPr>
              <w:spacing w:after="0" w:before="0" w:line="240" w:lineRule="auto"/>
              <w:jc w:val="left"/>
            </w:pPr>
            <w:r>
              <w:t>An object cannot be reproduced exactly on the target</w:t>
            </w:r>
          </w:p>
        </w:tc>
        <w:tc>
          <w:tcPr>
            <w:tcW w:type="dxa" w:w="3600"/>
          </w:tcPr>
          <w:p>
            <w:pPr>
              <w:spacing w:after="0" w:before="0" w:line="240" w:lineRule="auto"/>
              <w:jc w:val="left"/>
            </w:pPr>
            <w:r>
              <w:t>Replace or redesign the object and test its behavior</w:t>
            </w:r>
          </w:p>
        </w:tc>
      </w:tr>
      <w:tr>
        <w:tc>
          <w:tcPr>
            <w:tcW w:type="dxa" w:w="3600"/>
          </w:tcPr>
          <w:p>
            <w:pPr>
              <w:spacing w:after="0" w:before="0" w:line="240" w:lineRule="auto"/>
              <w:jc w:val="left"/>
            </w:pPr>
            <w:r>
              <w:t>Font substitution</w:t>
            </w:r>
          </w:p>
        </w:tc>
        <w:tc>
          <w:tcPr>
            <w:tcW w:type="dxa" w:w="3600"/>
          </w:tcPr>
          <w:p>
            <w:pPr>
              <w:spacing w:after="0" w:before="0" w:line="240" w:lineRule="auto"/>
              <w:jc w:val="left"/>
            </w:pPr>
            <w:r>
              <w:t>A font is unavailable or rendered differently</w:t>
            </w:r>
          </w:p>
        </w:tc>
        <w:tc>
          <w:tcPr>
            <w:tcW w:type="dxa" w:w="3600"/>
          </w:tcPr>
          <w:p>
            <w:pPr>
              <w:spacing w:after="0" w:before="0" w:line="240" w:lineRule="auto"/>
              <w:jc w:val="left"/>
            </w:pPr>
            <w:r>
              <w:t>Select a supported font and verify readability</w:t>
            </w:r>
          </w:p>
        </w:tc>
      </w:tr>
      <w:tr>
        <w:tc>
          <w:tcPr>
            <w:tcW w:type="dxa" w:w="3600"/>
          </w:tcPr>
          <w:p>
            <w:pPr>
              <w:spacing w:after="0" w:before="0" w:line="240" w:lineRule="auto"/>
              <w:jc w:val="left"/>
            </w:pPr>
            <w:r>
              <w:t>Resolution mismatch</w:t>
            </w:r>
          </w:p>
        </w:tc>
        <w:tc>
          <w:tcPr>
            <w:tcW w:type="dxa" w:w="3600"/>
          </w:tcPr>
          <w:p>
            <w:pPr>
              <w:spacing w:after="0" w:before="0" w:line="240" w:lineRule="auto"/>
              <w:jc w:val="left"/>
            </w:pPr>
            <w:r>
              <w:t>Objects may be displaced or clipped</w:t>
            </w:r>
          </w:p>
        </w:tc>
        <w:tc>
          <w:tcPr>
            <w:tcW w:type="dxa" w:w="3600"/>
          </w:tcPr>
          <w:p>
            <w:pPr>
              <w:spacing w:after="0" w:before="0" w:line="240" w:lineRule="auto"/>
              <w:jc w:val="left"/>
            </w:pPr>
            <w:r>
              <w:t>Adjust layout and test on the target display</w:t>
            </w:r>
          </w:p>
        </w:tc>
      </w:tr>
      <w:tr>
        <w:tc>
          <w:tcPr>
            <w:tcW w:type="dxa" w:w="3600"/>
          </w:tcPr>
          <w:p>
            <w:pPr>
              <w:spacing w:after="0" w:before="0" w:line="240" w:lineRule="auto"/>
              <w:jc w:val="left"/>
            </w:pPr>
            <w:r>
              <w:t>Communication warning</w:t>
            </w:r>
          </w:p>
        </w:tc>
        <w:tc>
          <w:tcPr>
            <w:tcW w:type="dxa" w:w="3600"/>
          </w:tcPr>
          <w:p>
            <w:pPr>
              <w:spacing w:after="0" w:before="0" w:line="240" w:lineRule="auto"/>
              <w:jc w:val="left"/>
            </w:pPr>
            <w:r>
              <w:t>The driver or connection settings require attention</w:t>
            </w:r>
          </w:p>
        </w:tc>
        <w:tc>
          <w:tcPr>
            <w:tcW w:type="dxa" w:w="3600"/>
          </w:tcPr>
          <w:p>
            <w:pPr>
              <w:spacing w:after="0" w:before="0" w:line="240" w:lineRule="auto"/>
              <w:jc w:val="left"/>
            </w:pPr>
            <w:r>
              <w:t>Verify the target PLC driver and interface</w:t>
            </w:r>
          </w:p>
        </w:tc>
      </w:tr>
      <w:tr>
        <w:tc>
          <w:tcPr>
            <w:tcW w:type="dxa" w:w="3600"/>
          </w:tcPr>
          <w:p>
            <w:pPr>
              <w:spacing w:after="0" w:before="0" w:line="240" w:lineRule="auto"/>
              <w:jc w:val="left"/>
            </w:pPr>
            <w:r>
              <w:t>Script warning</w:t>
            </w:r>
          </w:p>
        </w:tc>
        <w:tc>
          <w:tcPr>
            <w:tcW w:type="dxa" w:w="3600"/>
          </w:tcPr>
          <w:p>
            <w:pPr>
              <w:spacing w:after="0" w:before="0" w:line="240" w:lineRule="auto"/>
              <w:jc w:val="left"/>
            </w:pPr>
            <w:r>
              <w:t>Script syntax or functionality may differ</w:t>
            </w:r>
          </w:p>
        </w:tc>
        <w:tc>
          <w:tcPr>
            <w:tcW w:type="dxa" w:w="3600"/>
          </w:tcPr>
          <w:p>
            <w:pPr>
              <w:spacing w:after="0" w:before="0" w:line="240" w:lineRule="auto"/>
              <w:jc w:val="left"/>
            </w:pPr>
            <w:r>
              <w:t>Inspect the script and validate its execution</w:t>
            </w:r>
          </w:p>
        </w:tc>
      </w:tr>
      <w:tr>
        <w:tc>
          <w:tcPr>
            <w:tcW w:type="dxa" w:w="3600"/>
          </w:tcPr>
          <w:p>
            <w:pPr>
              <w:spacing w:after="0" w:before="0" w:line="240" w:lineRule="auto"/>
              <w:jc w:val="left"/>
            </w:pPr>
            <w:r>
              <w:t>Option dependency</w:t>
            </w:r>
          </w:p>
        </w:tc>
        <w:tc>
          <w:tcPr>
            <w:tcW w:type="dxa" w:w="3600"/>
          </w:tcPr>
          <w:p>
            <w:pPr>
              <w:spacing w:after="0" w:before="0" w:line="240" w:lineRule="auto"/>
              <w:jc w:val="left"/>
            </w:pPr>
            <w:r>
              <w:t>A function depends on hardware or software options</w:t>
            </w:r>
          </w:p>
        </w:tc>
        <w:tc>
          <w:tcPr>
            <w:tcW w:type="dxa" w:w="3600"/>
          </w:tcPr>
          <w:p>
            <w:pPr>
              <w:spacing w:after="0" w:before="0" w:line="240" w:lineRule="auto"/>
              <w:jc w:val="left"/>
            </w:pPr>
            <w:r>
              <w:t>Verify availability and configure the supported alternative</w:t>
            </w:r>
          </w:p>
        </w:tc>
      </w:tr>
      <w:tr>
        <w:tc>
          <w:tcPr>
            <w:tcW w:type="dxa" w:w="3600"/>
          </w:tcPr>
          <w:p>
            <w:pPr>
              <w:spacing w:after="0" w:before="0" w:line="240" w:lineRule="auto"/>
              <w:jc w:val="left"/>
            </w:pPr>
            <w:r>
              <w:t>Address warning</w:t>
            </w:r>
          </w:p>
        </w:tc>
        <w:tc>
          <w:tcPr>
            <w:tcW w:type="dxa" w:w="3600"/>
          </w:tcPr>
          <w:p>
            <w:pPr>
              <w:spacing w:after="0" w:before="0" w:line="240" w:lineRule="auto"/>
              <w:jc w:val="left"/>
            </w:pPr>
            <w:r>
              <w:t>A device assignment may be invalid or altered</w:t>
            </w:r>
          </w:p>
        </w:tc>
        <w:tc>
          <w:tcPr>
            <w:tcW w:type="dxa" w:w="3600"/>
          </w:tcPr>
          <w:p>
            <w:pPr>
              <w:spacing w:after="0" w:before="0" w:line="240" w:lineRule="auto"/>
              <w:jc w:val="left"/>
            </w:pPr>
            <w:r>
              <w:t>Compare against the source project and PLC program</w:t>
            </w:r>
          </w:p>
        </w:tc>
      </w:tr>
      <w:tr>
        <w:tc>
          <w:tcPr>
            <w:tcW w:type="dxa" w:w="3600"/>
          </w:tcPr>
          <w:p>
            <w:pPr>
              <w:spacing w:after="0" w:before="0" w:line="240" w:lineRule="auto"/>
              <w:jc w:val="left"/>
            </w:pPr>
            <w:r>
              <w:t>Resource warning</w:t>
            </w:r>
          </w:p>
        </w:tc>
        <w:tc>
          <w:tcPr>
            <w:tcW w:type="dxa" w:w="3600"/>
          </w:tcPr>
          <w:p>
            <w:pPr>
              <w:spacing w:after="0" w:before="0" w:line="240" w:lineRule="auto"/>
              <w:jc w:val="left"/>
            </w:pPr>
            <w:r>
              <w:t>A target resource or project limit may be exceeded</w:t>
            </w:r>
          </w:p>
        </w:tc>
        <w:tc>
          <w:tcPr>
            <w:tcW w:type="dxa" w:w="3600"/>
          </w:tcPr>
          <w:p>
            <w:pPr>
              <w:spacing w:after="0" w:before="0" w:line="240" w:lineRule="auto"/>
              <w:jc w:val="left"/>
            </w:pPr>
            <w:r>
              <w:t>Reduce usage or redesign within supported limits</w:t>
            </w:r>
          </w:p>
        </w:tc>
      </w:tr>
    </w:tbl>
    <w:p/>
    <w:p>
      <w:r>
        <w:t>A project that opens successfully is not necessarily a project that operates correctly. Conversion reports must be reviewed, and every critical warning must have a documented disposition.</w:t>
      </w:r>
    </w:p>
    <w:p>
      <w:pPr>
        <w:pStyle w:val="Heading2"/>
      </w:pPr>
      <w:r>
        <w:t>7. Screen layout and object verification</w:t>
      </w:r>
    </w:p>
    <w:p>
      <w:r>
        <w:t>A GOT1000 screen may not render identically on a GOT2000, even when the logical function is unchanged.</w:t>
      </w:r>
    </w:p>
    <w:p>
      <w:pPr>
        <w:pStyle w:val="Heading3"/>
      </w:pPr>
      <w:r>
        <w:t>7.1 Objects requiring inspection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Object or function</w:t>
            </w:r>
          </w:p>
        </w:tc>
        <w:tc>
          <w:tcPr>
            <w:tcW w:type="dxa" w:w="3600"/>
            <w:shd w:val="clear" w:color="auto" w:fill="EEF2F7"/>
          </w:tcPr>
          <w:p>
            <w:pPr>
              <w:spacing w:after="0" w:before="0" w:line="240" w:lineRule="auto"/>
              <w:jc w:val="left"/>
            </w:pPr>
            <w:r>
              <w:rPr>
                <w:b/>
                <w:color w:val="1A2E4A"/>
              </w:rPr>
              <w:t>Verification requirement</w:t>
            </w:r>
          </w:p>
        </w:tc>
        <w:tc>
          <w:tcPr>
            <w:tcW w:type="dxa" w:w="3600"/>
            <w:shd w:val="clear" w:color="auto" w:fill="EEF2F7"/>
          </w:tcPr>
          <w:p>
            <w:pPr>
              <w:spacing w:after="0" w:before="0" w:line="240" w:lineRule="auto"/>
              <w:jc w:val="left"/>
            </w:pPr>
            <w:r>
              <w:rPr>
                <w:b/>
                <w:color w:val="1A2E4A"/>
              </w:rPr>
              <w:t>Typical failure</w:t>
            </w:r>
          </w:p>
        </w:tc>
      </w:tr>
      <w:tr>
        <w:tc>
          <w:tcPr>
            <w:tcW w:type="dxa" w:w="3600"/>
          </w:tcPr>
          <w:p>
            <w:pPr>
              <w:spacing w:after="0" w:before="0" w:line="240" w:lineRule="auto"/>
              <w:jc w:val="left"/>
            </w:pPr>
            <w:r>
              <w:t>Navigation buttons</w:t>
            </w:r>
          </w:p>
        </w:tc>
        <w:tc>
          <w:tcPr>
            <w:tcW w:type="dxa" w:w="3600"/>
          </w:tcPr>
          <w:p>
            <w:pPr>
              <w:spacing w:after="0" w:before="0" w:line="240" w:lineRule="auto"/>
              <w:jc w:val="left"/>
            </w:pPr>
            <w:r>
              <w:t>Confirm destination screens and touch response</w:t>
            </w:r>
          </w:p>
        </w:tc>
        <w:tc>
          <w:tcPr>
            <w:tcW w:type="dxa" w:w="3600"/>
          </w:tcPr>
          <w:p>
            <w:pPr>
              <w:spacing w:after="0" w:before="0" w:line="240" w:lineRule="auto"/>
              <w:jc w:val="left"/>
            </w:pPr>
            <w:r>
              <w:t>Incorrect screen opens</w:t>
            </w:r>
          </w:p>
        </w:tc>
      </w:tr>
      <w:tr>
        <w:tc>
          <w:tcPr>
            <w:tcW w:type="dxa" w:w="3600"/>
          </w:tcPr>
          <w:p>
            <w:pPr>
              <w:spacing w:after="0" w:before="0" w:line="240" w:lineRule="auto"/>
              <w:jc w:val="left"/>
            </w:pPr>
            <w:r>
              <w:t>Numeric displays</w:t>
            </w:r>
          </w:p>
        </w:tc>
        <w:tc>
          <w:tcPr>
            <w:tcW w:type="dxa" w:w="3600"/>
          </w:tcPr>
          <w:p>
            <w:pPr>
              <w:spacing w:after="0" w:before="0" w:line="240" w:lineRule="auto"/>
              <w:jc w:val="left"/>
            </w:pPr>
            <w:r>
              <w:t>Verify digit count, decimal places, sign, and units</w:t>
            </w:r>
          </w:p>
        </w:tc>
        <w:tc>
          <w:tcPr>
            <w:tcW w:type="dxa" w:w="3600"/>
          </w:tcPr>
          <w:p>
            <w:pPr>
              <w:spacing w:after="0" w:before="0" w:line="240" w:lineRule="auto"/>
              <w:jc w:val="left"/>
            </w:pPr>
            <w:r>
              <w:t>Value appears truncated</w:t>
            </w:r>
          </w:p>
        </w:tc>
      </w:tr>
      <w:tr>
        <w:tc>
          <w:tcPr>
            <w:tcW w:type="dxa" w:w="3600"/>
          </w:tcPr>
          <w:p>
            <w:pPr>
              <w:spacing w:after="0" w:before="0" w:line="240" w:lineRule="auto"/>
              <w:jc w:val="left"/>
            </w:pPr>
            <w:r>
              <w:t>Numeric input</w:t>
            </w:r>
          </w:p>
        </w:tc>
        <w:tc>
          <w:tcPr>
            <w:tcW w:type="dxa" w:w="3600"/>
          </w:tcPr>
          <w:p>
            <w:pPr>
              <w:spacing w:after="0" w:before="0" w:line="240" w:lineRule="auto"/>
              <w:jc w:val="left"/>
            </w:pPr>
            <w:r>
              <w:t>Verify input limits and write behavior</w:t>
            </w:r>
          </w:p>
        </w:tc>
        <w:tc>
          <w:tcPr>
            <w:tcW w:type="dxa" w:w="3600"/>
          </w:tcPr>
          <w:p>
            <w:pPr>
              <w:spacing w:after="0" w:before="0" w:line="240" w:lineRule="auto"/>
              <w:jc w:val="left"/>
            </w:pPr>
            <w:r>
              <w:t>Incorrect value is written to PLC</w:t>
            </w:r>
          </w:p>
        </w:tc>
      </w:tr>
      <w:tr>
        <w:tc>
          <w:tcPr>
            <w:tcW w:type="dxa" w:w="3600"/>
          </w:tcPr>
          <w:p>
            <w:pPr>
              <w:spacing w:after="0" w:before="0" w:line="240" w:lineRule="auto"/>
              <w:jc w:val="left"/>
            </w:pPr>
            <w:r>
              <w:t>Bit switches</w:t>
            </w:r>
          </w:p>
        </w:tc>
        <w:tc>
          <w:tcPr>
            <w:tcW w:type="dxa" w:w="3600"/>
          </w:tcPr>
          <w:p>
            <w:pPr>
              <w:spacing w:after="0" w:before="0" w:line="240" w:lineRule="auto"/>
              <w:jc w:val="left"/>
            </w:pPr>
            <w:r>
              <w:t>Verify ON/OFF behavior and interlocks</w:t>
            </w:r>
          </w:p>
        </w:tc>
        <w:tc>
          <w:tcPr>
            <w:tcW w:type="dxa" w:w="3600"/>
          </w:tcPr>
          <w:p>
            <w:pPr>
              <w:spacing w:after="0" w:before="0" w:line="240" w:lineRule="auto"/>
              <w:jc w:val="left"/>
            </w:pPr>
            <w:r>
              <w:t>Unintended machine command</w:t>
            </w:r>
          </w:p>
        </w:tc>
      </w:tr>
      <w:tr>
        <w:tc>
          <w:tcPr>
            <w:tcW w:type="dxa" w:w="3600"/>
          </w:tcPr>
          <w:p>
            <w:pPr>
              <w:spacing w:after="0" w:before="0" w:line="240" w:lineRule="auto"/>
              <w:jc w:val="left"/>
            </w:pPr>
            <w:r>
              <w:t>Word switches</w:t>
            </w:r>
          </w:p>
        </w:tc>
        <w:tc>
          <w:tcPr>
            <w:tcW w:type="dxa" w:w="3600"/>
          </w:tcPr>
          <w:p>
            <w:pPr>
              <w:spacing w:after="0" w:before="0" w:line="240" w:lineRule="auto"/>
              <w:jc w:val="left"/>
            </w:pPr>
            <w:r>
              <w:t>Verify assigned device and written value</w:t>
            </w:r>
          </w:p>
        </w:tc>
        <w:tc>
          <w:tcPr>
            <w:tcW w:type="dxa" w:w="3600"/>
          </w:tcPr>
          <w:p>
            <w:pPr>
              <w:spacing w:after="0" w:before="0" w:line="240" w:lineRule="auto"/>
              <w:jc w:val="left"/>
            </w:pPr>
            <w:r>
              <w:t>Wrong operating mode selected</w:t>
            </w:r>
          </w:p>
        </w:tc>
      </w:tr>
      <w:tr>
        <w:tc>
          <w:tcPr>
            <w:tcW w:type="dxa" w:w="3600"/>
          </w:tcPr>
          <w:p>
            <w:pPr>
              <w:spacing w:after="0" w:before="0" w:line="240" w:lineRule="auto"/>
              <w:jc w:val="left"/>
            </w:pPr>
            <w:r>
              <w:t>Lamps</w:t>
            </w:r>
          </w:p>
        </w:tc>
        <w:tc>
          <w:tcPr>
            <w:tcW w:type="dxa" w:w="3600"/>
          </w:tcPr>
          <w:p>
            <w:pPr>
              <w:spacing w:after="0" w:before="0" w:line="240" w:lineRule="auto"/>
              <w:jc w:val="left"/>
            </w:pPr>
            <w:r>
              <w:t>Verify device assignment and ON/OFF indication</w:t>
            </w:r>
          </w:p>
        </w:tc>
        <w:tc>
          <w:tcPr>
            <w:tcW w:type="dxa" w:w="3600"/>
          </w:tcPr>
          <w:p>
            <w:pPr>
              <w:spacing w:after="0" w:before="0" w:line="240" w:lineRule="auto"/>
              <w:jc w:val="left"/>
            </w:pPr>
            <w:r>
              <w:t>Incorrect machine status</w:t>
            </w:r>
          </w:p>
        </w:tc>
      </w:tr>
      <w:tr>
        <w:tc>
          <w:tcPr>
            <w:tcW w:type="dxa" w:w="3600"/>
          </w:tcPr>
          <w:p>
            <w:pPr>
              <w:spacing w:after="0" w:before="0" w:line="240" w:lineRule="auto"/>
              <w:jc w:val="left"/>
            </w:pPr>
            <w:r>
              <w:t>Alarm display</w:t>
            </w:r>
          </w:p>
        </w:tc>
        <w:tc>
          <w:tcPr>
            <w:tcW w:type="dxa" w:w="3600"/>
          </w:tcPr>
          <w:p>
            <w:pPr>
              <w:spacing w:after="0" w:before="0" w:line="240" w:lineRule="auto"/>
              <w:jc w:val="left"/>
            </w:pPr>
            <w:r>
              <w:t>Verify alarm text, priority, and acknowledgement</w:t>
            </w:r>
          </w:p>
        </w:tc>
        <w:tc>
          <w:tcPr>
            <w:tcW w:type="dxa" w:w="3600"/>
          </w:tcPr>
          <w:p>
            <w:pPr>
              <w:spacing w:after="0" w:before="0" w:line="240" w:lineRule="auto"/>
              <w:jc w:val="left"/>
            </w:pPr>
            <w:r>
              <w:t>Important alarm is missing</w:t>
            </w:r>
          </w:p>
        </w:tc>
      </w:tr>
      <w:tr>
        <w:tc>
          <w:tcPr>
            <w:tcW w:type="dxa" w:w="3600"/>
          </w:tcPr>
          <w:p>
            <w:pPr>
              <w:spacing w:after="0" w:before="0" w:line="240" w:lineRule="auto"/>
              <w:jc w:val="left"/>
            </w:pPr>
            <w:r>
              <w:t>Trend graph</w:t>
            </w:r>
          </w:p>
        </w:tc>
        <w:tc>
          <w:tcPr>
            <w:tcW w:type="dxa" w:w="3600"/>
          </w:tcPr>
          <w:p>
            <w:pPr>
              <w:spacing w:after="0" w:before="0" w:line="240" w:lineRule="auto"/>
              <w:jc w:val="left"/>
            </w:pPr>
            <w:r>
              <w:t>Verify sampling interval, scale, and history</w:t>
            </w:r>
          </w:p>
        </w:tc>
        <w:tc>
          <w:tcPr>
            <w:tcW w:type="dxa" w:w="3600"/>
          </w:tcPr>
          <w:p>
            <w:pPr>
              <w:spacing w:after="0" w:before="0" w:line="240" w:lineRule="auto"/>
              <w:jc w:val="left"/>
            </w:pPr>
            <w:r>
              <w:t>Misleading or incomplete trend</w:t>
            </w:r>
          </w:p>
        </w:tc>
      </w:tr>
      <w:tr>
        <w:tc>
          <w:tcPr>
            <w:tcW w:type="dxa" w:w="3600"/>
          </w:tcPr>
          <w:p>
            <w:pPr>
              <w:spacing w:after="0" w:before="0" w:line="240" w:lineRule="auto"/>
              <w:jc w:val="left"/>
            </w:pPr>
            <w:r>
              <w:t>Recipe screen</w:t>
            </w:r>
          </w:p>
        </w:tc>
        <w:tc>
          <w:tcPr>
            <w:tcW w:type="dxa" w:w="3600"/>
          </w:tcPr>
          <w:p>
            <w:pPr>
              <w:spacing w:after="0" w:before="0" w:line="240" w:lineRule="auto"/>
              <w:jc w:val="left"/>
            </w:pPr>
            <w:r>
              <w:t>Verify recipe selection, transfer, and confirmation</w:t>
            </w:r>
          </w:p>
        </w:tc>
        <w:tc>
          <w:tcPr>
            <w:tcW w:type="dxa" w:w="3600"/>
          </w:tcPr>
          <w:p>
            <w:pPr>
              <w:spacing w:after="0" w:before="0" w:line="240" w:lineRule="auto"/>
              <w:jc w:val="left"/>
            </w:pPr>
            <w:r>
              <w:t>Wrong process settings loaded</w:t>
            </w:r>
          </w:p>
        </w:tc>
      </w:tr>
      <w:tr>
        <w:tc>
          <w:tcPr>
            <w:tcW w:type="dxa" w:w="3600"/>
          </w:tcPr>
          <w:p>
            <w:pPr>
              <w:spacing w:after="0" w:before="0" w:line="240" w:lineRule="auto"/>
              <w:jc w:val="left"/>
            </w:pPr>
            <w:r>
              <w:t>Numeric keypad</w:t>
            </w:r>
          </w:p>
        </w:tc>
        <w:tc>
          <w:tcPr>
            <w:tcW w:type="dxa" w:w="3600"/>
          </w:tcPr>
          <w:p>
            <w:pPr>
              <w:spacing w:after="0" w:before="0" w:line="240" w:lineRule="auto"/>
              <w:jc w:val="left"/>
            </w:pPr>
            <w:r>
              <w:t>Verify data format and range limits</w:t>
            </w:r>
          </w:p>
        </w:tc>
        <w:tc>
          <w:tcPr>
            <w:tcW w:type="dxa" w:w="3600"/>
          </w:tcPr>
          <w:p>
            <w:pPr>
              <w:spacing w:after="0" w:before="0" w:line="240" w:lineRule="auto"/>
              <w:jc w:val="left"/>
            </w:pPr>
            <w:r>
              <w:t>Invalid operator entry</w:t>
            </w:r>
          </w:p>
        </w:tc>
      </w:tr>
      <w:tr>
        <w:tc>
          <w:tcPr>
            <w:tcW w:type="dxa" w:w="3600"/>
          </w:tcPr>
          <w:p>
            <w:pPr>
              <w:spacing w:after="0" w:before="0" w:line="240" w:lineRule="auto"/>
              <w:jc w:val="left"/>
            </w:pPr>
            <w:r>
              <w:t>User login</w:t>
            </w:r>
          </w:p>
        </w:tc>
        <w:tc>
          <w:tcPr>
            <w:tcW w:type="dxa" w:w="3600"/>
          </w:tcPr>
          <w:p>
            <w:pPr>
              <w:spacing w:after="0" w:before="0" w:line="240" w:lineRule="auto"/>
              <w:jc w:val="left"/>
            </w:pPr>
            <w:r>
              <w:t>Verify user levels and protected functions</w:t>
            </w:r>
          </w:p>
        </w:tc>
        <w:tc>
          <w:tcPr>
            <w:tcW w:type="dxa" w:w="3600"/>
          </w:tcPr>
          <w:p>
            <w:pPr>
              <w:spacing w:after="0" w:before="0" w:line="240" w:lineRule="auto"/>
              <w:jc w:val="left"/>
            </w:pPr>
            <w:r>
              <w:t>Unauthorized operation becomes possible</w:t>
            </w:r>
          </w:p>
        </w:tc>
      </w:tr>
      <w:tr>
        <w:tc>
          <w:tcPr>
            <w:tcW w:type="dxa" w:w="3600"/>
          </w:tcPr>
          <w:p>
            <w:pPr>
              <w:spacing w:after="0" w:before="0" w:line="240" w:lineRule="auto"/>
              <w:jc w:val="left"/>
            </w:pPr>
            <w:r>
              <w:t>Graphic objects</w:t>
            </w:r>
          </w:p>
        </w:tc>
        <w:tc>
          <w:tcPr>
            <w:tcW w:type="dxa" w:w="3600"/>
          </w:tcPr>
          <w:p>
            <w:pPr>
              <w:spacing w:after="0" w:before="0" w:line="240" w:lineRule="auto"/>
              <w:jc w:val="left"/>
            </w:pPr>
            <w:r>
              <w:t>Verify position, size, and readability</w:t>
            </w:r>
          </w:p>
        </w:tc>
        <w:tc>
          <w:tcPr>
            <w:tcW w:type="dxa" w:w="3600"/>
          </w:tcPr>
          <w:p>
            <w:pPr>
              <w:spacing w:after="0" w:before="0" w:line="240" w:lineRule="auto"/>
              <w:jc w:val="left"/>
            </w:pPr>
            <w:r>
              <w:t>Labels overlap or disappear</w:t>
            </w:r>
          </w:p>
        </w:tc>
      </w:tr>
      <w:tr>
        <w:tc>
          <w:tcPr>
            <w:tcW w:type="dxa" w:w="3600"/>
          </w:tcPr>
          <w:p>
            <w:pPr>
              <w:spacing w:after="0" w:before="0" w:line="240" w:lineRule="auto"/>
              <w:jc w:val="left"/>
            </w:pPr>
            <w:r>
              <w:t>Scripts</w:t>
            </w:r>
          </w:p>
        </w:tc>
        <w:tc>
          <w:tcPr>
            <w:tcW w:type="dxa" w:w="3600"/>
          </w:tcPr>
          <w:p>
            <w:pPr>
              <w:spacing w:after="0" w:before="0" w:line="240" w:lineRule="auto"/>
              <w:jc w:val="left"/>
            </w:pPr>
            <w:r>
              <w:t>Verify triggers, calculations, and execution</w:t>
            </w:r>
          </w:p>
        </w:tc>
        <w:tc>
          <w:tcPr>
            <w:tcW w:type="dxa" w:w="3600"/>
          </w:tcPr>
          <w:p>
            <w:pPr>
              <w:spacing w:after="0" w:before="0" w:line="240" w:lineRule="auto"/>
              <w:jc w:val="left"/>
            </w:pPr>
            <w:r>
              <w:t>Required action does not occur</w:t>
            </w:r>
          </w:p>
        </w:tc>
      </w:tr>
    </w:tbl>
    <w:p/>
    <w:p>
      <w:pPr>
        <w:pStyle w:val="Heading3"/>
      </w:pPr>
      <w:r>
        <w:t>7.2 Display and numeric format checks</w:t>
      </w:r>
    </w:p>
    <w:p>
      <w:r>
        <w:t>Suppose the PLC stores a temperature as an integer scaled by ten.</w:t>
      </w:r>
    </w:p>
    <w:p>
      <w:r>
        <w:t xml:space="preserve">For example, a PLC value of </w:t>
      </w:r>
      <w:r>
        <w:rPr>
          <w:rFonts w:ascii="Consolas" w:hAnsi="Consolas"/>
          <w:color w:val="333333"/>
          <w:sz w:val="19"/>
          <w:shd w:val="clear" w:color="auto" w:fill="EFEFEF"/>
        </w:rPr>
        <w:t>253</w:t>
      </w:r>
      <w:r>
        <w:t xml:space="preserve"> represents </w:t>
      </w:r>
      <m:oMath>
        <m:r>
          <m:t>25.3</m:t>
        </m:r>
        <m:sSup>
          <m:e>
            <m:r>
              <m:t>,</m:t>
            </m:r>
          </m:e>
          <m:sup>
            <m:r>
              <m:t>∘</m:t>
            </m:r>
          </m:sup>
        </m:sSup>
        <m:r>
          <m:t>C</m:t>
        </m:r>
      </m:oMath>
      <w:r>
        <w:t xml:space="preserve"> if the agreed scaling factor is ten.</w:t>
      </w:r>
    </w:p>
    <w:p>
      <w:r>
        <w:t>The displayed value is:</w:t>
      </w:r>
    </w:p>
    <w:p>
      <w:pPr>
        <w:spacing w:before="120" w:after="160"/>
        <w:jc w:val="center"/>
      </w:pPr>
      <m:oMathPara>
        <m:oMath>
          <m:r>
            <m:t>T=</m:t>
          </m:r>
          <m:f>
            <m:fPr>
              <m:type m:val="bar"/>
            </m:fPr>
            <m:num>
              <m:r>
                <m:t>253</m:t>
              </m:r>
            </m:num>
            <m:den>
              <m:r>
                <m:t>10</m:t>
              </m:r>
            </m:den>
          </m:f>
          <m:r>
            <m:t>=25.3</m:t>
          </m:r>
          <m:sSup>
            <m:e>
              <m:r>
                <m:t>,</m:t>
              </m:r>
            </m:e>
            <m:sup>
              <m:r>
                <m:t>∘</m:t>
              </m:r>
            </m:sup>
          </m:sSup>
          <m:r>
            <m:t>C</m:t>
          </m:r>
        </m:oMath>
      </m:oMathPara>
    </w:p>
    <w:p>
      <w:r>
        <w:t>During migration, verify that the target HMI preserves the original scaling, decimal position, signedness, engineering units, and allowable input range.</w:t>
      </w:r>
    </w:p>
    <w:p>
      <w:r>
        <w:t xml:space="preserve">A display that shows </w:t>
      </w:r>
      <w:r>
        <w:rPr>
          <w:rFonts w:ascii="Consolas" w:hAnsi="Consolas"/>
          <w:color w:val="333333"/>
          <w:sz w:val="19"/>
          <w:shd w:val="clear" w:color="auto" w:fill="EFEFEF"/>
        </w:rPr>
        <w:t>253 °C</w:t>
      </w:r>
      <w:r>
        <w:t xml:space="preserve"> instead of </w:t>
      </w:r>
      <w:r>
        <w:rPr>
          <w:rFonts w:ascii="Consolas" w:hAnsi="Consolas"/>
          <w:color w:val="333333"/>
          <w:sz w:val="19"/>
          <w:shd w:val="clear" w:color="auto" w:fill="EFEFEF"/>
        </w:rPr>
        <w:t>25.3 °C</w:t>
      </w:r>
      <w:r>
        <w:t xml:space="preserve"> is not a cosmetic problem. It can lead an operator to make an incorrect process decision.</w:t>
      </w:r>
    </w:p>
    <w:p>
      <w:pPr>
        <w:pStyle w:val="Heading3"/>
      </w:pPr>
      <w:r>
        <w:t>7.3 Touch and navigation checks</w:t>
      </w:r>
    </w:p>
    <w:p>
      <w:r>
        <w:t>Test every screen transition, including less frequently used maintenance screens.</w:t>
      </w:r>
    </w:p>
    <w:p>
      <w:pPr>
        <w:pStyle w:val="ListBullet"/>
      </w:pPr>
      <w:r>
        <w:t>Confirm that all buttons are visible and accessible.</w:t>
      </w:r>
    </w:p>
    <w:p>
      <w:pPr>
        <w:pStyle w:val="ListBullet"/>
      </w:pPr>
      <w:r>
        <w:t>Check that touch targets are sufficiently large for normal operator use.</w:t>
      </w:r>
    </w:p>
    <w:p>
      <w:pPr>
        <w:pStyle w:val="ListBullet"/>
      </w:pPr>
      <w:r>
        <w:t>Verify screen return, home, popup, and window-closing behavior.</w:t>
      </w:r>
    </w:p>
    <w:p>
      <w:pPr>
        <w:pStyle w:val="ListBullet"/>
      </w:pPr>
      <w:r>
        <w:t>Check whether overlapping objects intercept touch inputs.</w:t>
      </w:r>
    </w:p>
    <w:p>
      <w:pPr>
        <w:pStyle w:val="ListBullet"/>
      </w:pPr>
      <w:r>
        <w:t>Verify that popup windows do not hide critical machine information.</w:t>
      </w:r>
    </w:p>
    <w:p>
      <w:pPr>
        <w:pStyle w:val="ListBullet"/>
      </w:pPr>
      <w:r>
        <w:t>Confirm that protected screens remain protected.</w:t>
      </w:r>
    </w:p>
    <w:p>
      <w:pPr>
        <w:pStyle w:val="ListBullet"/>
      </w:pPr>
      <w:r>
        <w:t>Compare important screens with approved screenshots or the source project.</w:t>
      </w:r>
    </w:p>
    <w:p>
      <w:pPr>
        <w:pStyle w:val="Heading2"/>
      </w:pPr>
      <w:r>
        <w:t>8. PLC communication migration</w:t>
      </w:r>
    </w:p>
    <w:p>
      <w:r>
        <w:t>The HMI is an operator interface, but its commands and displayed information depend on correct PLC communication. A successful download does not prove that the communication path works.</w:t>
      </w:r>
    </w:p>
    <w:p>
      <w:pPr>
        <w:pStyle w:val="Heading3"/>
      </w:pPr>
      <w:r>
        <w:t>8.1 Communication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PLC manufacturer</w:t>
            </w:r>
          </w:p>
        </w:tc>
        <w:tc>
          <w:tcPr>
            <w:tcW w:type="dxa" w:w="5400"/>
          </w:tcPr>
          <w:p>
            <w:pPr>
              <w:spacing w:after="0" w:before="0" w:line="240" w:lineRule="auto"/>
              <w:jc w:val="left"/>
            </w:pPr>
            <w:r>
              <w:t>Must match the actual connected controller</w:t>
            </w:r>
          </w:p>
        </w:tc>
      </w:tr>
      <w:tr>
        <w:tc>
          <w:tcPr>
            <w:tcW w:type="dxa" w:w="5400"/>
          </w:tcPr>
          <w:p>
            <w:pPr>
              <w:spacing w:after="0" w:before="0" w:line="240" w:lineRule="auto"/>
              <w:jc w:val="left"/>
            </w:pPr>
            <w:r>
              <w:t>PLC CPU model</w:t>
            </w:r>
          </w:p>
        </w:tc>
        <w:tc>
          <w:tcPr>
            <w:tcW w:type="dxa" w:w="5400"/>
          </w:tcPr>
          <w:p>
            <w:pPr>
              <w:spacing w:after="0" w:before="0" w:line="240" w:lineRule="auto"/>
              <w:jc w:val="left"/>
            </w:pPr>
            <w:r>
              <w:t>Must be supported by the selected driver</w:t>
            </w:r>
          </w:p>
        </w:tc>
      </w:tr>
      <w:tr>
        <w:tc>
          <w:tcPr>
            <w:tcW w:type="dxa" w:w="5400"/>
          </w:tcPr>
          <w:p>
            <w:pPr>
              <w:spacing w:after="0" w:before="0" w:line="240" w:lineRule="auto"/>
              <w:jc w:val="left"/>
            </w:pPr>
            <w:r>
              <w:t>Driver/protocol</w:t>
            </w:r>
          </w:p>
        </w:tc>
        <w:tc>
          <w:tcPr>
            <w:tcW w:type="dxa" w:w="5400"/>
          </w:tcPr>
          <w:p>
            <w:pPr>
              <w:spacing w:after="0" w:before="0" w:line="240" w:lineRule="auto"/>
              <w:jc w:val="left"/>
            </w:pPr>
            <w:r>
              <w:t>Must match the intended communication method</w:t>
            </w:r>
          </w:p>
        </w:tc>
      </w:tr>
      <w:tr>
        <w:tc>
          <w:tcPr>
            <w:tcW w:type="dxa" w:w="5400"/>
          </w:tcPr>
          <w:p>
            <w:pPr>
              <w:spacing w:after="0" w:before="0" w:line="240" w:lineRule="auto"/>
              <w:jc w:val="left"/>
            </w:pPr>
            <w:r>
              <w:t>Physical interface</w:t>
            </w:r>
          </w:p>
        </w:tc>
        <w:tc>
          <w:tcPr>
            <w:tcW w:type="dxa" w:w="5400"/>
          </w:tcPr>
          <w:p>
            <w:pPr>
              <w:spacing w:after="0" w:before="0" w:line="240" w:lineRule="auto"/>
              <w:jc w:val="left"/>
            </w:pPr>
            <w:r>
              <w:t>Ethernet, serial, or another supported interface</w:t>
            </w:r>
          </w:p>
        </w:tc>
      </w:tr>
      <w:tr>
        <w:tc>
          <w:tcPr>
            <w:tcW w:type="dxa" w:w="5400"/>
          </w:tcPr>
          <w:p>
            <w:pPr>
              <w:spacing w:after="0" w:before="0" w:line="240" w:lineRule="auto"/>
              <w:jc w:val="left"/>
            </w:pPr>
            <w:r>
              <w:t>IP address</w:t>
            </w:r>
          </w:p>
        </w:tc>
        <w:tc>
          <w:tcPr>
            <w:tcW w:type="dxa" w:w="5400"/>
          </w:tcPr>
          <w:p>
            <w:pPr>
              <w:spacing w:after="0" w:before="0" w:line="240" w:lineRule="auto"/>
              <w:jc w:val="left"/>
            </w:pPr>
            <w:r>
              <w:t>Must match the planned network configuration</w:t>
            </w:r>
          </w:p>
        </w:tc>
      </w:tr>
      <w:tr>
        <w:tc>
          <w:tcPr>
            <w:tcW w:type="dxa" w:w="5400"/>
          </w:tcPr>
          <w:p>
            <w:pPr>
              <w:spacing w:after="0" w:before="0" w:line="240" w:lineRule="auto"/>
              <w:jc w:val="left"/>
            </w:pPr>
            <w:r>
              <w:t>Subnet mask</w:t>
            </w:r>
          </w:p>
        </w:tc>
        <w:tc>
          <w:tcPr>
            <w:tcW w:type="dxa" w:w="5400"/>
          </w:tcPr>
          <w:p>
            <w:pPr>
              <w:spacing w:after="0" w:before="0" w:line="240" w:lineRule="auto"/>
              <w:jc w:val="left"/>
            </w:pPr>
            <w:r>
              <w:t>Must be compatible with the network design</w:t>
            </w:r>
          </w:p>
        </w:tc>
      </w:tr>
      <w:tr>
        <w:tc>
          <w:tcPr>
            <w:tcW w:type="dxa" w:w="5400"/>
          </w:tcPr>
          <w:p>
            <w:pPr>
              <w:spacing w:after="0" w:before="0" w:line="240" w:lineRule="auto"/>
              <w:jc w:val="left"/>
            </w:pPr>
            <w:r>
              <w:t>Gateway</w:t>
            </w:r>
          </w:p>
        </w:tc>
        <w:tc>
          <w:tcPr>
            <w:tcW w:type="dxa" w:w="5400"/>
          </w:tcPr>
          <w:p>
            <w:pPr>
              <w:spacing w:after="0" w:before="0" w:line="240" w:lineRule="auto"/>
              <w:jc w:val="left"/>
            </w:pPr>
            <w:r>
              <w:t>Must be correct if routed communication is required</w:t>
            </w:r>
          </w:p>
        </w:tc>
      </w:tr>
      <w:tr>
        <w:tc>
          <w:tcPr>
            <w:tcW w:type="dxa" w:w="5400"/>
          </w:tcPr>
          <w:p>
            <w:pPr>
              <w:spacing w:after="0" w:before="0" w:line="240" w:lineRule="auto"/>
              <w:jc w:val="left"/>
            </w:pPr>
            <w:r>
              <w:t>Station number</w:t>
            </w:r>
          </w:p>
        </w:tc>
        <w:tc>
          <w:tcPr>
            <w:tcW w:type="dxa" w:w="5400"/>
          </w:tcPr>
          <w:p>
            <w:pPr>
              <w:spacing w:after="0" w:before="0" w:line="240" w:lineRule="auto"/>
              <w:jc w:val="left"/>
            </w:pPr>
            <w:r>
              <w:t>Must match the applicable communication configuration</w:t>
            </w:r>
          </w:p>
        </w:tc>
      </w:tr>
      <w:tr>
        <w:tc>
          <w:tcPr>
            <w:tcW w:type="dxa" w:w="5400"/>
          </w:tcPr>
          <w:p>
            <w:pPr>
              <w:spacing w:after="0" w:before="0" w:line="240" w:lineRule="auto"/>
              <w:jc w:val="left"/>
            </w:pPr>
            <w:r>
              <w:t>Serial settings</w:t>
            </w:r>
          </w:p>
        </w:tc>
        <w:tc>
          <w:tcPr>
            <w:tcW w:type="dxa" w:w="5400"/>
          </w:tcPr>
          <w:p>
            <w:pPr>
              <w:spacing w:after="0" w:before="0" w:line="240" w:lineRule="auto"/>
              <w:jc w:val="left"/>
            </w:pPr>
            <w:r>
              <w:t>Baud rate, parity, data bits, and stop bits where applicable</w:t>
            </w:r>
          </w:p>
        </w:tc>
      </w:tr>
      <w:tr>
        <w:tc>
          <w:tcPr>
            <w:tcW w:type="dxa" w:w="5400"/>
          </w:tcPr>
          <w:p>
            <w:pPr>
              <w:spacing w:after="0" w:before="0" w:line="240" w:lineRule="auto"/>
              <w:jc w:val="left"/>
            </w:pPr>
            <w:r>
              <w:t>Device addressing</w:t>
            </w:r>
          </w:p>
        </w:tc>
        <w:tc>
          <w:tcPr>
            <w:tcW w:type="dxa" w:w="5400"/>
          </w:tcPr>
          <w:p>
            <w:pPr>
              <w:spacing w:after="0" w:before="0" w:line="240" w:lineRule="auto"/>
              <w:jc w:val="left"/>
            </w:pPr>
            <w:r>
              <w:t>Confirm the correct PLC device types and address ranges</w:t>
            </w:r>
          </w:p>
        </w:tc>
      </w:tr>
      <w:tr>
        <w:tc>
          <w:tcPr>
            <w:tcW w:type="dxa" w:w="5400"/>
          </w:tcPr>
          <w:p>
            <w:pPr>
              <w:spacing w:after="0" w:before="0" w:line="240" w:lineRule="auto"/>
              <w:jc w:val="left"/>
            </w:pPr>
            <w:r>
              <w:t>Connection timeout</w:t>
            </w:r>
          </w:p>
        </w:tc>
        <w:tc>
          <w:tcPr>
            <w:tcW w:type="dxa" w:w="5400"/>
          </w:tcPr>
          <w:p>
            <w:pPr>
              <w:spacing w:after="0" w:before="0" w:line="240" w:lineRule="auto"/>
              <w:jc w:val="left"/>
            </w:pPr>
            <w:r>
              <w:t>Must be appropriate for the network and controller</w:t>
            </w:r>
          </w:p>
        </w:tc>
      </w:tr>
      <w:tr>
        <w:tc>
          <w:tcPr>
            <w:tcW w:type="dxa" w:w="5400"/>
          </w:tcPr>
          <w:p>
            <w:pPr>
              <w:spacing w:after="0" w:before="0" w:line="240" w:lineRule="auto"/>
              <w:jc w:val="left"/>
            </w:pPr>
            <w:r>
              <w:t>Write permissions</w:t>
            </w:r>
          </w:p>
        </w:tc>
        <w:tc>
          <w:tcPr>
            <w:tcW w:type="dxa" w:w="5400"/>
          </w:tcPr>
          <w:p>
            <w:pPr>
              <w:spacing w:after="0" w:before="0" w:line="240" w:lineRule="auto"/>
              <w:jc w:val="left"/>
            </w:pPr>
            <w:r>
              <w:t>Confirm which operator actions can write to the PLC</w:t>
            </w:r>
          </w:p>
        </w:tc>
      </w:tr>
    </w:tbl>
    <w:p/>
    <w:p>
      <w:r>
        <w:t>Not every GOT2000 model supports every interface or protocol. Verify the exact model's documentation and the supported PLC connection method.</w:t>
      </w:r>
    </w:p>
    <w:p>
      <w:pPr>
        <w:pStyle w:val="Heading3"/>
      </w:pPr>
      <w:r>
        <w:t>8.2 Device address validation</w:t>
      </w:r>
    </w:p>
    <w:p>
      <w:r>
        <w:t>For a Mitsubishi PLC, examples of commonly encountered device types include:</w:t>
      </w:r>
    </w:p>
    <w:p>
      <w:pPr>
        <w:pStyle w:val="ListBullet"/>
      </w:pPr>
      <w:r>
        <w:rPr>
          <w:rFonts w:ascii="Consolas" w:hAnsi="Consolas"/>
          <w:color w:val="333333"/>
          <w:sz w:val="19"/>
          <w:shd w:val="clear" w:color="auto" w:fill="EFEFEF"/>
        </w:rPr>
        <w:t>X</w:t>
      </w:r>
      <w:r>
        <w:t>: input devices.</w:t>
      </w:r>
    </w:p>
    <w:p>
      <w:pPr>
        <w:pStyle w:val="ListBullet"/>
      </w:pPr>
      <w:r>
        <w:rPr>
          <w:rFonts w:ascii="Consolas" w:hAnsi="Consolas"/>
          <w:color w:val="333333"/>
          <w:sz w:val="19"/>
          <w:shd w:val="clear" w:color="auto" w:fill="EFEFEF"/>
        </w:rPr>
        <w:t>Y</w:t>
      </w:r>
      <w:r>
        <w:t>: output devices.</w:t>
      </w:r>
    </w:p>
    <w:p>
      <w:pPr>
        <w:pStyle w:val="ListBullet"/>
      </w:pPr>
      <w:r>
        <w:rPr>
          <w:rFonts w:ascii="Consolas" w:hAnsi="Consolas"/>
          <w:color w:val="333333"/>
          <w:sz w:val="19"/>
          <w:shd w:val="clear" w:color="auto" w:fill="EFEFEF"/>
        </w:rPr>
        <w:t>M</w:t>
      </w:r>
      <w:r>
        <w:t>: internal bit devices.</w:t>
      </w:r>
    </w:p>
    <w:p>
      <w:pPr>
        <w:pStyle w:val="ListBullet"/>
      </w:pPr>
      <w:r>
        <w:rPr>
          <w:rFonts w:ascii="Consolas" w:hAnsi="Consolas"/>
          <w:color w:val="333333"/>
          <w:sz w:val="19"/>
          <w:shd w:val="clear" w:color="auto" w:fill="EFEFEF"/>
        </w:rPr>
        <w:t>D</w:t>
      </w:r>
      <w:r>
        <w:t>: data registers.</w:t>
      </w:r>
    </w:p>
    <w:p>
      <w:r>
        <w:t>The actual available device ranges and addressing rules depend on the PLC family and configuration. Other manufacturers use different conventions, and a device name must never be assumed to have identical meaning across PLC platforms.</w:t>
      </w:r>
    </w:p>
    <w:p>
      <w:r>
        <w:t>Create a device-validation list containing the screen object, source address, target address, data type, access direction, scaling, and test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function</w:t>
            </w:r>
          </w:p>
        </w:tc>
        <w:tc>
          <w:tcPr>
            <w:tcW w:type="dxa" w:w="3600"/>
            <w:shd w:val="clear" w:color="auto" w:fill="EEF2F7"/>
          </w:tcPr>
          <w:p>
            <w:pPr>
              <w:spacing w:after="0" w:before="0" w:line="240" w:lineRule="auto"/>
              <w:jc w:val="left"/>
            </w:pPr>
            <w:r>
              <w:rPr>
                <w:b/>
                <w:color w:val="1A2E4A"/>
              </w:rPr>
              <w:t>Example device</w:t>
            </w:r>
          </w:p>
        </w:tc>
        <w:tc>
          <w:tcPr>
            <w:tcW w:type="dxa" w:w="3600"/>
            <w:shd w:val="clear" w:color="auto" w:fill="EEF2F7"/>
          </w:tcPr>
          <w:p>
            <w:pPr>
              <w:spacing w:after="0" w:before="0" w:line="240" w:lineRule="auto"/>
              <w:jc w:val="left"/>
            </w:pPr>
            <w:r>
              <w:rPr>
                <w:b/>
                <w:color w:val="1A2E4A"/>
              </w:rPr>
              <w:t>Expected behavior</w:t>
            </w:r>
          </w:p>
        </w:tc>
      </w:tr>
      <w:tr>
        <w:tc>
          <w:tcPr>
            <w:tcW w:type="dxa" w:w="3600"/>
          </w:tcPr>
          <w:p>
            <w:pPr>
              <w:spacing w:after="0" w:before="0" w:line="240" w:lineRule="auto"/>
              <w:jc w:val="left"/>
            </w:pPr>
            <w:r>
              <w:t>Auto mode indication</w:t>
            </w:r>
          </w:p>
        </w:tc>
        <w:tc>
          <w:tcPr>
            <w:tcW w:type="dxa" w:w="3600"/>
          </w:tcPr>
          <w:p>
            <w:pPr>
              <w:spacing w:after="0" w:before="0" w:line="240" w:lineRule="auto"/>
              <w:jc w:val="left"/>
            </w:pPr>
            <w:r>
              <w:rPr>
                <w:rFonts w:ascii="Consolas" w:hAnsi="Consolas"/>
                <w:color w:val="333333"/>
                <w:sz w:val="19"/>
                <w:shd w:val="clear" w:color="auto" w:fill="EFEFEF"/>
              </w:rPr>
              <w:t>M100</w:t>
            </w:r>
          </w:p>
        </w:tc>
        <w:tc>
          <w:tcPr>
            <w:tcW w:type="dxa" w:w="3600"/>
          </w:tcPr>
          <w:p>
            <w:pPr>
              <w:spacing w:after="0" w:before="0" w:line="240" w:lineRule="auto"/>
              <w:jc w:val="left"/>
            </w:pPr>
            <w:r>
              <w:t>Indicates the verified automatic-mode status</w:t>
            </w:r>
          </w:p>
        </w:tc>
      </w:tr>
      <w:tr>
        <w:tc>
          <w:tcPr>
            <w:tcW w:type="dxa" w:w="3600"/>
          </w:tcPr>
          <w:p>
            <w:pPr>
              <w:spacing w:after="0" w:before="0" w:line="240" w:lineRule="auto"/>
              <w:jc w:val="left"/>
            </w:pPr>
            <w:r>
              <w:t>Production count</w:t>
            </w:r>
          </w:p>
        </w:tc>
        <w:tc>
          <w:tcPr>
            <w:tcW w:type="dxa" w:w="3600"/>
          </w:tcPr>
          <w:p>
            <w:pPr>
              <w:spacing w:after="0" w:before="0" w:line="240" w:lineRule="auto"/>
              <w:jc w:val="left"/>
            </w:pPr>
            <w:r>
              <w:rPr>
                <w:rFonts w:ascii="Consolas" w:hAnsi="Consolas"/>
                <w:color w:val="333333"/>
                <w:sz w:val="19"/>
                <w:shd w:val="clear" w:color="auto" w:fill="EFEFEF"/>
              </w:rPr>
              <w:t>D200</w:t>
            </w:r>
          </w:p>
        </w:tc>
        <w:tc>
          <w:tcPr>
            <w:tcW w:type="dxa" w:w="3600"/>
          </w:tcPr>
          <w:p>
            <w:pPr>
              <w:spacing w:after="0" w:before="0" w:line="240" w:lineRule="auto"/>
              <w:jc w:val="left"/>
            </w:pPr>
            <w:r>
              <w:t>Displays the count with the correct numerical format</w:t>
            </w:r>
          </w:p>
        </w:tc>
      </w:tr>
      <w:tr>
        <w:tc>
          <w:tcPr>
            <w:tcW w:type="dxa" w:w="3600"/>
          </w:tcPr>
          <w:p>
            <w:pPr>
              <w:spacing w:after="0" w:before="0" w:line="240" w:lineRule="auto"/>
              <w:jc w:val="left"/>
            </w:pPr>
            <w:r>
              <w:t>Alarm reset command</w:t>
            </w:r>
          </w:p>
        </w:tc>
        <w:tc>
          <w:tcPr>
            <w:tcW w:type="dxa" w:w="3600"/>
          </w:tcPr>
          <w:p>
            <w:pPr>
              <w:spacing w:after="0" w:before="0" w:line="240" w:lineRule="auto"/>
              <w:jc w:val="left"/>
            </w:pPr>
            <w:r>
              <w:rPr>
                <w:rFonts w:ascii="Consolas" w:hAnsi="Consolas"/>
                <w:color w:val="333333"/>
                <w:sz w:val="19"/>
                <w:shd w:val="clear" w:color="auto" w:fill="EFEFEF"/>
              </w:rPr>
              <w:t>M150</w:t>
            </w:r>
          </w:p>
        </w:tc>
        <w:tc>
          <w:tcPr>
            <w:tcW w:type="dxa" w:w="3600"/>
          </w:tcPr>
          <w:p>
            <w:pPr>
              <w:spacing w:after="0" w:before="0" w:line="240" w:lineRule="auto"/>
              <w:jc w:val="left"/>
            </w:pPr>
            <w:r>
              <w:t>Executes only under approved machine conditions</w:t>
            </w:r>
          </w:p>
        </w:tc>
      </w:tr>
      <w:tr>
        <w:tc>
          <w:tcPr>
            <w:tcW w:type="dxa" w:w="3600"/>
          </w:tcPr>
          <w:p>
            <w:pPr>
              <w:spacing w:after="0" w:before="0" w:line="240" w:lineRule="auto"/>
              <w:jc w:val="left"/>
            </w:pPr>
            <w:r>
              <w:t>Temperature display</w:t>
            </w:r>
          </w:p>
        </w:tc>
        <w:tc>
          <w:tcPr>
            <w:tcW w:type="dxa" w:w="3600"/>
          </w:tcPr>
          <w:p>
            <w:pPr>
              <w:spacing w:after="0" w:before="0" w:line="240" w:lineRule="auto"/>
              <w:jc w:val="left"/>
            </w:pPr>
            <w:r>
              <w:rPr>
                <w:rFonts w:ascii="Consolas" w:hAnsi="Consolas"/>
                <w:color w:val="333333"/>
                <w:sz w:val="19"/>
                <w:shd w:val="clear" w:color="auto" w:fill="EFEFEF"/>
              </w:rPr>
              <w:t>D300</w:t>
            </w:r>
          </w:p>
        </w:tc>
        <w:tc>
          <w:tcPr>
            <w:tcW w:type="dxa" w:w="3600"/>
          </w:tcPr>
          <w:p>
            <w:pPr>
              <w:spacing w:after="0" w:before="0" w:line="240" w:lineRule="auto"/>
              <w:jc w:val="left"/>
            </w:pPr>
            <w:r>
              <w:t>Displays the correctly scaled engineering value</w:t>
            </w:r>
          </w:p>
        </w:tc>
      </w:tr>
      <w:tr>
        <w:tc>
          <w:tcPr>
            <w:tcW w:type="dxa" w:w="3600"/>
          </w:tcPr>
          <w:p>
            <w:pPr>
              <w:spacing w:after="0" w:before="0" w:line="240" w:lineRule="auto"/>
              <w:jc w:val="left"/>
            </w:pPr>
            <w:r>
              <w:t>Recipe number</w:t>
            </w:r>
          </w:p>
        </w:tc>
        <w:tc>
          <w:tcPr>
            <w:tcW w:type="dxa" w:w="3600"/>
          </w:tcPr>
          <w:p>
            <w:pPr>
              <w:spacing w:after="0" w:before="0" w:line="240" w:lineRule="auto"/>
              <w:jc w:val="left"/>
            </w:pPr>
            <w:r>
              <w:rPr>
                <w:rFonts w:ascii="Consolas" w:hAnsi="Consolas"/>
                <w:color w:val="333333"/>
                <w:sz w:val="19"/>
                <w:shd w:val="clear" w:color="auto" w:fill="EFEFEF"/>
              </w:rPr>
              <w:t>D400</w:t>
            </w:r>
          </w:p>
        </w:tc>
        <w:tc>
          <w:tcPr>
            <w:tcW w:type="dxa" w:w="3600"/>
          </w:tcPr>
          <w:p>
            <w:pPr>
              <w:spacing w:after="0" w:before="0" w:line="240" w:lineRule="auto"/>
              <w:jc w:val="left"/>
            </w:pPr>
            <w:r>
              <w:t>Shows the active recipe identifier</w:t>
            </w:r>
          </w:p>
        </w:tc>
      </w:tr>
    </w:tbl>
    <w:p/>
    <w:p>
      <w:r>
        <w:t>These are illustrative addresses, not actual machine assignments. They must be replaced with addresses confirmed from the production PLC program and the approved I/O or device list.</w:t>
      </w:r>
    </w:p>
    <w:p>
      <w:pPr>
        <w:pStyle w:val="Heading3"/>
      </w:pPr>
      <w:r>
        <w:t>8.3 Read and write verification</w:t>
      </w:r>
    </w:p>
    <w:p>
      <w:r>
        <w:t>Test reads and writes separately.</w:t>
      </w:r>
    </w:p>
    <w:p>
      <w:r>
        <w:t>Read verification:</w:t>
      </w:r>
    </w:p>
    <w:p>
      <w:pPr>
        <w:tabs>
          <w:tab w:pos="403" w:val="left"/>
        </w:tabs>
        <w:spacing w:after="40" w:line="276" w:lineRule="auto"/>
        <w:ind w:left="403" w:hanging="403"/>
        <w:jc w:val="left"/>
      </w:pPr>
      <w:r>
        <w:rPr>
          <w:color w:val="1A2E4A"/>
        </w:rPr>
        <w:t>1.</w:t>
        <w:tab/>
      </w:r>
      <w:r>
        <w:t>Select a known PLC device.</w:t>
      </w:r>
    </w:p>
    <w:p>
      <w:pPr>
        <w:tabs>
          <w:tab w:pos="403" w:val="left"/>
        </w:tabs>
        <w:spacing w:after="40" w:line="276" w:lineRule="auto"/>
        <w:ind w:left="403" w:hanging="403"/>
        <w:jc w:val="left"/>
      </w:pPr>
      <w:r>
        <w:rPr>
          <w:color w:val="1A2E4A"/>
        </w:rPr>
        <w:t>2.</w:t>
        <w:tab/>
      </w:r>
      <w:r>
        <w:t>Confirm its value in the PLC programming environment or an approved diagnostic method.</w:t>
      </w:r>
    </w:p>
    <w:p>
      <w:pPr>
        <w:tabs>
          <w:tab w:pos="403" w:val="left"/>
        </w:tabs>
        <w:spacing w:after="40" w:line="276" w:lineRule="auto"/>
        <w:ind w:left="403" w:hanging="403"/>
        <w:jc w:val="left"/>
      </w:pPr>
      <w:r>
        <w:rPr>
          <w:color w:val="1A2E4A"/>
        </w:rPr>
        <w:t>3.</w:t>
        <w:tab/>
      </w:r>
      <w:r>
        <w:t>Compare the PLC value with the HMI display.</w:t>
      </w:r>
    </w:p>
    <w:p>
      <w:pPr>
        <w:tabs>
          <w:tab w:pos="403" w:val="left"/>
        </w:tabs>
        <w:spacing w:after="40" w:line="276" w:lineRule="auto"/>
        <w:ind w:left="403" w:hanging="403"/>
        <w:jc w:val="left"/>
      </w:pPr>
      <w:r>
        <w:rPr>
          <w:color w:val="1A2E4A"/>
        </w:rPr>
        <w:t>4.</w:t>
        <w:tab/>
      </w:r>
      <w:r>
        <w:t>Change the source value under controlled conditions.</w:t>
      </w:r>
    </w:p>
    <w:p>
      <w:pPr>
        <w:tabs>
          <w:tab w:pos="403" w:val="left"/>
        </w:tabs>
        <w:spacing w:after="40" w:line="276" w:lineRule="auto"/>
        <w:ind w:left="403" w:hanging="403"/>
        <w:jc w:val="left"/>
      </w:pPr>
      <w:r>
        <w:rPr>
          <w:color w:val="1A2E4A"/>
        </w:rPr>
        <w:t>5.</w:t>
        <w:tab/>
      </w:r>
      <w:r>
        <w:t>Confirm that the HMI updates correctly.</w:t>
      </w:r>
    </w:p>
    <w:p>
      <w:r>
        <w:t>Write verification:</w:t>
      </w:r>
    </w:p>
    <w:p>
      <w:pPr>
        <w:tabs>
          <w:tab w:pos="403" w:val="left"/>
        </w:tabs>
        <w:spacing w:after="40" w:line="276" w:lineRule="auto"/>
        <w:ind w:left="403" w:hanging="403"/>
        <w:jc w:val="left"/>
      </w:pPr>
      <w:r>
        <w:rPr>
          <w:color w:val="1A2E4A"/>
        </w:rPr>
        <w:t>1.</w:t>
        <w:tab/>
      </w:r>
      <w:r>
        <w:t>Identify the target PLC device and its purpose.</w:t>
      </w:r>
    </w:p>
    <w:p>
      <w:pPr>
        <w:tabs>
          <w:tab w:pos="403" w:val="left"/>
        </w:tabs>
        <w:spacing w:after="40" w:line="276" w:lineRule="auto"/>
        <w:ind w:left="403" w:hanging="403"/>
        <w:jc w:val="left"/>
      </w:pPr>
      <w:r>
        <w:rPr>
          <w:color w:val="1A2E4A"/>
        </w:rPr>
        <w:t>2.</w:t>
        <w:tab/>
      </w:r>
      <w:r>
        <w:t>Confirm that the write is permitted by the machine's operating and safety procedures.</w:t>
      </w:r>
    </w:p>
    <w:p>
      <w:pPr>
        <w:tabs>
          <w:tab w:pos="403" w:val="left"/>
        </w:tabs>
        <w:spacing w:after="40" w:line="276" w:lineRule="auto"/>
        <w:ind w:left="403" w:hanging="403"/>
        <w:jc w:val="left"/>
      </w:pPr>
      <w:r>
        <w:rPr>
          <w:color w:val="1A2E4A"/>
        </w:rPr>
        <w:t>3.</w:t>
        <w:tab/>
      </w:r>
      <w:r>
        <w:t>Test using a controlled, approved test condition.</w:t>
      </w:r>
    </w:p>
    <w:p>
      <w:pPr>
        <w:tabs>
          <w:tab w:pos="403" w:val="left"/>
        </w:tabs>
        <w:spacing w:after="40" w:line="276" w:lineRule="auto"/>
        <w:ind w:left="403" w:hanging="403"/>
        <w:jc w:val="left"/>
      </w:pPr>
      <w:r>
        <w:rPr>
          <w:color w:val="1A2E4A"/>
        </w:rPr>
        <w:t>4.</w:t>
        <w:tab/>
      </w:r>
      <w:r>
        <w:t>Verify the written value at the PLC.</w:t>
      </w:r>
    </w:p>
    <w:p>
      <w:pPr>
        <w:tabs>
          <w:tab w:pos="403" w:val="left"/>
        </w:tabs>
        <w:spacing w:after="40" w:line="276" w:lineRule="auto"/>
        <w:ind w:left="403" w:hanging="403"/>
        <w:jc w:val="left"/>
      </w:pPr>
      <w:r>
        <w:rPr>
          <w:color w:val="1A2E4A"/>
        </w:rPr>
        <w:t>5.</w:t>
        <w:tab/>
      </w:r>
      <w:r>
        <w:t>Confirm that the PLC logic responds as intended.</w:t>
      </w:r>
    </w:p>
    <w:p>
      <w:pPr>
        <w:tabs>
          <w:tab w:pos="403" w:val="left"/>
        </w:tabs>
        <w:spacing w:after="40" w:line="276" w:lineRule="auto"/>
        <w:ind w:left="403" w:hanging="403"/>
        <w:jc w:val="left"/>
      </w:pPr>
      <w:r>
        <w:rPr>
          <w:color w:val="1A2E4A"/>
        </w:rPr>
        <w:t>6.</w:t>
        <w:tab/>
      </w:r>
      <w:r>
        <w:t>Confirm that invalid values or unauthorized commands are rejected where required.</w:t>
      </w:r>
    </w:p>
    <w:p>
      <w:r>
        <w:t>Do not test arbitrary writes against production outputs, motion commands, interlocks, or safety-related signals. Use a simulation, test PLC, or approved controlled test procedure where possible.</w:t>
      </w:r>
    </w:p>
    <w:p>
      <w:pPr>
        <w:pStyle w:val="Heading2"/>
      </w:pPr>
      <w:r>
        <w:t>9. Alarms, recipes, logging, and special functions</w:t>
      </w:r>
    </w:p>
    <w:p>
      <w:pPr>
        <w:pStyle w:val="Heading3"/>
      </w:pPr>
      <w:r>
        <w:t>9.1 Alarm migration</w:t>
      </w:r>
    </w:p>
    <w:p>
      <w:r>
        <w:t>Check all alarm configuration and operator response behavior.</w:t>
      </w:r>
    </w:p>
    <w:p>
      <w:pPr>
        <w:pStyle w:val="ListBullet"/>
      </w:pPr>
      <w:r>
        <w:t>Alarm trigger devices and conditions.</w:t>
      </w:r>
    </w:p>
    <w:p>
      <w:pPr>
        <w:pStyle w:val="ListBullet"/>
      </w:pPr>
      <w:r>
        <w:t>Alarm messages, numbering, and priority.</w:t>
      </w:r>
    </w:p>
    <w:p>
      <w:pPr>
        <w:pStyle w:val="ListBullet"/>
      </w:pPr>
      <w:r>
        <w:t>Active, historical, and acknowledged alarm states.</w:t>
      </w:r>
    </w:p>
    <w:p>
      <w:pPr>
        <w:pStyle w:val="ListBullet"/>
      </w:pPr>
      <w:r>
        <w:t>Alarm reset and acknowledgement behavior.</w:t>
      </w:r>
    </w:p>
    <w:p>
      <w:pPr>
        <w:pStyle w:val="ListBullet"/>
      </w:pPr>
      <w:r>
        <w:t>Alarm history retention and storage.</w:t>
      </w:r>
    </w:p>
    <w:p>
      <w:pPr>
        <w:pStyle w:val="ListBullet"/>
      </w:pPr>
      <w:r>
        <w:t>Time stamps and clock configuration.</w:t>
      </w:r>
    </w:p>
    <w:p>
      <w:pPr>
        <w:pStyle w:val="ListBullet"/>
      </w:pPr>
      <w:r>
        <w:t>System alarms and communication-failure indications.</w:t>
      </w:r>
    </w:p>
    <w:p>
      <w:r>
        <w:t>Acknowledge and reset are not automatically equivalent. Confirm that the migrated interface preserves the original machine logic and the intended meaning of each action.</w:t>
      </w:r>
    </w:p>
    <w:p>
      <w:pPr>
        <w:pStyle w:val="Heading3"/>
      </w:pPr>
      <w:r>
        <w:t>9.2 Recipe migration</w:t>
      </w:r>
    </w:p>
    <w:p>
      <w:r>
        <w:t>Recipe migration deserves special attention because recipes can contain machine settings, process limits, and production-specific parameters.</w:t>
      </w:r>
    </w:p>
    <w:p>
      <w:r>
        <w:t>Verify:</w:t>
      </w:r>
    </w:p>
    <w:p>
      <w:pPr>
        <w:pStyle w:val="ListBullet"/>
      </w:pPr>
      <w:r>
        <w:t>Recipe names and identifiers.</w:t>
      </w:r>
    </w:p>
    <w:p>
      <w:pPr>
        <w:pStyle w:val="ListBullet"/>
      </w:pPr>
      <w:r>
        <w:t>Number of recipes and data items.</w:t>
      </w:r>
    </w:p>
    <w:p>
      <w:pPr>
        <w:pStyle w:val="ListBullet"/>
      </w:pPr>
      <w:r>
        <w:t>PLC device mapping.</w:t>
      </w:r>
    </w:p>
    <w:p>
      <w:pPr>
        <w:pStyle w:val="ListBullet"/>
      </w:pPr>
      <w:r>
        <w:t>Data types, signedness, and scaling.</w:t>
      </w:r>
    </w:p>
    <w:p>
      <w:pPr>
        <w:pStyle w:val="ListBullet"/>
      </w:pPr>
      <w:r>
        <w:t>Minimum and maximum allowed values.</w:t>
      </w:r>
    </w:p>
    <w:p>
      <w:pPr>
        <w:pStyle w:val="ListBullet"/>
      </w:pPr>
      <w:r>
        <w:t>Recipe selection and confirmation sequence.</w:t>
      </w:r>
    </w:p>
    <w:p>
      <w:pPr>
        <w:pStyle w:val="ListBullet"/>
      </w:pPr>
      <w:r>
        <w:t>Transfer direction between HMI and PLC.</w:t>
      </w:r>
    </w:p>
    <w:p>
      <w:pPr>
        <w:pStyle w:val="ListBullet"/>
      </w:pPr>
      <w:r>
        <w:t>Save, load, and restore behavior.</w:t>
      </w:r>
    </w:p>
    <w:p>
      <w:pPr>
        <w:pStyle w:val="ListBullet"/>
      </w:pPr>
      <w:r>
        <w:t>Storage medium and retention after power loss.</w:t>
      </w:r>
    </w:p>
    <w:p>
      <w:r>
        <w:t>Where recipes affect product quality or machine safety, compare representative recipe data against an approved baseline before releasing the replacement HMI.</w:t>
      </w:r>
    </w:p>
    <w:p>
      <w:pPr>
        <w:pStyle w:val="Heading3"/>
      </w:pPr>
      <w:r>
        <w:t>9.3 Trends and data logging</w:t>
      </w:r>
    </w:p>
    <w:p>
      <w:r>
        <w:t>Confirm that the migrated project preserves the required sampling and retention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Test</w:t>
            </w:r>
          </w:p>
        </w:tc>
      </w:tr>
      <w:tr>
        <w:tc>
          <w:tcPr>
            <w:tcW w:type="dxa" w:w="5400"/>
          </w:tcPr>
          <w:p>
            <w:pPr>
              <w:spacing w:after="0" w:before="0" w:line="240" w:lineRule="auto"/>
              <w:jc w:val="left"/>
            </w:pPr>
            <w:r>
              <w:t>Sampling interval</w:t>
            </w:r>
          </w:p>
        </w:tc>
        <w:tc>
          <w:tcPr>
            <w:tcW w:type="dxa" w:w="5400"/>
          </w:tcPr>
          <w:p>
            <w:pPr>
              <w:spacing w:after="0" w:before="0" w:line="240" w:lineRule="auto"/>
              <w:jc w:val="left"/>
            </w:pPr>
            <w:r>
              <w:t>Confirm the intended interval</w:t>
            </w:r>
          </w:p>
        </w:tc>
      </w:tr>
      <w:tr>
        <w:tc>
          <w:tcPr>
            <w:tcW w:type="dxa" w:w="5400"/>
          </w:tcPr>
          <w:p>
            <w:pPr>
              <w:spacing w:after="0" w:before="0" w:line="240" w:lineRule="auto"/>
              <w:jc w:val="left"/>
            </w:pPr>
            <w:r>
              <w:t>Data source</w:t>
            </w:r>
          </w:p>
        </w:tc>
        <w:tc>
          <w:tcPr>
            <w:tcW w:type="dxa" w:w="5400"/>
          </w:tcPr>
          <w:p>
            <w:pPr>
              <w:spacing w:after="0" w:before="0" w:line="240" w:lineRule="auto"/>
              <w:jc w:val="left"/>
            </w:pPr>
            <w:r>
              <w:t>Verify the correct PLC device or tag</w:t>
            </w:r>
          </w:p>
        </w:tc>
      </w:tr>
      <w:tr>
        <w:tc>
          <w:tcPr>
            <w:tcW w:type="dxa" w:w="5400"/>
          </w:tcPr>
          <w:p>
            <w:pPr>
              <w:spacing w:after="0" w:before="0" w:line="240" w:lineRule="auto"/>
              <w:jc w:val="left"/>
            </w:pPr>
            <w:r>
              <w:t>Engineering scale</w:t>
            </w:r>
          </w:p>
        </w:tc>
        <w:tc>
          <w:tcPr>
            <w:tcW w:type="dxa" w:w="5400"/>
          </w:tcPr>
          <w:p>
            <w:pPr>
              <w:spacing w:after="0" w:before="0" w:line="240" w:lineRule="auto"/>
              <w:jc w:val="left"/>
            </w:pPr>
            <w:r>
              <w:t>Check axis limits and units</w:t>
            </w:r>
          </w:p>
        </w:tc>
      </w:tr>
      <w:tr>
        <w:tc>
          <w:tcPr>
            <w:tcW w:type="dxa" w:w="5400"/>
          </w:tcPr>
          <w:p>
            <w:pPr>
              <w:spacing w:after="0" w:before="0" w:line="240" w:lineRule="auto"/>
              <w:jc w:val="left"/>
            </w:pPr>
            <w:r>
              <w:t>Historical data</w:t>
            </w:r>
          </w:p>
        </w:tc>
        <w:tc>
          <w:tcPr>
            <w:tcW w:type="dxa" w:w="5400"/>
          </w:tcPr>
          <w:p>
            <w:pPr>
              <w:spacing w:after="0" w:before="0" w:line="240" w:lineRule="auto"/>
              <w:jc w:val="left"/>
            </w:pPr>
            <w:r>
              <w:t>Confirm the actual retention capability</w:t>
            </w:r>
          </w:p>
        </w:tc>
      </w:tr>
      <w:tr>
        <w:tc>
          <w:tcPr>
            <w:tcW w:type="dxa" w:w="5400"/>
          </w:tcPr>
          <w:p>
            <w:pPr>
              <w:spacing w:after="0" w:before="0" w:line="240" w:lineRule="auto"/>
              <w:jc w:val="left"/>
            </w:pPr>
            <w:r>
              <w:t>Storage medium</w:t>
            </w:r>
          </w:p>
        </w:tc>
        <w:tc>
          <w:tcPr>
            <w:tcW w:type="dxa" w:w="5400"/>
          </w:tcPr>
          <w:p>
            <w:pPr>
              <w:spacing w:after="0" w:before="0" w:line="240" w:lineRule="auto"/>
              <w:jc w:val="left"/>
            </w:pPr>
            <w:r>
              <w:t>Verify supported storage and capacity</w:t>
            </w:r>
          </w:p>
        </w:tc>
      </w:tr>
      <w:tr>
        <w:tc>
          <w:tcPr>
            <w:tcW w:type="dxa" w:w="5400"/>
          </w:tcPr>
          <w:p>
            <w:pPr>
              <w:spacing w:after="0" w:before="0" w:line="240" w:lineRule="auto"/>
              <w:jc w:val="left"/>
            </w:pPr>
            <w:r>
              <w:t>Export function</w:t>
            </w:r>
          </w:p>
        </w:tc>
        <w:tc>
          <w:tcPr>
            <w:tcW w:type="dxa" w:w="5400"/>
          </w:tcPr>
          <w:p>
            <w:pPr>
              <w:spacing w:after="0" w:before="0" w:line="240" w:lineRule="auto"/>
              <w:jc w:val="left"/>
            </w:pPr>
            <w:r>
              <w:t>Test only if required by the application</w:t>
            </w:r>
          </w:p>
        </w:tc>
      </w:tr>
      <w:tr>
        <w:tc>
          <w:tcPr>
            <w:tcW w:type="dxa" w:w="5400"/>
          </w:tcPr>
          <w:p>
            <w:pPr>
              <w:spacing w:after="0" w:before="0" w:line="240" w:lineRule="auto"/>
              <w:jc w:val="left"/>
            </w:pPr>
            <w:r>
              <w:t>Time stamps</w:t>
            </w:r>
          </w:p>
        </w:tc>
        <w:tc>
          <w:tcPr>
            <w:tcW w:type="dxa" w:w="5400"/>
          </w:tcPr>
          <w:p>
            <w:pPr>
              <w:spacing w:after="0" w:before="0" w:line="240" w:lineRule="auto"/>
              <w:jc w:val="left"/>
            </w:pPr>
            <w:r>
              <w:t>Check clock and time-zone configuration</w:t>
            </w:r>
          </w:p>
        </w:tc>
      </w:tr>
      <w:tr>
        <w:tc>
          <w:tcPr>
            <w:tcW w:type="dxa" w:w="5400"/>
          </w:tcPr>
          <w:p>
            <w:pPr>
              <w:spacing w:after="0" w:before="0" w:line="240" w:lineRule="auto"/>
              <w:jc w:val="left"/>
            </w:pPr>
            <w:r>
              <w:t>Restart behavior</w:t>
            </w:r>
          </w:p>
        </w:tc>
        <w:tc>
          <w:tcPr>
            <w:tcW w:type="dxa" w:w="5400"/>
          </w:tcPr>
          <w:p>
            <w:pPr>
              <w:spacing w:after="0" w:before="0" w:line="240" w:lineRule="auto"/>
              <w:jc w:val="left"/>
            </w:pPr>
            <w:r>
              <w:t>Verify what happens after power loss or reboot</w:t>
            </w:r>
          </w:p>
        </w:tc>
      </w:tr>
    </w:tbl>
    <w:p/>
    <w:p>
      <w:r>
        <w:t>Do not assume historical data stored on the old HMI automatically transfers to the new HMI. Treat historical records and configuration as separate migration items.</w:t>
      </w:r>
    </w:p>
    <w:p>
      <w:pPr>
        <w:pStyle w:val="Heading3"/>
      </w:pPr>
      <w:r>
        <w:t>9.4 Scripts and custom functionality</w:t>
      </w:r>
    </w:p>
    <w:p>
      <w:r>
        <w:t>For each script or custom function, document:</w:t>
      </w:r>
    </w:p>
    <w:p>
      <w:pPr>
        <w:pStyle w:val="ListBullet"/>
      </w:pPr>
      <w:r>
        <w:t>Trigger condition.</w:t>
      </w:r>
    </w:p>
    <w:p>
      <w:pPr>
        <w:pStyle w:val="ListBullet"/>
      </w:pPr>
      <w:r>
        <w:t>Input devices and variables.</w:t>
      </w:r>
    </w:p>
    <w:p>
      <w:pPr>
        <w:pStyle w:val="ListBullet"/>
      </w:pPr>
      <w:r>
        <w:t>Output devices and variables.</w:t>
      </w:r>
    </w:p>
    <w:p>
      <w:pPr>
        <w:pStyle w:val="ListBullet"/>
      </w:pPr>
      <w:r>
        <w:t>Execution order and dependencies.</w:t>
      </w:r>
    </w:p>
    <w:p>
      <w:pPr>
        <w:pStyle w:val="ListBullet"/>
      </w:pPr>
      <w:r>
        <w:t>Error handling.</w:t>
      </w:r>
    </w:p>
    <w:p>
      <w:pPr>
        <w:pStyle w:val="ListBullet"/>
      </w:pPr>
      <w:r>
        <w:t>Expected result.</w:t>
      </w:r>
    </w:p>
    <w:p>
      <w:pPr>
        <w:pStyle w:val="ListBullet"/>
      </w:pPr>
      <w:r>
        <w:t>Test evidence.</w:t>
      </w:r>
    </w:p>
    <w:p>
      <w:r>
        <w:t>Revalidate any function involving indirect device addressing, arithmetic, string handling, external equipment, barcode readers, or conditional writes. A script that compiles may still behave differently when its timing, trigger, or dependencies change.</w:t>
      </w:r>
    </w:p>
    <w:p>
      <w:pPr>
        <w:pStyle w:val="Heading2"/>
      </w:pPr>
      <w:r>
        <w:t>10. Transferring the converted project</w:t>
      </w:r>
    </w:p>
    <w:p>
      <w:pPr>
        <w:pStyle w:val="Heading3"/>
      </w:pPr>
      <w:r>
        <w:t>10.1 Pre-transfer checks</w:t>
      </w:r>
    </w:p>
    <w:p>
      <w:r>
        <w:t>Before connecting the engineering PC to the target GOT2000:</w:t>
      </w:r>
    </w:p>
    <w:p>
      <w:pPr>
        <w:pStyle w:val="ListBullet"/>
      </w:pPr>
      <w:r>
        <w:t>Confirm the exact target HMI model.</w:t>
      </w:r>
    </w:p>
    <w:p>
      <w:pPr>
        <w:pStyle w:val="ListBullet"/>
      </w:pPr>
      <w:r>
        <w:t>Confirm the approved converted project revision.</w:t>
      </w:r>
    </w:p>
    <w:p>
      <w:pPr>
        <w:pStyle w:val="ListBullet"/>
      </w:pPr>
      <w:r>
        <w:t>Confirm the target software and firmware compatibility.</w:t>
      </w:r>
    </w:p>
    <w:p>
      <w:pPr>
        <w:pStyle w:val="ListBullet"/>
      </w:pPr>
      <w:r>
        <w:t>Review conversion warnings and validation results.</w:t>
      </w:r>
    </w:p>
    <w:p>
      <w:pPr>
        <w:pStyle w:val="ListBullet"/>
      </w:pPr>
      <w:r>
        <w:t>Verify the PLC driver and communication parameters.</w:t>
      </w:r>
    </w:p>
    <w:p>
      <w:pPr>
        <w:pStyle w:val="ListBullet"/>
      </w:pPr>
      <w:r>
        <w:t>Record the target HMI network configuration.</w:t>
      </w:r>
    </w:p>
    <w:p>
      <w:pPr>
        <w:pStyle w:val="ListBullet"/>
      </w:pPr>
      <w:r>
        <w:t>Confirm the permitted transfer interface.</w:t>
      </w:r>
    </w:p>
    <w:p>
      <w:pPr>
        <w:pStyle w:val="ListBullet"/>
      </w:pPr>
      <w:r>
        <w:t>Back up any existing target project and configuration.</w:t>
      </w:r>
    </w:p>
    <w:p>
      <w:pPr>
        <w:pStyle w:val="ListBullet"/>
      </w:pPr>
      <w:r>
        <w:t>Obtain the required production or maintenance authorization.</w:t>
      </w:r>
    </w:p>
    <w:p>
      <w:pPr>
        <w:pStyle w:val="ListBullet"/>
      </w:pPr>
      <w:r>
        <w:t>Confirm that the machine is in an approved condition for testing.</w:t>
      </w:r>
    </w:p>
    <w:p>
      <w:pPr>
        <w:pStyle w:val="Heading3"/>
      </w:pPr>
      <w:r>
        <w:t>10.2 Transfer procedure</w:t>
      </w:r>
    </w:p>
    <w:p>
      <w:pPr>
        <w:tabs>
          <w:tab w:pos="403" w:val="left"/>
        </w:tabs>
        <w:spacing w:after="40" w:line="276" w:lineRule="auto"/>
        <w:ind w:left="403" w:hanging="403"/>
        <w:jc w:val="left"/>
      </w:pPr>
      <w:r>
        <w:rPr>
          <w:color w:val="1A2E4A"/>
        </w:rPr>
        <w:t>1.</w:t>
        <w:tab/>
      </w:r>
      <w:r>
        <w:t>Connect the engineering PC using an interface supported by the exact target model.</w:t>
      </w:r>
    </w:p>
    <w:p>
      <w:pPr>
        <w:tabs>
          <w:tab w:pos="403" w:val="left"/>
        </w:tabs>
        <w:spacing w:after="40" w:line="276" w:lineRule="auto"/>
        <w:ind w:left="403" w:hanging="403"/>
        <w:jc w:val="left"/>
      </w:pPr>
      <w:r>
        <w:rPr>
          <w:color w:val="1A2E4A"/>
        </w:rPr>
        <w:t>2.</w:t>
        <w:tab/>
      </w:r>
      <w:r>
        <w:t>Verify the PC-to-HMI connection.</w:t>
      </w:r>
    </w:p>
    <w:p>
      <w:pPr>
        <w:tabs>
          <w:tab w:pos="403" w:val="left"/>
        </w:tabs>
        <w:spacing w:after="40" w:line="276" w:lineRule="auto"/>
        <w:ind w:left="403" w:hanging="403"/>
        <w:jc w:val="left"/>
      </w:pPr>
      <w:r>
        <w:rPr>
          <w:color w:val="1A2E4A"/>
        </w:rPr>
        <w:t>3.</w:t>
        <w:tab/>
      </w:r>
      <w:r>
        <w:t>Select the correct target GOT model and project.</w:t>
      </w:r>
    </w:p>
    <w:p>
      <w:pPr>
        <w:tabs>
          <w:tab w:pos="403" w:val="left"/>
        </w:tabs>
        <w:spacing w:after="40" w:line="276" w:lineRule="auto"/>
        <w:ind w:left="403" w:hanging="403"/>
        <w:jc w:val="left"/>
      </w:pPr>
      <w:r>
        <w:rPr>
          <w:color w:val="1A2E4A"/>
        </w:rPr>
        <w:t>4.</w:t>
        <w:tab/>
      </w:r>
      <w:r>
        <w:t>Confirm the transfer settings and data to be transferred.</w:t>
      </w:r>
    </w:p>
    <w:p>
      <w:pPr>
        <w:tabs>
          <w:tab w:pos="403" w:val="left"/>
        </w:tabs>
        <w:spacing w:after="40" w:line="276" w:lineRule="auto"/>
        <w:ind w:left="403" w:hanging="403"/>
        <w:jc w:val="left"/>
      </w:pPr>
      <w:r>
        <w:rPr>
          <w:color w:val="1A2E4A"/>
        </w:rPr>
        <w:t>5.</w:t>
        <w:tab/>
      </w:r>
      <w:r>
        <w:t>Download the project using the documented procedure.</w:t>
      </w:r>
    </w:p>
    <w:p>
      <w:pPr>
        <w:tabs>
          <w:tab w:pos="403" w:val="left"/>
        </w:tabs>
        <w:spacing w:after="40" w:line="276" w:lineRule="auto"/>
        <w:ind w:left="403" w:hanging="403"/>
        <w:jc w:val="left"/>
      </w:pPr>
      <w:r>
        <w:rPr>
          <w:color w:val="1A2E4A"/>
        </w:rPr>
        <w:t>6.</w:t>
        <w:tab/>
      </w:r>
      <w:r>
        <w:t>Wait for transfer completion and any required restart.</w:t>
      </w:r>
    </w:p>
    <w:p>
      <w:pPr>
        <w:tabs>
          <w:tab w:pos="403" w:val="left"/>
        </w:tabs>
        <w:spacing w:after="40" w:line="276" w:lineRule="auto"/>
        <w:ind w:left="403" w:hanging="403"/>
        <w:jc w:val="left"/>
      </w:pPr>
      <w:r>
        <w:rPr>
          <w:color w:val="1A2E4A"/>
        </w:rPr>
        <w:t>7.</w:t>
        <w:tab/>
      </w:r>
      <w:r>
        <w:t>Confirm that the target HMI starts without project or system errors.</w:t>
      </w:r>
    </w:p>
    <w:p>
      <w:pPr>
        <w:tabs>
          <w:tab w:pos="403" w:val="left"/>
        </w:tabs>
        <w:spacing w:after="40" w:line="276" w:lineRule="auto"/>
        <w:ind w:left="403" w:hanging="403"/>
        <w:jc w:val="left"/>
      </w:pPr>
      <w:r>
        <w:rPr>
          <w:color w:val="1A2E4A"/>
        </w:rPr>
        <w:t>8.</w:t>
        <w:tab/>
      </w:r>
      <w:r>
        <w:t>Check the displayed project revision.</w:t>
      </w:r>
    </w:p>
    <w:p>
      <w:pPr>
        <w:tabs>
          <w:tab w:pos="403" w:val="left"/>
        </w:tabs>
        <w:spacing w:after="40" w:line="276" w:lineRule="auto"/>
        <w:ind w:left="403" w:hanging="403"/>
        <w:jc w:val="left"/>
      </w:pPr>
      <w:r>
        <w:rPr>
          <w:color w:val="1A2E4A"/>
        </w:rPr>
        <w:t>9.</w:t>
        <w:tab/>
      </w:r>
      <w:r>
        <w:t>Verify PLC communication.</w:t>
      </w:r>
    </w:p>
    <w:p>
      <w:pPr>
        <w:tabs>
          <w:tab w:pos="403" w:val="left"/>
        </w:tabs>
        <w:spacing w:after="40" w:line="276" w:lineRule="auto"/>
        <w:ind w:left="403" w:hanging="403"/>
        <w:jc w:val="left"/>
      </w:pPr>
      <w:r>
        <w:rPr>
          <w:color w:val="1A2E4A"/>
        </w:rPr>
        <w:t>10.</w:t>
        <w:tab/>
      </w:r>
      <w:r>
        <w:t>Record the transfer date, software version, project revision, and result.</w:t>
      </w:r>
    </w:p>
    <w:p>
      <w:r>
        <w:t>USB, Ethernet, serial, and storage-card transfer options vary by model and configuration. Use the applicable Mitsubishi manual rather than assuming that the replacement panel supports the same transfer method as the old one.</w:t>
      </w:r>
    </w:p>
    <w:p>
      <w:pPr>
        <w:pStyle w:val="Heading3"/>
      </w:pPr>
      <w:r>
        <w:t>10.3 Transfer versus PLC download</w:t>
      </w:r>
    </w:p>
    <w:p>
      <w:r>
        <w:t>Transferring an HMI project and downloading a PLC program are different operations.</w:t>
      </w:r>
    </w:p>
    <w:p>
      <w:pPr>
        <w:pStyle w:val="ListBullet"/>
      </w:pPr>
      <w:r>
        <w:t>HMI transfer: Installs the operator-interface project and its supported HMI configuration.</w:t>
      </w:r>
    </w:p>
    <w:p>
      <w:pPr>
        <w:pStyle w:val="ListBullet"/>
      </w:pPr>
      <w:r>
        <w:t>PLC download: Changes the controller program or configuration.</w:t>
      </w:r>
    </w:p>
    <w:p>
      <w:r>
        <w:t>A GOT1000-to-GOT2000 HMI migration does not inherently require modifying the PLC program. Any proposed PLC change must be separately justified, reviewed, approved, backed up, and tested.</w:t>
      </w:r>
    </w:p>
    <w:p>
      <w:pPr>
        <w:pStyle w:val="Heading2"/>
      </w:pPr>
      <w:r>
        <w:t>11. Testing strategy: FAT and SAT</w:t>
      </w:r>
    </w:p>
    <w:p>
      <w:r>
        <w:t>Testing must demonstrate that the replacement HMI behaves correctly, not merely that it powers on.</w:t>
      </w:r>
    </w:p>
    <w:p>
      <w:pPr>
        <w:pStyle w:val="Heading3"/>
      </w:pPr>
      <w:r>
        <w:t>11.1 Factory Acceptance Test (FAT)</w:t>
      </w:r>
    </w:p>
    <w:p>
      <w:r>
        <w:t>FAT should be performed in an engineering environment or controlled test setup before the production cutover wherever practical.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category</w:t>
            </w:r>
          </w:p>
        </w:tc>
        <w:tc>
          <w:tcPr>
            <w:tcW w:type="dxa" w:w="3600"/>
            <w:shd w:val="clear" w:color="auto" w:fill="EEF2F7"/>
          </w:tcPr>
          <w:p>
            <w:pPr>
              <w:spacing w:after="0" w:before="0" w:line="240" w:lineRule="auto"/>
              <w:jc w:val="left"/>
            </w:pPr>
            <w:r>
              <w:rPr>
                <w:b/>
                <w:color w:val="1A2E4A"/>
              </w:rPr>
              <w:t>Test procedure</w:t>
            </w:r>
          </w:p>
        </w:tc>
        <w:tc>
          <w:tcPr>
            <w:tcW w:type="dxa" w:w="3600"/>
            <w:shd w:val="clear" w:color="auto" w:fill="EEF2F7"/>
          </w:tcPr>
          <w:p>
            <w:pPr>
              <w:spacing w:after="0" w:before="0" w:line="240" w:lineRule="auto"/>
              <w:jc w:val="left"/>
            </w:pPr>
            <w:r>
              <w:rPr>
                <w:b/>
                <w:color w:val="1A2E4A"/>
              </w:rPr>
              <w:t>Acceptance criteria</w:t>
            </w:r>
          </w:p>
        </w:tc>
      </w:tr>
      <w:tr>
        <w:tc>
          <w:tcPr>
            <w:tcW w:type="dxa" w:w="3600"/>
          </w:tcPr>
          <w:p>
            <w:pPr>
              <w:spacing w:after="0" w:before="0" w:line="240" w:lineRule="auto"/>
              <w:jc w:val="left"/>
            </w:pPr>
            <w:r>
              <w:t>Startup</w:t>
            </w:r>
          </w:p>
        </w:tc>
        <w:tc>
          <w:tcPr>
            <w:tcW w:type="dxa" w:w="3600"/>
          </w:tcPr>
          <w:p>
            <w:pPr>
              <w:spacing w:after="0" w:before="0" w:line="240" w:lineRule="auto"/>
              <w:jc w:val="left"/>
            </w:pPr>
            <w:r>
              <w:t>Power-cycle the target HMI</w:t>
            </w:r>
          </w:p>
        </w:tc>
        <w:tc>
          <w:tcPr>
            <w:tcW w:type="dxa" w:w="3600"/>
          </w:tcPr>
          <w:p>
            <w:pPr>
              <w:spacing w:after="0" w:before="0" w:line="240" w:lineRule="auto"/>
              <w:jc w:val="left"/>
            </w:pPr>
            <w:r>
              <w:t>Project starts without unexpected errors</w:t>
            </w:r>
          </w:p>
        </w:tc>
      </w:tr>
      <w:tr>
        <w:tc>
          <w:tcPr>
            <w:tcW w:type="dxa" w:w="3600"/>
          </w:tcPr>
          <w:p>
            <w:pPr>
              <w:spacing w:after="0" w:before="0" w:line="240" w:lineRule="auto"/>
              <w:jc w:val="left"/>
            </w:pPr>
            <w:r>
              <w:t>Screen navigation</w:t>
            </w:r>
          </w:p>
        </w:tc>
        <w:tc>
          <w:tcPr>
            <w:tcW w:type="dxa" w:w="3600"/>
          </w:tcPr>
          <w:p>
            <w:pPr>
              <w:spacing w:after="0" w:before="0" w:line="240" w:lineRule="auto"/>
              <w:jc w:val="left"/>
            </w:pPr>
            <w:r>
              <w:t>Visit all required screens</w:t>
            </w:r>
          </w:p>
        </w:tc>
        <w:tc>
          <w:tcPr>
            <w:tcW w:type="dxa" w:w="3600"/>
          </w:tcPr>
          <w:p>
            <w:pPr>
              <w:spacing w:after="0" w:before="0" w:line="240" w:lineRule="auto"/>
              <w:jc w:val="left"/>
            </w:pPr>
            <w:r>
              <w:t>Correct screens open and close</w:t>
            </w:r>
          </w:p>
        </w:tc>
      </w:tr>
      <w:tr>
        <w:tc>
          <w:tcPr>
            <w:tcW w:type="dxa" w:w="3600"/>
          </w:tcPr>
          <w:p>
            <w:pPr>
              <w:spacing w:after="0" w:before="0" w:line="240" w:lineRule="auto"/>
              <w:jc w:val="left"/>
            </w:pPr>
            <w:r>
              <w:t>Numeric display</w:t>
            </w:r>
          </w:p>
        </w:tc>
        <w:tc>
          <w:tcPr>
            <w:tcW w:type="dxa" w:w="3600"/>
          </w:tcPr>
          <w:p>
            <w:pPr>
              <w:spacing w:after="0" w:before="0" w:line="240" w:lineRule="auto"/>
              <w:jc w:val="left"/>
            </w:pPr>
            <w:r>
              <w:t>Compare displayed values with PLC values</w:t>
            </w:r>
          </w:p>
        </w:tc>
        <w:tc>
          <w:tcPr>
            <w:tcW w:type="dxa" w:w="3600"/>
          </w:tcPr>
          <w:p>
            <w:pPr>
              <w:spacing w:after="0" w:before="0" w:line="240" w:lineRule="auto"/>
              <w:jc w:val="left"/>
            </w:pPr>
            <w:r>
              <w:t>Values, signs, units, and scaling match</w:t>
            </w:r>
          </w:p>
        </w:tc>
      </w:tr>
      <w:tr>
        <w:tc>
          <w:tcPr>
            <w:tcW w:type="dxa" w:w="3600"/>
          </w:tcPr>
          <w:p>
            <w:pPr>
              <w:spacing w:after="0" w:before="0" w:line="240" w:lineRule="auto"/>
              <w:jc w:val="left"/>
            </w:pPr>
            <w:r>
              <w:t>Numeric entry</w:t>
            </w:r>
          </w:p>
        </w:tc>
        <w:tc>
          <w:tcPr>
            <w:tcW w:type="dxa" w:w="3600"/>
          </w:tcPr>
          <w:p>
            <w:pPr>
              <w:spacing w:after="0" w:before="0" w:line="240" w:lineRule="auto"/>
              <w:jc w:val="left"/>
            </w:pPr>
            <w:r>
              <w:t>Enter approved test values</w:t>
            </w:r>
          </w:p>
        </w:tc>
        <w:tc>
          <w:tcPr>
            <w:tcW w:type="dxa" w:w="3600"/>
          </w:tcPr>
          <w:p>
            <w:pPr>
              <w:spacing w:after="0" w:before="0" w:line="240" w:lineRule="auto"/>
              <w:jc w:val="left"/>
            </w:pPr>
            <w:r>
              <w:t>Correct values are written and invalid values are handled correctly</w:t>
            </w:r>
          </w:p>
        </w:tc>
      </w:tr>
      <w:tr>
        <w:tc>
          <w:tcPr>
            <w:tcW w:type="dxa" w:w="3600"/>
          </w:tcPr>
          <w:p>
            <w:pPr>
              <w:spacing w:after="0" w:before="0" w:line="240" w:lineRule="auto"/>
              <w:jc w:val="left"/>
            </w:pPr>
            <w:r>
              <w:t>PLC communication</w:t>
            </w:r>
          </w:p>
        </w:tc>
        <w:tc>
          <w:tcPr>
            <w:tcW w:type="dxa" w:w="3600"/>
          </w:tcPr>
          <w:p>
            <w:pPr>
              <w:spacing w:after="0" w:before="0" w:line="240" w:lineRule="auto"/>
              <w:jc w:val="left"/>
            </w:pPr>
            <w:r>
              <w:t>Monitor known PLC devices</w:t>
            </w:r>
          </w:p>
        </w:tc>
        <w:tc>
          <w:tcPr>
            <w:tcW w:type="dxa" w:w="3600"/>
          </w:tcPr>
          <w:p>
            <w:pPr>
              <w:spacing w:after="0" w:before="0" w:line="240" w:lineRule="auto"/>
              <w:jc w:val="left"/>
            </w:pPr>
            <w:r>
              <w:t>Required data updates correctly</w:t>
            </w:r>
          </w:p>
        </w:tc>
      </w:tr>
      <w:tr>
        <w:tc>
          <w:tcPr>
            <w:tcW w:type="dxa" w:w="3600"/>
          </w:tcPr>
          <w:p>
            <w:pPr>
              <w:spacing w:after="0" w:before="0" w:line="240" w:lineRule="auto"/>
              <w:jc w:val="left"/>
            </w:pPr>
            <w:r>
              <w:t>Alarm operation</w:t>
            </w:r>
          </w:p>
        </w:tc>
        <w:tc>
          <w:tcPr>
            <w:tcW w:type="dxa" w:w="3600"/>
          </w:tcPr>
          <w:p>
            <w:pPr>
              <w:spacing w:after="0" w:before="0" w:line="240" w:lineRule="auto"/>
              <w:jc w:val="left"/>
            </w:pPr>
            <w:r>
              <w:t>Generate approved test conditions</w:t>
            </w:r>
          </w:p>
        </w:tc>
        <w:tc>
          <w:tcPr>
            <w:tcW w:type="dxa" w:w="3600"/>
          </w:tcPr>
          <w:p>
            <w:pPr>
              <w:spacing w:after="0" w:before="0" w:line="240" w:lineRule="auto"/>
              <w:jc w:val="left"/>
            </w:pPr>
            <w:r>
              <w:t>Correct alarms appear and clear as designed</w:t>
            </w:r>
          </w:p>
        </w:tc>
      </w:tr>
      <w:tr>
        <w:tc>
          <w:tcPr>
            <w:tcW w:type="dxa" w:w="3600"/>
          </w:tcPr>
          <w:p>
            <w:pPr>
              <w:spacing w:after="0" w:before="0" w:line="240" w:lineRule="auto"/>
              <w:jc w:val="left"/>
            </w:pPr>
            <w:r>
              <w:t>Recipe operation</w:t>
            </w:r>
          </w:p>
        </w:tc>
        <w:tc>
          <w:tcPr>
            <w:tcW w:type="dxa" w:w="3600"/>
          </w:tcPr>
          <w:p>
            <w:pPr>
              <w:spacing w:after="0" w:before="0" w:line="240" w:lineRule="auto"/>
              <w:jc w:val="left"/>
            </w:pPr>
            <w:r>
              <w:t>Load and verify approved test recipes</w:t>
            </w:r>
          </w:p>
        </w:tc>
        <w:tc>
          <w:tcPr>
            <w:tcW w:type="dxa" w:w="3600"/>
          </w:tcPr>
          <w:p>
            <w:pPr>
              <w:spacing w:after="0" w:before="0" w:line="240" w:lineRule="auto"/>
              <w:jc w:val="left"/>
            </w:pPr>
            <w:r>
              <w:t>Correct parameters are transferred</w:t>
            </w:r>
          </w:p>
        </w:tc>
      </w:tr>
      <w:tr>
        <w:tc>
          <w:tcPr>
            <w:tcW w:type="dxa" w:w="3600"/>
          </w:tcPr>
          <w:p>
            <w:pPr>
              <w:spacing w:after="0" w:before="0" w:line="240" w:lineRule="auto"/>
              <w:jc w:val="left"/>
            </w:pPr>
            <w:r>
              <w:t>Trend operation</w:t>
            </w:r>
          </w:p>
        </w:tc>
        <w:tc>
          <w:tcPr>
            <w:tcW w:type="dxa" w:w="3600"/>
          </w:tcPr>
          <w:p>
            <w:pPr>
              <w:spacing w:after="0" w:before="0" w:line="240" w:lineRule="auto"/>
              <w:jc w:val="left"/>
            </w:pPr>
            <w:r>
              <w:t>Change a test value over time</w:t>
            </w:r>
          </w:p>
        </w:tc>
        <w:tc>
          <w:tcPr>
            <w:tcW w:type="dxa" w:w="3600"/>
          </w:tcPr>
          <w:p>
            <w:pPr>
              <w:spacing w:after="0" w:before="0" w:line="240" w:lineRule="auto"/>
              <w:jc w:val="left"/>
            </w:pPr>
            <w:r>
              <w:t>Trend samples and scales are correct</w:t>
            </w:r>
          </w:p>
        </w:tc>
      </w:tr>
      <w:tr>
        <w:tc>
          <w:tcPr>
            <w:tcW w:type="dxa" w:w="3600"/>
          </w:tcPr>
          <w:p>
            <w:pPr>
              <w:spacing w:after="0" w:before="0" w:line="240" w:lineRule="auto"/>
              <w:jc w:val="left"/>
            </w:pPr>
            <w:r>
              <w:t>User security</w:t>
            </w:r>
          </w:p>
        </w:tc>
        <w:tc>
          <w:tcPr>
            <w:tcW w:type="dxa" w:w="3600"/>
          </w:tcPr>
          <w:p>
            <w:pPr>
              <w:spacing w:after="0" w:before="0" w:line="240" w:lineRule="auto"/>
              <w:jc w:val="left"/>
            </w:pPr>
            <w:r>
              <w:t>Test authorized and unauthorized access</w:t>
            </w:r>
          </w:p>
        </w:tc>
        <w:tc>
          <w:tcPr>
            <w:tcW w:type="dxa" w:w="3600"/>
          </w:tcPr>
          <w:p>
            <w:pPr>
              <w:spacing w:after="0" w:before="0" w:line="240" w:lineRule="auto"/>
              <w:jc w:val="left"/>
            </w:pPr>
            <w:r>
              <w:t>Permissions match approved requirements</w:t>
            </w:r>
          </w:p>
        </w:tc>
      </w:tr>
      <w:tr>
        <w:tc>
          <w:tcPr>
            <w:tcW w:type="dxa" w:w="3600"/>
          </w:tcPr>
          <w:p>
            <w:pPr>
              <w:spacing w:after="0" w:before="0" w:line="240" w:lineRule="auto"/>
              <w:jc w:val="left"/>
            </w:pPr>
            <w:r>
              <w:t>Communication loss</w:t>
            </w:r>
          </w:p>
        </w:tc>
        <w:tc>
          <w:tcPr>
            <w:tcW w:type="dxa" w:w="3600"/>
          </w:tcPr>
          <w:p>
            <w:pPr>
              <w:spacing w:after="0" w:before="0" w:line="240" w:lineRule="auto"/>
              <w:jc w:val="left"/>
            </w:pPr>
            <w:r>
              <w:t>Interrupt communication in a controlled test</w:t>
            </w:r>
          </w:p>
        </w:tc>
        <w:tc>
          <w:tcPr>
            <w:tcW w:type="dxa" w:w="3600"/>
          </w:tcPr>
          <w:p>
            <w:pPr>
              <w:spacing w:after="0" w:before="0" w:line="240" w:lineRule="auto"/>
              <w:jc w:val="left"/>
            </w:pPr>
            <w:r>
              <w:t>Fault indication and recovery behave correctly</w:t>
            </w:r>
          </w:p>
        </w:tc>
      </w:tr>
      <w:tr>
        <w:tc>
          <w:tcPr>
            <w:tcW w:type="dxa" w:w="3600"/>
          </w:tcPr>
          <w:p>
            <w:pPr>
              <w:spacing w:after="0" w:before="0" w:line="240" w:lineRule="auto"/>
              <w:jc w:val="left"/>
            </w:pPr>
            <w:r>
              <w:t>Power recovery</w:t>
            </w:r>
          </w:p>
        </w:tc>
        <w:tc>
          <w:tcPr>
            <w:tcW w:type="dxa" w:w="3600"/>
          </w:tcPr>
          <w:p>
            <w:pPr>
              <w:spacing w:after="0" w:before="0" w:line="240" w:lineRule="auto"/>
              <w:jc w:val="left"/>
            </w:pPr>
            <w:r>
              <w:t>Restart the HMI and restore the test setup</w:t>
            </w:r>
          </w:p>
        </w:tc>
        <w:tc>
          <w:tcPr>
            <w:tcW w:type="dxa" w:w="3600"/>
          </w:tcPr>
          <w:p>
            <w:pPr>
              <w:spacing w:after="0" w:before="0" w:line="240" w:lineRule="auto"/>
              <w:jc w:val="left"/>
            </w:pPr>
            <w:r>
              <w:t>Required configuration and operation recover correctly</w:t>
            </w:r>
          </w:p>
        </w:tc>
      </w:tr>
      <w:tr>
        <w:tc>
          <w:tcPr>
            <w:tcW w:type="dxa" w:w="3600"/>
          </w:tcPr>
          <w:p>
            <w:pPr>
              <w:spacing w:after="0" w:before="0" w:line="240" w:lineRule="auto"/>
              <w:jc w:val="left"/>
            </w:pPr>
            <w:r>
              <w:t>Performance</w:t>
            </w:r>
          </w:p>
        </w:tc>
        <w:tc>
          <w:tcPr>
            <w:tcW w:type="dxa" w:w="3600"/>
          </w:tcPr>
          <w:p>
            <w:pPr>
              <w:spacing w:after="0" w:before="0" w:line="240" w:lineRule="auto"/>
              <w:jc w:val="left"/>
            </w:pPr>
            <w:r>
              <w:t>Test navigation and screen updates</w:t>
            </w:r>
          </w:p>
        </w:tc>
        <w:tc>
          <w:tcPr>
            <w:tcW w:type="dxa" w:w="3600"/>
          </w:tcPr>
          <w:p>
            <w:pPr>
              <w:spacing w:after="0" w:before="0" w:line="240" w:lineRule="auto"/>
              <w:jc w:val="left"/>
            </w:pPr>
            <w:r>
              <w:t>Response is acceptable for the application</w:t>
            </w:r>
          </w:p>
        </w:tc>
      </w:tr>
      <w:tr>
        <w:tc>
          <w:tcPr>
            <w:tcW w:type="dxa" w:w="3600"/>
          </w:tcPr>
          <w:p>
            <w:pPr>
              <w:spacing w:after="0" w:before="0" w:line="240" w:lineRule="auto"/>
              <w:jc w:val="left"/>
            </w:pPr>
            <w:r>
              <w:t>Storage</w:t>
            </w:r>
          </w:p>
        </w:tc>
        <w:tc>
          <w:tcPr>
            <w:tcW w:type="dxa" w:w="3600"/>
          </w:tcPr>
          <w:p>
            <w:pPr>
              <w:spacing w:after="0" w:before="0" w:line="240" w:lineRule="auto"/>
              <w:jc w:val="left"/>
            </w:pPr>
            <w:r>
              <w:t>Test required logging and retention</w:t>
            </w:r>
          </w:p>
        </w:tc>
        <w:tc>
          <w:tcPr>
            <w:tcW w:type="dxa" w:w="3600"/>
          </w:tcPr>
          <w:p>
            <w:pPr>
              <w:spacing w:after="0" w:before="0" w:line="240" w:lineRule="auto"/>
              <w:jc w:val="left"/>
            </w:pPr>
            <w:r>
              <w:t>Required data is retained within supported limits</w:t>
            </w:r>
          </w:p>
        </w:tc>
      </w:tr>
    </w:tbl>
    <w:p/>
    <w:p>
      <w:pPr>
        <w:pStyle w:val="Heading3"/>
      </w:pPr>
      <w:r>
        <w:t>11.2 Site Acceptance Test (SAT)</w:t>
      </w:r>
    </w:p>
    <w:p>
      <w:r>
        <w:t>SAT confirms the migrated system operates correctly in the actual machine installation.</w:t>
      </w:r>
    </w:p>
    <w:p>
      <w:pPr>
        <w:pStyle w:val="ListBullet"/>
      </w:pPr>
      <w:r>
        <w:t>Verify panel mounting, power supply, grounding, and network connections.</w:t>
      </w:r>
    </w:p>
    <w:p>
      <w:pPr>
        <w:pStyle w:val="ListBullet"/>
      </w:pPr>
      <w:r>
        <w:t>Confirm PLC communication using the production configuration.</w:t>
      </w:r>
    </w:p>
    <w:p>
      <w:pPr>
        <w:pStyle w:val="ListBullet"/>
      </w:pPr>
      <w:r>
        <w:t>Test machine-status indications against actual conditions.</w:t>
      </w:r>
    </w:p>
    <w:p>
      <w:pPr>
        <w:pStyle w:val="ListBullet"/>
      </w:pPr>
      <w:r>
        <w:t>Verify operator permissions and protected maintenance functions.</w:t>
      </w:r>
    </w:p>
    <w:p>
      <w:pPr>
        <w:pStyle w:val="ListBullet"/>
      </w:pPr>
      <w:r>
        <w:t>Test alarms and acknowledgement using approved procedures.</w:t>
      </w:r>
    </w:p>
    <w:p>
      <w:pPr>
        <w:pStyle w:val="ListBullet"/>
      </w:pPr>
      <w:r>
        <w:t>Validate representative production or maintenance sequences.</w:t>
      </w:r>
    </w:p>
    <w:p>
      <w:pPr>
        <w:pStyle w:val="ListBullet"/>
      </w:pPr>
      <w:r>
        <w:t>Confirm that machine interlocks and safety functions remain effective.</w:t>
      </w:r>
    </w:p>
    <w:p>
      <w:pPr>
        <w:pStyle w:val="ListBullet"/>
      </w:pPr>
      <w:r>
        <w:t>Check communication recovery after an approved interruption.</w:t>
      </w:r>
    </w:p>
    <w:p>
      <w:pPr>
        <w:pStyle w:val="ListBullet"/>
      </w:pPr>
      <w:r>
        <w:t>Obtain sign-off from maintenance, controls engineering, production, and other required stakeholders.</w:t>
      </w:r>
    </w:p>
    <w:p>
      <w:r>
        <w:t>HMI testing does not replace validation of machine safety functions. Emergency stops, safety relays, safety PLCs, guards, and other protective systems must be verified under the applicable safety procedures.</w:t>
      </w:r>
    </w:p>
    <w:p>
      <w:pPr>
        <w:pStyle w:val="Heading3"/>
      </w:pPr>
      <w:r>
        <w:t>11.3 Test evidence</w:t>
      </w:r>
    </w:p>
    <w:p>
      <w:r>
        <w:t>Maintain a test record for each critical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Test ID</w:t>
            </w:r>
          </w:p>
        </w:tc>
        <w:tc>
          <w:tcPr>
            <w:tcW w:type="dxa" w:w="5400"/>
          </w:tcPr>
          <w:p>
            <w:pPr>
              <w:spacing w:after="0" w:before="0" w:line="240" w:lineRule="auto"/>
              <w:jc w:val="left"/>
            </w:pPr>
            <w:r>
              <w:t>HMI-COM-001</w:t>
            </w:r>
          </w:p>
        </w:tc>
      </w:tr>
      <w:tr>
        <w:tc>
          <w:tcPr>
            <w:tcW w:type="dxa" w:w="5400"/>
          </w:tcPr>
          <w:p>
            <w:pPr>
              <w:spacing w:after="0" w:before="0" w:line="240" w:lineRule="auto"/>
              <w:jc w:val="left"/>
            </w:pPr>
            <w:r>
              <w:t>Test description</w:t>
            </w:r>
          </w:p>
        </w:tc>
        <w:tc>
          <w:tcPr>
            <w:tcW w:type="dxa" w:w="5400"/>
          </w:tcPr>
          <w:p>
            <w:pPr>
              <w:spacing w:after="0" w:before="0" w:line="240" w:lineRule="auto"/>
              <w:jc w:val="left"/>
            </w:pPr>
            <w:r>
              <w:t>Verify PLC temperature read</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HMI displays the correct scaled value</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Recorded during testing</w:t>
            </w:r>
          </w:p>
        </w:tc>
      </w:tr>
      <w:tr>
        <w:tc>
          <w:tcPr>
            <w:tcW w:type="dxa" w:w="5400"/>
          </w:tcPr>
          <w:p>
            <w:pPr>
              <w:spacing w:after="0" w:before="0" w:line="240" w:lineRule="auto"/>
              <w:jc w:val="left"/>
            </w:pPr>
            <w:r>
              <w:t>Status</w:t>
            </w:r>
          </w:p>
        </w:tc>
        <w:tc>
          <w:tcPr>
            <w:tcW w:type="dxa" w:w="5400"/>
          </w:tcPr>
          <w:p>
            <w:pPr>
              <w:spacing w:after="0" w:before="0" w:line="240" w:lineRule="auto"/>
              <w:jc w:val="left"/>
            </w:pPr>
            <w:r>
              <w:t>Pass, fail, or blocked</w:t>
            </w:r>
          </w:p>
        </w:tc>
      </w:tr>
      <w:tr>
        <w:tc>
          <w:tcPr>
            <w:tcW w:type="dxa" w:w="5400"/>
          </w:tcPr>
          <w:p>
            <w:pPr>
              <w:spacing w:after="0" w:before="0" w:line="240" w:lineRule="auto"/>
              <w:jc w:val="left"/>
            </w:pPr>
            <w:r>
              <w:t>Evidence</w:t>
            </w:r>
          </w:p>
        </w:tc>
        <w:tc>
          <w:tcPr>
            <w:tcW w:type="dxa" w:w="5400"/>
          </w:tcPr>
          <w:p>
            <w:pPr>
              <w:spacing w:after="0" w:before="0" w:line="240" w:lineRule="auto"/>
              <w:jc w:val="left"/>
            </w:pPr>
            <w:r>
              <w:t>Screenshot, PLC observation, or approved test record</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Linked corrective-action record if failed</w:t>
            </w:r>
          </w:p>
        </w:tc>
      </w:tr>
      <w:tr>
        <w:tc>
          <w:tcPr>
            <w:tcW w:type="dxa" w:w="5400"/>
          </w:tcPr>
          <w:p>
            <w:pPr>
              <w:spacing w:after="0" w:before="0" w:line="240" w:lineRule="auto"/>
              <w:jc w:val="left"/>
            </w:pPr>
            <w:r>
              <w:t>Tested by</w:t>
            </w:r>
          </w:p>
        </w:tc>
        <w:tc>
          <w:tcPr>
            <w:tcW w:type="dxa" w:w="5400"/>
          </w:tcPr>
          <w:p>
            <w:pPr>
              <w:spacing w:after="0" w:before="0" w:line="240" w:lineRule="auto"/>
              <w:jc w:val="left"/>
            </w:pPr>
            <w:r>
              <w:t>Responsible engineer or technician</w:t>
            </w:r>
          </w:p>
        </w:tc>
      </w:tr>
      <w:tr>
        <w:tc>
          <w:tcPr>
            <w:tcW w:type="dxa" w:w="5400"/>
          </w:tcPr>
          <w:p>
            <w:pPr>
              <w:spacing w:after="0" w:before="0" w:line="240" w:lineRule="auto"/>
              <w:jc w:val="left"/>
            </w:pPr>
            <w:r>
              <w:t>Date</w:t>
            </w:r>
          </w:p>
        </w:tc>
        <w:tc>
          <w:tcPr>
            <w:tcW w:type="dxa" w:w="5400"/>
          </w:tcPr>
          <w:p>
            <w:pPr>
              <w:spacing w:after="0" w:before="0" w:line="240" w:lineRule="auto"/>
              <w:jc w:val="left"/>
            </w:pPr>
            <w:r>
              <w:t>Actual test date</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reviewer or authority</w:t>
            </w:r>
          </w:p>
        </w:tc>
      </w:tr>
    </w:tbl>
    <w:p/>
    <w:p>
      <w:r>
        <w:t>Never mark a test as passed solely because the related screen is visible.</w:t>
      </w:r>
    </w:p>
    <w:p>
      <w:pPr>
        <w:pStyle w:val="Heading2"/>
      </w:pPr>
      <w:r>
        <w:t>12. Cutover and rollback planning</w:t>
      </w:r>
    </w:p>
    <w:p>
      <w:pPr>
        <w:pStyle w:val="Heading3"/>
      </w:pPr>
      <w:r>
        <w:t>12.1 Before cutover</w:t>
      </w:r>
    </w:p>
    <w:p>
      <w:pPr>
        <w:pStyle w:val="ListBullet"/>
      </w:pPr>
      <w:r>
        <w:t>Back up the original GOT1000 project.</w:t>
      </w:r>
    </w:p>
    <w:p>
      <w:pPr>
        <w:pStyle w:val="ListBullet"/>
      </w:pPr>
      <w:r>
        <w:t>Record existing communication and network settings.</w:t>
      </w:r>
    </w:p>
    <w:p>
      <w:pPr>
        <w:pStyle w:val="ListBullet"/>
      </w:pPr>
      <w:r>
        <w:t>Preserve the original HMI, cables, and mounting accessories where practical.</w:t>
      </w:r>
    </w:p>
    <w:p>
      <w:pPr>
        <w:pStyle w:val="ListBullet"/>
      </w:pPr>
      <w:r>
        <w:t>Confirm the target GOT2000 project has passed required testing.</w:t>
      </w:r>
    </w:p>
    <w:p>
      <w:pPr>
        <w:pStyle w:val="ListBullet"/>
      </w:pPr>
      <w:r>
        <w:t>Approve the installation and shutdown window.</w:t>
      </w:r>
    </w:p>
    <w:p>
      <w:pPr>
        <w:pStyle w:val="ListBullet"/>
      </w:pPr>
      <w:r>
        <w:t>Confirm the target panel fits the enclosure and wiring arrangement.</w:t>
      </w:r>
    </w:p>
    <w:p>
      <w:pPr>
        <w:pStyle w:val="ListBullet"/>
      </w:pPr>
      <w:r>
        <w:t>Verify that the PLC program and configuration have not been unintentionally changed.</w:t>
      </w:r>
    </w:p>
    <w:p>
      <w:pPr>
        <w:pStyle w:val="ListBullet"/>
      </w:pPr>
      <w:r>
        <w:t>Prepare the rollback procedure and required tools.</w:t>
      </w:r>
    </w:p>
    <w:p>
      <w:pPr>
        <w:pStyle w:val="ListBullet"/>
      </w:pPr>
      <w:r>
        <w:t>Identify responsible personnel and escalation contacts.</w:t>
      </w:r>
    </w:p>
    <w:p>
      <w:pPr>
        <w:pStyle w:val="Heading3"/>
      </w:pPr>
      <w:r>
        <w:t>12.2 Cutover execution</w:t>
      </w:r>
    </w:p>
    <w:p>
      <w:pPr>
        <w:tabs>
          <w:tab w:pos="403" w:val="left"/>
        </w:tabs>
        <w:spacing w:after="40" w:line="276" w:lineRule="auto"/>
        <w:ind w:left="403" w:hanging="403"/>
        <w:jc w:val="left"/>
      </w:pPr>
      <w:r>
        <w:rPr>
          <w:color w:val="1A2E4A"/>
        </w:rPr>
        <w:t>1.</w:t>
        <w:tab/>
      </w:r>
      <w:r>
        <w:t>Place the machine in the approved shutdown state.</w:t>
      </w:r>
    </w:p>
    <w:p>
      <w:pPr>
        <w:tabs>
          <w:tab w:pos="403" w:val="left"/>
        </w:tabs>
        <w:spacing w:after="40" w:line="276" w:lineRule="auto"/>
        <w:ind w:left="403" w:hanging="403"/>
        <w:jc w:val="left"/>
      </w:pPr>
      <w:r>
        <w:rPr>
          <w:color w:val="1A2E4A"/>
        </w:rPr>
        <w:t>2.</w:t>
        <w:tab/>
      </w:r>
      <w:r>
        <w:t>Apply the required isolation and lockout/tagout procedures.</w:t>
      </w:r>
    </w:p>
    <w:p>
      <w:pPr>
        <w:tabs>
          <w:tab w:pos="403" w:val="left"/>
        </w:tabs>
        <w:spacing w:after="40" w:line="276" w:lineRule="auto"/>
        <w:ind w:left="403" w:hanging="403"/>
        <w:jc w:val="left"/>
      </w:pPr>
      <w:r>
        <w:rPr>
          <w:color w:val="1A2E4A"/>
        </w:rPr>
        <w:t>3.</w:t>
        <w:tab/>
      </w:r>
      <w:r>
        <w:t>Verify the absence of hazardous energy before electrical work.</w:t>
      </w:r>
    </w:p>
    <w:p>
      <w:pPr>
        <w:tabs>
          <w:tab w:pos="403" w:val="left"/>
        </w:tabs>
        <w:spacing w:after="40" w:line="276" w:lineRule="auto"/>
        <w:ind w:left="403" w:hanging="403"/>
        <w:jc w:val="left"/>
      </w:pPr>
      <w:r>
        <w:rPr>
          <w:color w:val="1A2E4A"/>
        </w:rPr>
        <w:t>4.</w:t>
        <w:tab/>
      </w:r>
      <w:r>
        <w:t>Remove the old HMI using the approved installation procedure.</w:t>
      </w:r>
    </w:p>
    <w:p>
      <w:pPr>
        <w:tabs>
          <w:tab w:pos="403" w:val="left"/>
        </w:tabs>
        <w:spacing w:after="40" w:line="276" w:lineRule="auto"/>
        <w:ind w:left="403" w:hanging="403"/>
        <w:jc w:val="left"/>
      </w:pPr>
      <w:r>
        <w:rPr>
          <w:color w:val="1A2E4A"/>
        </w:rPr>
        <w:t>5.</w:t>
        <w:tab/>
      </w:r>
      <w:r>
        <w:t>Install the GOT2000 and verify wiring, power, grounding, and mounting.</w:t>
      </w:r>
    </w:p>
    <w:p>
      <w:pPr>
        <w:tabs>
          <w:tab w:pos="403" w:val="left"/>
        </w:tabs>
        <w:spacing w:after="40" w:line="276" w:lineRule="auto"/>
        <w:ind w:left="403" w:hanging="403"/>
        <w:jc w:val="left"/>
      </w:pPr>
      <w:r>
        <w:rPr>
          <w:color w:val="1A2E4A"/>
        </w:rPr>
        <w:t>6.</w:t>
        <w:tab/>
      </w:r>
      <w:r>
        <w:t>Apply power under the authorized commissioning procedure.</w:t>
      </w:r>
    </w:p>
    <w:p>
      <w:pPr>
        <w:tabs>
          <w:tab w:pos="403" w:val="left"/>
        </w:tabs>
        <w:spacing w:after="40" w:line="276" w:lineRule="auto"/>
        <w:ind w:left="403" w:hanging="403"/>
        <w:jc w:val="left"/>
      </w:pPr>
      <w:r>
        <w:rPr>
          <w:color w:val="1A2E4A"/>
        </w:rPr>
        <w:t>7.</w:t>
        <w:tab/>
      </w:r>
      <w:r>
        <w:t>Confirm HMI startup and PLC communication.</w:t>
      </w:r>
    </w:p>
    <w:p>
      <w:pPr>
        <w:tabs>
          <w:tab w:pos="403" w:val="left"/>
        </w:tabs>
        <w:spacing w:after="40" w:line="276" w:lineRule="auto"/>
        <w:ind w:left="403" w:hanging="403"/>
        <w:jc w:val="left"/>
      </w:pPr>
      <w:r>
        <w:rPr>
          <w:color w:val="1A2E4A"/>
        </w:rPr>
        <w:t>8.</w:t>
        <w:tab/>
      </w:r>
      <w:r>
        <w:t>Execute the approved SAT checklist.</w:t>
      </w:r>
    </w:p>
    <w:p>
      <w:pPr>
        <w:tabs>
          <w:tab w:pos="403" w:val="left"/>
        </w:tabs>
        <w:spacing w:after="40" w:line="276" w:lineRule="auto"/>
        <w:ind w:left="403" w:hanging="403"/>
        <w:jc w:val="left"/>
      </w:pPr>
      <w:r>
        <w:rPr>
          <w:color w:val="1A2E4A"/>
        </w:rPr>
        <w:t>9.</w:t>
        <w:tab/>
      </w:r>
      <w:r>
        <w:t>Obtain the required production-release authorization.</w:t>
      </w:r>
    </w:p>
    <w:p>
      <w:pPr>
        <w:tabs>
          <w:tab w:pos="403" w:val="left"/>
        </w:tabs>
        <w:spacing w:after="40" w:line="276" w:lineRule="auto"/>
        <w:ind w:left="403" w:hanging="403"/>
        <w:jc w:val="left"/>
      </w:pPr>
      <w:r>
        <w:rPr>
          <w:color w:val="1A2E4A"/>
        </w:rPr>
        <w:t>10.</w:t>
        <w:tab/>
      </w:r>
      <w:r>
        <w:t>Monitor the machine during the agreed observation period.</w:t>
      </w:r>
    </w:p>
    <w:p>
      <w:pPr>
        <w:pStyle w:val="Heading3"/>
      </w:pPr>
      <w:r>
        <w:t>12.3 Rollback conditions</w:t>
      </w:r>
    </w:p>
    <w:p>
      <w:r>
        <w:t>Rollback may be necessary if:</w:t>
      </w:r>
    </w:p>
    <w:p>
      <w:pPr>
        <w:pStyle w:val="ListBullet"/>
      </w:pPr>
      <w:r>
        <w:t>Critical PLC communication cannot be restored.</w:t>
      </w:r>
    </w:p>
    <w:p>
      <w:pPr>
        <w:pStyle w:val="ListBullet"/>
      </w:pPr>
      <w:r>
        <w:t>A required alarm or operator command fails.</w:t>
      </w:r>
    </w:p>
    <w:p>
      <w:pPr>
        <w:pStyle w:val="ListBullet"/>
      </w:pPr>
      <w:r>
        <w:t>Recipe values or process parameters are incorrect.</w:t>
      </w:r>
    </w:p>
    <w:p>
      <w:pPr>
        <w:pStyle w:val="ListBullet"/>
      </w:pPr>
      <w:r>
        <w:t>A critical screen or protected function is unavailable.</w:t>
      </w:r>
    </w:p>
    <w:p>
      <w:pPr>
        <w:pStyle w:val="ListBullet"/>
      </w:pPr>
      <w:r>
        <w:t>Unexpected behavior affects machine operation.</w:t>
      </w:r>
    </w:p>
    <w:p>
      <w:pPr>
        <w:pStyle w:val="ListBullet"/>
      </w:pPr>
      <w:r>
        <w:t>Required acceptance tests cannot be completed.</w:t>
      </w:r>
    </w:p>
    <w:p>
      <w:r>
        <w:t>The rollback procedure must specify how to restore the previous system and verify the machine's condition afterward. Do not reinstall or reconnect equipment without following electrical isolation, compatibility, and commissioning requirements.</w:t>
      </w:r>
    </w:p>
    <w:p>
      <w:pPr>
        <w:pStyle w:val="Heading2"/>
      </w:pPr>
      <w:r>
        <w:t>13. Common migration failures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Project cannot be opened</w:t>
            </w:r>
          </w:p>
        </w:tc>
        <w:tc>
          <w:tcPr>
            <w:tcW w:type="dxa" w:w="3600"/>
          </w:tcPr>
          <w:p>
            <w:pPr>
              <w:spacing w:after="0" w:before="0" w:line="240" w:lineRule="auto"/>
              <w:jc w:val="left"/>
            </w:pPr>
            <w:r>
              <w:t>Incompatible software version or project format</w:t>
            </w:r>
          </w:p>
        </w:tc>
        <w:tc>
          <w:tcPr>
            <w:tcW w:type="dxa" w:w="3600"/>
          </w:tcPr>
          <w:p>
            <w:pPr>
              <w:spacing w:after="0" w:before="0" w:line="240" w:lineRule="auto"/>
              <w:jc w:val="left"/>
            </w:pPr>
            <w:r>
              <w:t>Confirm the supported source and conversion workflow</w:t>
            </w:r>
          </w:p>
        </w:tc>
      </w:tr>
      <w:tr>
        <w:tc>
          <w:tcPr>
            <w:tcW w:type="dxa" w:w="3600"/>
          </w:tcPr>
          <w:p>
            <w:pPr>
              <w:spacing w:after="0" w:before="0" w:line="240" w:lineRule="auto"/>
              <w:jc w:val="left"/>
            </w:pPr>
            <w:r>
              <w:t>Target model is unavailable</w:t>
            </w:r>
          </w:p>
        </w:tc>
        <w:tc>
          <w:tcPr>
            <w:tcW w:type="dxa" w:w="3600"/>
          </w:tcPr>
          <w:p>
            <w:pPr>
              <w:spacing w:after="0" w:before="0" w:line="240" w:lineRule="auto"/>
              <w:jc w:val="left"/>
            </w:pPr>
            <w:r>
              <w:t>Installed engineering software does not support the model</w:t>
            </w:r>
          </w:p>
        </w:tc>
        <w:tc>
          <w:tcPr>
            <w:tcW w:type="dxa" w:w="3600"/>
          </w:tcPr>
          <w:p>
            <w:pPr>
              <w:spacing w:after="0" w:before="0" w:line="240" w:lineRule="auto"/>
              <w:jc w:val="left"/>
            </w:pPr>
            <w:r>
              <w:t>Verify the required GT Designer3/GT Works3 version</w:t>
            </w:r>
          </w:p>
        </w:tc>
      </w:tr>
      <w:tr>
        <w:tc>
          <w:tcPr>
            <w:tcW w:type="dxa" w:w="3600"/>
          </w:tcPr>
          <w:p>
            <w:pPr>
              <w:spacing w:after="0" w:before="0" w:line="240" w:lineRule="auto"/>
              <w:jc w:val="left"/>
            </w:pPr>
            <w:r>
              <w:t>Project converts with warnings</w:t>
            </w:r>
          </w:p>
        </w:tc>
        <w:tc>
          <w:tcPr>
            <w:tcW w:type="dxa" w:w="3600"/>
          </w:tcPr>
          <w:p>
            <w:pPr>
              <w:spacing w:after="0" w:before="0" w:line="240" w:lineRule="auto"/>
              <w:jc w:val="left"/>
            </w:pPr>
            <w:r>
              <w:t>Unsupported objects or configuration differences</w:t>
            </w:r>
          </w:p>
        </w:tc>
        <w:tc>
          <w:tcPr>
            <w:tcW w:type="dxa" w:w="3600"/>
          </w:tcPr>
          <w:p>
            <w:pPr>
              <w:spacing w:after="0" w:before="0" w:line="240" w:lineRule="auto"/>
              <w:jc w:val="left"/>
            </w:pPr>
            <w:r>
              <w:t>Review each warning and validate the affected function</w:t>
            </w:r>
          </w:p>
        </w:tc>
      </w:tr>
      <w:tr>
        <w:tc>
          <w:tcPr>
            <w:tcW w:type="dxa" w:w="3600"/>
          </w:tcPr>
          <w:p>
            <w:pPr>
              <w:spacing w:after="0" w:before="0" w:line="240" w:lineRule="auto"/>
              <w:jc w:val="left"/>
            </w:pPr>
            <w:r>
              <w:t>Screen objects are misplaced</w:t>
            </w:r>
          </w:p>
        </w:tc>
        <w:tc>
          <w:tcPr>
            <w:tcW w:type="dxa" w:w="3600"/>
          </w:tcPr>
          <w:p>
            <w:pPr>
              <w:spacing w:after="0" w:before="0" w:line="240" w:lineRule="auto"/>
              <w:jc w:val="left"/>
            </w:pPr>
            <w:r>
              <w:t>Different resolution or display geometry</w:t>
            </w:r>
          </w:p>
        </w:tc>
        <w:tc>
          <w:tcPr>
            <w:tcW w:type="dxa" w:w="3600"/>
          </w:tcPr>
          <w:p>
            <w:pPr>
              <w:spacing w:after="0" w:before="0" w:line="240" w:lineRule="auto"/>
              <w:jc w:val="left"/>
            </w:pPr>
            <w:r>
              <w:t>Inspect screen dimensions and correct object positions</w:t>
            </w:r>
          </w:p>
        </w:tc>
      </w:tr>
      <w:tr>
        <w:tc>
          <w:tcPr>
            <w:tcW w:type="dxa" w:w="3600"/>
          </w:tcPr>
          <w:p>
            <w:pPr>
              <w:spacing w:after="0" w:before="0" w:line="240" w:lineRule="auto"/>
              <w:jc w:val="left"/>
            </w:pPr>
            <w:r>
              <w:t>Text is unreadable</w:t>
            </w:r>
          </w:p>
        </w:tc>
        <w:tc>
          <w:tcPr>
            <w:tcW w:type="dxa" w:w="3600"/>
          </w:tcPr>
          <w:p>
            <w:pPr>
              <w:spacing w:after="0" w:before="0" w:line="240" w:lineRule="auto"/>
              <w:jc w:val="left"/>
            </w:pPr>
            <w:r>
              <w:t>Font substitution or different rendering</w:t>
            </w:r>
          </w:p>
        </w:tc>
        <w:tc>
          <w:tcPr>
            <w:tcW w:type="dxa" w:w="3600"/>
          </w:tcPr>
          <w:p>
            <w:pPr>
              <w:spacing w:after="0" w:before="0" w:line="240" w:lineRule="auto"/>
              <w:jc w:val="left"/>
            </w:pPr>
            <w:r>
              <w:t>Select supported fonts and retest on the target panel</w:t>
            </w:r>
          </w:p>
        </w:tc>
      </w:tr>
      <w:tr>
        <w:tc>
          <w:tcPr>
            <w:tcW w:type="dxa" w:w="3600"/>
          </w:tcPr>
          <w:p>
            <w:pPr>
              <w:spacing w:after="0" w:before="0" w:line="240" w:lineRule="auto"/>
              <w:jc w:val="left"/>
            </w:pPr>
            <w:r>
              <w:t>PLC data does not update</w:t>
            </w:r>
          </w:p>
        </w:tc>
        <w:tc>
          <w:tcPr>
            <w:tcW w:type="dxa" w:w="3600"/>
          </w:tcPr>
          <w:p>
            <w:pPr>
              <w:spacing w:after="0" w:before="0" w:line="240" w:lineRule="auto"/>
              <w:jc w:val="left"/>
            </w:pPr>
            <w:r>
              <w:t>Wrong driver, address, station, or network configuration</w:t>
            </w:r>
          </w:p>
        </w:tc>
        <w:tc>
          <w:tcPr>
            <w:tcW w:type="dxa" w:w="3600"/>
          </w:tcPr>
          <w:p>
            <w:pPr>
              <w:spacing w:after="0" w:before="0" w:line="240" w:lineRule="auto"/>
              <w:jc w:val="left"/>
            </w:pPr>
            <w:r>
              <w:t>Check the communication path and device mapping</w:t>
            </w:r>
          </w:p>
        </w:tc>
      </w:tr>
      <w:tr>
        <w:tc>
          <w:tcPr>
            <w:tcW w:type="dxa" w:w="3600"/>
          </w:tcPr>
          <w:p>
            <w:pPr>
              <w:spacing w:after="0" w:before="0" w:line="240" w:lineRule="auto"/>
              <w:jc w:val="left"/>
            </w:pPr>
            <w:r>
              <w:t>Numeric value is incorrect</w:t>
            </w:r>
          </w:p>
        </w:tc>
        <w:tc>
          <w:tcPr>
            <w:tcW w:type="dxa" w:w="3600"/>
          </w:tcPr>
          <w:p>
            <w:pPr>
              <w:spacing w:after="0" w:before="0" w:line="240" w:lineRule="auto"/>
              <w:jc w:val="left"/>
            </w:pPr>
            <w:r>
              <w:t>Data type, scaling, sign, or word mapping differs</w:t>
            </w:r>
          </w:p>
        </w:tc>
        <w:tc>
          <w:tcPr>
            <w:tcW w:type="dxa" w:w="3600"/>
          </w:tcPr>
          <w:p>
            <w:pPr>
              <w:spacing w:after="0" w:before="0" w:line="240" w:lineRule="auto"/>
              <w:jc w:val="left"/>
            </w:pPr>
            <w:r>
              <w:t>Compare raw PLC data against the HMI conversion settings</w:t>
            </w:r>
          </w:p>
        </w:tc>
      </w:tr>
      <w:tr>
        <w:tc>
          <w:tcPr>
            <w:tcW w:type="dxa" w:w="3600"/>
          </w:tcPr>
          <w:p>
            <w:pPr>
              <w:spacing w:after="0" w:before="0" w:line="240" w:lineRule="auto"/>
              <w:jc w:val="left"/>
            </w:pPr>
            <w:r>
              <w:t>HMI writes the wrong value</w:t>
            </w:r>
          </w:p>
        </w:tc>
        <w:tc>
          <w:tcPr>
            <w:tcW w:type="dxa" w:w="3600"/>
          </w:tcPr>
          <w:p>
            <w:pPr>
              <w:spacing w:after="0" w:before="0" w:line="240" w:lineRule="auto"/>
              <w:jc w:val="left"/>
            </w:pPr>
            <w:r>
              <w:t>Incorrect object assignment or write configuration</w:t>
            </w:r>
          </w:p>
        </w:tc>
        <w:tc>
          <w:tcPr>
            <w:tcW w:type="dxa" w:w="3600"/>
          </w:tcPr>
          <w:p>
            <w:pPr>
              <w:spacing w:after="0" w:before="0" w:line="240" w:lineRule="auto"/>
              <w:jc w:val="left"/>
            </w:pPr>
            <w:r>
              <w:t>Compare the object with the approved device list</w:t>
            </w:r>
          </w:p>
        </w:tc>
      </w:tr>
      <w:tr>
        <w:tc>
          <w:tcPr>
            <w:tcW w:type="dxa" w:w="3600"/>
          </w:tcPr>
          <w:p>
            <w:pPr>
              <w:spacing w:after="0" w:before="0" w:line="240" w:lineRule="auto"/>
              <w:jc w:val="left"/>
            </w:pPr>
            <w:r>
              <w:t>Alarm history is missing</w:t>
            </w:r>
          </w:p>
        </w:tc>
        <w:tc>
          <w:tcPr>
            <w:tcW w:type="dxa" w:w="3600"/>
          </w:tcPr>
          <w:p>
            <w:pPr>
              <w:spacing w:after="0" w:before="0" w:line="240" w:lineRule="auto"/>
              <w:jc w:val="left"/>
            </w:pPr>
            <w:r>
              <w:t>History configuration or stored records were not migrated</w:t>
            </w:r>
          </w:p>
        </w:tc>
        <w:tc>
          <w:tcPr>
            <w:tcW w:type="dxa" w:w="3600"/>
          </w:tcPr>
          <w:p>
            <w:pPr>
              <w:spacing w:after="0" w:before="0" w:line="240" w:lineRule="auto"/>
              <w:jc w:val="left"/>
            </w:pPr>
            <w:r>
              <w:t>Check configuration separately from historical data</w:t>
            </w:r>
          </w:p>
        </w:tc>
      </w:tr>
      <w:tr>
        <w:tc>
          <w:tcPr>
            <w:tcW w:type="dxa" w:w="3600"/>
          </w:tcPr>
          <w:p>
            <w:pPr>
              <w:spacing w:after="0" w:before="0" w:line="240" w:lineRule="auto"/>
              <w:jc w:val="left"/>
            </w:pPr>
            <w:r>
              <w:t>Recipe transfer fails</w:t>
            </w:r>
          </w:p>
        </w:tc>
        <w:tc>
          <w:tcPr>
            <w:tcW w:type="dxa" w:w="3600"/>
          </w:tcPr>
          <w:p>
            <w:pPr>
              <w:spacing w:after="0" w:before="0" w:line="240" w:lineRule="auto"/>
              <w:jc w:val="left"/>
            </w:pPr>
            <w:r>
              <w:t>Incorrect recipe mapping or unsupported storage configuration</w:t>
            </w:r>
          </w:p>
        </w:tc>
        <w:tc>
          <w:tcPr>
            <w:tcW w:type="dxa" w:w="3600"/>
          </w:tcPr>
          <w:p>
            <w:pPr>
              <w:spacing w:after="0" w:before="0" w:line="240" w:lineRule="auto"/>
              <w:jc w:val="left"/>
            </w:pPr>
            <w:r>
              <w:t>Verify recipe structure, destination devices, and storage</w:t>
            </w:r>
          </w:p>
        </w:tc>
      </w:tr>
      <w:tr>
        <w:tc>
          <w:tcPr>
            <w:tcW w:type="dxa" w:w="3600"/>
          </w:tcPr>
          <w:p>
            <w:pPr>
              <w:spacing w:after="0" w:before="0" w:line="240" w:lineRule="auto"/>
              <w:jc w:val="left"/>
            </w:pPr>
            <w:r>
              <w:t>Script no longer behaves correctly</w:t>
            </w:r>
          </w:p>
        </w:tc>
        <w:tc>
          <w:tcPr>
            <w:tcW w:type="dxa" w:w="3600"/>
          </w:tcPr>
          <w:p>
            <w:pPr>
              <w:spacing w:after="0" w:before="0" w:line="240" w:lineRule="auto"/>
              <w:jc w:val="left"/>
            </w:pPr>
            <w:r>
              <w:t>Changed compatibility, trigger, or dependency</w:t>
            </w:r>
          </w:p>
        </w:tc>
        <w:tc>
          <w:tcPr>
            <w:tcW w:type="dxa" w:w="3600"/>
          </w:tcPr>
          <w:p>
            <w:pPr>
              <w:spacing w:after="0" w:before="0" w:line="240" w:lineRule="auto"/>
              <w:jc w:val="left"/>
            </w:pPr>
            <w:r>
              <w:t>Test the script under controlled conditions</w:t>
            </w:r>
          </w:p>
        </w:tc>
      </w:tr>
      <w:tr>
        <w:tc>
          <w:tcPr>
            <w:tcW w:type="dxa" w:w="3600"/>
          </w:tcPr>
          <w:p>
            <w:pPr>
              <w:spacing w:after="0" w:before="0" w:line="240" w:lineRule="auto"/>
              <w:jc w:val="left"/>
            </w:pPr>
            <w:r>
              <w:t>Download fails</w:t>
            </w:r>
          </w:p>
        </w:tc>
        <w:tc>
          <w:tcPr>
            <w:tcW w:type="dxa" w:w="3600"/>
          </w:tcPr>
          <w:p>
            <w:pPr>
              <w:spacing w:after="0" w:before="0" w:line="240" w:lineRule="auto"/>
              <w:jc w:val="left"/>
            </w:pPr>
            <w:r>
              <w:t>Connection, interface, permissions, or transfer settings are incorrect</w:t>
            </w:r>
          </w:p>
        </w:tc>
        <w:tc>
          <w:tcPr>
            <w:tcW w:type="dxa" w:w="3600"/>
          </w:tcPr>
          <w:p>
            <w:pPr>
              <w:spacing w:after="0" w:before="0" w:line="240" w:lineRule="auto"/>
              <w:jc w:val="left"/>
            </w:pPr>
            <w:r>
              <w:t>Verify the target model, connection, and documented transfer procedure</w:t>
            </w:r>
          </w:p>
        </w:tc>
      </w:tr>
      <w:tr>
        <w:tc>
          <w:tcPr>
            <w:tcW w:type="dxa" w:w="3600"/>
          </w:tcPr>
          <w:p>
            <w:pPr>
              <w:spacing w:after="0" w:before="0" w:line="240" w:lineRule="auto"/>
              <w:jc w:val="left"/>
            </w:pPr>
            <w:r>
              <w:t>Communication does not recover</w:t>
            </w:r>
          </w:p>
        </w:tc>
        <w:tc>
          <w:tcPr>
            <w:tcW w:type="dxa" w:w="3600"/>
          </w:tcPr>
          <w:p>
            <w:pPr>
              <w:spacing w:after="0" w:before="0" w:line="240" w:lineRule="auto"/>
              <w:jc w:val="left"/>
            </w:pPr>
            <w:r>
              <w:t>Timeout, reconnect configuration, or network issue</w:t>
            </w:r>
          </w:p>
        </w:tc>
        <w:tc>
          <w:tcPr>
            <w:tcW w:type="dxa" w:w="3600"/>
          </w:tcPr>
          <w:p>
            <w:pPr>
              <w:spacing w:after="0" w:before="0" w:line="240" w:lineRule="auto"/>
              <w:jc w:val="left"/>
            </w:pPr>
            <w:r>
              <w:t>Test recovery and document the required restoration behavior</w:t>
            </w:r>
          </w:p>
        </w:tc>
      </w:tr>
      <w:tr>
        <w:tc>
          <w:tcPr>
            <w:tcW w:type="dxa" w:w="3600"/>
          </w:tcPr>
          <w:p>
            <w:pPr>
              <w:spacing w:after="0" w:before="0" w:line="240" w:lineRule="auto"/>
              <w:jc w:val="left"/>
            </w:pPr>
            <w:r>
              <w:t>Target HMI starts in an unexpected state</w:t>
            </w:r>
          </w:p>
        </w:tc>
        <w:tc>
          <w:tcPr>
            <w:tcW w:type="dxa" w:w="3600"/>
          </w:tcPr>
          <w:p>
            <w:pPr>
              <w:spacing w:after="0" w:before="0" w:line="240" w:lineRule="auto"/>
              <w:jc w:val="left"/>
            </w:pPr>
            <w:r>
              <w:t>Startup configuration or retained settings differ</w:t>
            </w:r>
          </w:p>
        </w:tc>
        <w:tc>
          <w:tcPr>
            <w:tcW w:type="dxa" w:w="3600"/>
          </w:tcPr>
          <w:p>
            <w:pPr>
              <w:spacing w:after="0" w:before="0" w:line="240" w:lineRule="auto"/>
              <w:jc w:val="left"/>
            </w:pPr>
            <w:r>
              <w:t>Review startup settings and power-cycle behavior</w:t>
            </w:r>
          </w:p>
        </w:tc>
      </w:tr>
    </w:tbl>
    <w:p/>
    <w:p>
      <w:pPr>
        <w:pStyle w:val="Heading2"/>
      </w:pPr>
      <w:r>
        <w:t>14. Practical industrial example</w:t>
      </w:r>
    </w:p>
    <w:p>
      <w:pPr>
        <w:pStyle w:val="Heading3"/>
      </w:pPr>
      <w:r>
        <w:t>Scenario</w:t>
      </w:r>
    </w:p>
    <w:p>
      <w:r>
        <w:t>A production machine uses a GOT1000 HMI connected to a Mitsubishi PLC. The panel displays machine status, production count, fault alarms, and a recipe-selection screen. The HMI is being replaced with a compatible GOT2000.</w:t>
      </w:r>
    </w:p>
    <w:p>
      <w:pPr>
        <w:pStyle w:val="Heading3"/>
      </w:pPr>
      <w:r>
        <w:t>Migration requirements</w:t>
      </w:r>
    </w:p>
    <w:p>
      <w:pPr>
        <w:pStyle w:val="ListBullet"/>
      </w:pPr>
      <w:r>
        <w:t>Preserve existing PLC device assignments where supported.</w:t>
      </w:r>
    </w:p>
    <w:p>
      <w:pPr>
        <w:pStyle w:val="ListBullet"/>
      </w:pPr>
      <w:r>
        <w:t>Retain production-count display and scaling.</w:t>
      </w:r>
    </w:p>
    <w:p>
      <w:pPr>
        <w:pStyle w:val="ListBullet"/>
      </w:pPr>
      <w:r>
        <w:t>Preserve alarm messages and acknowledgement behavior.</w:t>
      </w:r>
    </w:p>
    <w:p>
      <w:pPr>
        <w:pStyle w:val="ListBullet"/>
      </w:pPr>
      <w:r>
        <w:t>Ensure recipe selection writes the correct parameters.</w:t>
      </w:r>
    </w:p>
    <w:p>
      <w:pPr>
        <w:pStyle w:val="ListBullet"/>
      </w:pPr>
      <w:r>
        <w:t>Maintain operator access restrictions.</w:t>
      </w:r>
    </w:p>
    <w:p>
      <w:pPr>
        <w:pStyle w:val="ListBullet"/>
      </w:pPr>
      <w:r>
        <w:t>Avoid unnecessary changes to the production PLC program.</w:t>
      </w:r>
    </w:p>
    <w:p>
      <w:pPr>
        <w:pStyle w:val="ListBullet"/>
      </w:pPr>
      <w:r>
        <w:t>Preserve the ability to restore the original HMI configuration if acceptance fails.</w:t>
      </w:r>
    </w:p>
    <w:p>
      <w:pPr>
        <w:pStyle w:val="Heading3"/>
      </w:pPr>
      <w:r>
        <w:t>Example migration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Source configuration</w:t>
            </w:r>
          </w:p>
        </w:tc>
        <w:tc>
          <w:tcPr>
            <w:tcW w:type="dxa" w:w="3600"/>
            <w:shd w:val="clear" w:color="auto" w:fill="EEF2F7"/>
          </w:tcPr>
          <w:p>
            <w:pPr>
              <w:spacing w:after="0" w:before="0" w:line="240" w:lineRule="auto"/>
              <w:jc w:val="left"/>
            </w:pPr>
            <w:r>
              <w:rPr>
                <w:b/>
                <w:color w:val="1A2E4A"/>
              </w:rPr>
              <w:t>Target verification</w:t>
            </w:r>
          </w:p>
        </w:tc>
      </w:tr>
      <w:tr>
        <w:tc>
          <w:tcPr>
            <w:tcW w:type="dxa" w:w="3600"/>
          </w:tcPr>
          <w:p>
            <w:pPr>
              <w:spacing w:after="0" w:before="0" w:line="240" w:lineRule="auto"/>
              <w:jc w:val="left"/>
            </w:pPr>
            <w:r>
              <w:t>HMI generation</w:t>
            </w:r>
          </w:p>
        </w:tc>
        <w:tc>
          <w:tcPr>
            <w:tcW w:type="dxa" w:w="3600"/>
          </w:tcPr>
          <w:p>
            <w:pPr>
              <w:spacing w:after="0" w:before="0" w:line="240" w:lineRule="auto"/>
              <w:jc w:val="left"/>
            </w:pPr>
            <w:r>
              <w:t>GOT1000</w:t>
            </w:r>
          </w:p>
        </w:tc>
        <w:tc>
          <w:tcPr>
            <w:tcW w:type="dxa" w:w="3600"/>
          </w:tcPr>
          <w:p>
            <w:pPr>
              <w:spacing w:after="0" w:before="0" w:line="240" w:lineRule="auto"/>
              <w:jc w:val="left"/>
            </w:pPr>
            <w:r>
              <w:t>Exact GOT2000 model recorded</w:t>
            </w:r>
          </w:p>
        </w:tc>
      </w:tr>
      <w:tr>
        <w:tc>
          <w:tcPr>
            <w:tcW w:type="dxa" w:w="3600"/>
          </w:tcPr>
          <w:p>
            <w:pPr>
              <w:spacing w:after="0" w:before="0" w:line="240" w:lineRule="auto"/>
              <w:jc w:val="left"/>
            </w:pPr>
            <w:r>
              <w:t>Engineering project</w:t>
            </w:r>
          </w:p>
        </w:tc>
        <w:tc>
          <w:tcPr>
            <w:tcW w:type="dxa" w:w="3600"/>
          </w:tcPr>
          <w:p>
            <w:pPr>
              <w:spacing w:after="0" w:before="0" w:line="240" w:lineRule="auto"/>
              <w:jc w:val="left"/>
            </w:pPr>
            <w:r>
              <w:t>Original editable project</w:t>
            </w:r>
          </w:p>
        </w:tc>
        <w:tc>
          <w:tcPr>
            <w:tcW w:type="dxa" w:w="3600"/>
          </w:tcPr>
          <w:p>
            <w:pPr>
              <w:spacing w:after="0" w:before="0" w:line="240" w:lineRule="auto"/>
              <w:jc w:val="left"/>
            </w:pPr>
            <w:r>
              <w:t>Converted project saved separately</w:t>
            </w:r>
          </w:p>
        </w:tc>
      </w:tr>
      <w:tr>
        <w:tc>
          <w:tcPr>
            <w:tcW w:type="dxa" w:w="3600"/>
          </w:tcPr>
          <w:p>
            <w:pPr>
              <w:spacing w:after="0" w:before="0" w:line="240" w:lineRule="auto"/>
              <w:jc w:val="left"/>
            </w:pPr>
            <w:r>
              <w:t>PLC communication</w:t>
            </w:r>
          </w:p>
        </w:tc>
        <w:tc>
          <w:tcPr>
            <w:tcW w:type="dxa" w:w="3600"/>
          </w:tcPr>
          <w:p>
            <w:pPr>
              <w:spacing w:after="0" w:before="0" w:line="240" w:lineRule="auto"/>
              <w:jc w:val="left"/>
            </w:pPr>
            <w:r>
              <w:t>Existing approved driver and connection</w:t>
            </w:r>
          </w:p>
        </w:tc>
        <w:tc>
          <w:tcPr>
            <w:tcW w:type="dxa" w:w="3600"/>
          </w:tcPr>
          <w:p>
            <w:pPr>
              <w:spacing w:after="0" w:before="0" w:line="240" w:lineRule="auto"/>
              <w:jc w:val="left"/>
            </w:pPr>
            <w:r>
              <w:t>Driver and connection tested</w:t>
            </w:r>
          </w:p>
        </w:tc>
      </w:tr>
      <w:tr>
        <w:tc>
          <w:tcPr>
            <w:tcW w:type="dxa" w:w="3600"/>
          </w:tcPr>
          <w:p>
            <w:pPr>
              <w:spacing w:after="0" w:before="0" w:line="240" w:lineRule="auto"/>
              <w:jc w:val="left"/>
            </w:pPr>
            <w:r>
              <w:t>Production count</w:t>
            </w:r>
          </w:p>
        </w:tc>
        <w:tc>
          <w:tcPr>
            <w:tcW w:type="dxa" w:w="3600"/>
          </w:tcPr>
          <w:p>
            <w:pPr>
              <w:spacing w:after="0" w:before="0" w:line="240" w:lineRule="auto"/>
              <w:jc w:val="left"/>
            </w:pPr>
            <w:r>
              <w:t>Existing device and display format</w:t>
            </w:r>
          </w:p>
        </w:tc>
        <w:tc>
          <w:tcPr>
            <w:tcW w:type="dxa" w:w="3600"/>
          </w:tcPr>
          <w:p>
            <w:pPr>
              <w:spacing w:after="0" w:before="0" w:line="240" w:lineRule="auto"/>
              <w:jc w:val="left"/>
            </w:pPr>
            <w:r>
              <w:t>Value and scaling compared</w:t>
            </w:r>
          </w:p>
        </w:tc>
      </w:tr>
      <w:tr>
        <w:tc>
          <w:tcPr>
            <w:tcW w:type="dxa" w:w="3600"/>
          </w:tcPr>
          <w:p>
            <w:pPr>
              <w:spacing w:after="0" w:before="0" w:line="240" w:lineRule="auto"/>
              <w:jc w:val="left"/>
            </w:pPr>
            <w:r>
              <w:t>Alarms</w:t>
            </w:r>
          </w:p>
        </w:tc>
        <w:tc>
          <w:tcPr>
            <w:tcW w:type="dxa" w:w="3600"/>
          </w:tcPr>
          <w:p>
            <w:pPr>
              <w:spacing w:after="0" w:before="0" w:line="240" w:lineRule="auto"/>
              <w:jc w:val="left"/>
            </w:pPr>
            <w:r>
              <w:t>Existing alarm definitions</w:t>
            </w:r>
          </w:p>
        </w:tc>
        <w:tc>
          <w:tcPr>
            <w:tcW w:type="dxa" w:w="3600"/>
          </w:tcPr>
          <w:p>
            <w:pPr>
              <w:spacing w:after="0" w:before="0" w:line="240" w:lineRule="auto"/>
              <w:jc w:val="left"/>
            </w:pPr>
            <w:r>
              <w:t>Trigger, message, and acknowledgement tested</w:t>
            </w:r>
          </w:p>
        </w:tc>
      </w:tr>
      <w:tr>
        <w:tc>
          <w:tcPr>
            <w:tcW w:type="dxa" w:w="3600"/>
          </w:tcPr>
          <w:p>
            <w:pPr>
              <w:spacing w:after="0" w:before="0" w:line="240" w:lineRule="auto"/>
              <w:jc w:val="left"/>
            </w:pPr>
            <w:r>
              <w:t>Recipes</w:t>
            </w:r>
          </w:p>
        </w:tc>
        <w:tc>
          <w:tcPr>
            <w:tcW w:type="dxa" w:w="3600"/>
          </w:tcPr>
          <w:p>
            <w:pPr>
              <w:spacing w:after="0" w:before="0" w:line="240" w:lineRule="auto"/>
              <w:jc w:val="left"/>
            </w:pPr>
            <w:r>
              <w:t>Existing recipe configuration</w:t>
            </w:r>
          </w:p>
        </w:tc>
        <w:tc>
          <w:tcPr>
            <w:tcW w:type="dxa" w:w="3600"/>
          </w:tcPr>
          <w:p>
            <w:pPr>
              <w:spacing w:after="0" w:before="0" w:line="240" w:lineRule="auto"/>
              <w:jc w:val="left"/>
            </w:pPr>
            <w:r>
              <w:t>Representative approved recipes verified</w:t>
            </w:r>
          </w:p>
        </w:tc>
      </w:tr>
      <w:tr>
        <w:tc>
          <w:tcPr>
            <w:tcW w:type="dxa" w:w="3600"/>
          </w:tcPr>
          <w:p>
            <w:pPr>
              <w:spacing w:after="0" w:before="0" w:line="240" w:lineRule="auto"/>
              <w:jc w:val="left"/>
            </w:pPr>
            <w:r>
              <w:t>User permissions</w:t>
            </w:r>
          </w:p>
        </w:tc>
        <w:tc>
          <w:tcPr>
            <w:tcW w:type="dxa" w:w="3600"/>
          </w:tcPr>
          <w:p>
            <w:pPr>
              <w:spacing w:after="0" w:before="0" w:line="240" w:lineRule="auto"/>
              <w:jc w:val="left"/>
            </w:pPr>
            <w:r>
              <w:t>Existing access levels</w:t>
            </w:r>
          </w:p>
        </w:tc>
        <w:tc>
          <w:tcPr>
            <w:tcW w:type="dxa" w:w="3600"/>
          </w:tcPr>
          <w:p>
            <w:pPr>
              <w:spacing w:after="0" w:before="0" w:line="240" w:lineRule="auto"/>
              <w:jc w:val="left"/>
            </w:pPr>
            <w:r>
              <w:t>All required access levels tested</w:t>
            </w:r>
          </w:p>
        </w:tc>
      </w:tr>
      <w:tr>
        <w:tc>
          <w:tcPr>
            <w:tcW w:type="dxa" w:w="3600"/>
          </w:tcPr>
          <w:p>
            <w:pPr>
              <w:spacing w:after="0" w:before="0" w:line="240" w:lineRule="auto"/>
              <w:jc w:val="left"/>
            </w:pPr>
            <w:r>
              <w:t>Backup</w:t>
            </w:r>
          </w:p>
        </w:tc>
        <w:tc>
          <w:tcPr>
            <w:tcW w:type="dxa" w:w="3600"/>
          </w:tcPr>
          <w:p>
            <w:pPr>
              <w:spacing w:after="0" w:before="0" w:line="240" w:lineRule="auto"/>
              <w:jc w:val="left"/>
            </w:pPr>
            <w:r>
              <w:t>Original project preserved</w:t>
            </w:r>
          </w:p>
        </w:tc>
        <w:tc>
          <w:tcPr>
            <w:tcW w:type="dxa" w:w="3600"/>
          </w:tcPr>
          <w:p>
            <w:pPr>
              <w:spacing w:after="0" w:before="0" w:line="240" w:lineRule="auto"/>
              <w:jc w:val="left"/>
            </w:pPr>
            <w:r>
              <w:t>Final target project archived</w:t>
            </w:r>
          </w:p>
        </w:tc>
      </w:tr>
      <w:tr>
        <w:tc>
          <w:tcPr>
            <w:tcW w:type="dxa" w:w="3600"/>
          </w:tcPr>
          <w:p>
            <w:pPr>
              <w:spacing w:after="0" w:before="0" w:line="240" w:lineRule="auto"/>
              <w:jc w:val="left"/>
            </w:pPr>
            <w:r>
              <w:t>Release</w:t>
            </w:r>
          </w:p>
        </w:tc>
        <w:tc>
          <w:tcPr>
            <w:tcW w:type="dxa" w:w="3600"/>
          </w:tcPr>
          <w:p>
            <w:pPr>
              <w:spacing w:after="0" w:before="0" w:line="240" w:lineRule="auto"/>
              <w:jc w:val="left"/>
            </w:pPr>
            <w:r>
              <w:t>Existing machine configuration</w:t>
            </w:r>
          </w:p>
        </w:tc>
        <w:tc>
          <w:tcPr>
            <w:tcW w:type="dxa" w:w="3600"/>
          </w:tcPr>
          <w:p>
            <w:pPr>
              <w:spacing w:after="0" w:before="0" w:line="240" w:lineRule="auto"/>
              <w:jc w:val="left"/>
            </w:pPr>
            <w:r>
              <w:t>SAT completed and approved</w:t>
            </w:r>
          </w:p>
        </w:tc>
      </w:tr>
    </w:tbl>
    <w:p/>
    <w:p>
      <w:pPr>
        <w:pStyle w:val="Heading3"/>
      </w:pPr>
      <w:r>
        <w:t>Example execution record</w:t>
      </w:r>
    </w:p>
    <w:p>
      <w:pPr>
        <w:shd w:val="clear" w:color="auto" w:fill="F4F4F4"/>
        <w:spacing w:before="0" w:after="0" w:line="240" w:lineRule="auto"/>
        <w:ind w:left="216" w:right="216"/>
        <w:jc w:val="left"/>
      </w:pPr>
      <w:r>
        <w:rPr>
          <w:rFonts w:ascii="Consolas" w:hAnsi="Consolas"/>
          <w:color w:val="202020"/>
          <w:sz w:val="18"/>
        </w:rPr>
        <w:t>Migration ID: HMI-MIG-001</w:t>
      </w:r>
    </w:p>
    <w:p>
      <w:pPr>
        <w:shd w:val="clear" w:color="auto" w:fill="F4F4F4"/>
        <w:spacing w:before="0" w:after="0" w:line="240" w:lineRule="auto"/>
        <w:ind w:left="216" w:right="216"/>
        <w:jc w:val="left"/>
      </w:pPr>
      <w:r>
        <w:rPr>
          <w:rFonts w:ascii="Consolas" w:hAnsi="Consolas"/>
          <w:color w:val="202020"/>
          <w:sz w:val="18"/>
        </w:rPr>
        <w:t>Source: GOT1000</w:t>
      </w:r>
    </w:p>
    <w:p>
      <w:pPr>
        <w:shd w:val="clear" w:color="auto" w:fill="F4F4F4"/>
        <w:spacing w:before="0" w:after="0" w:line="240" w:lineRule="auto"/>
        <w:ind w:left="216" w:right="216"/>
        <w:jc w:val="left"/>
      </w:pPr>
      <w:r>
        <w:rPr>
          <w:rFonts w:ascii="Consolas" w:hAnsi="Consolas"/>
          <w:color w:val="202020"/>
          <w:sz w:val="18"/>
        </w:rPr>
        <w:t>Target: GOT2000</w:t>
      </w:r>
    </w:p>
    <w:p>
      <w:pPr>
        <w:shd w:val="clear" w:color="auto" w:fill="F4F4F4"/>
        <w:spacing w:before="0" w:after="0" w:line="240" w:lineRule="auto"/>
        <w:ind w:left="216" w:right="216"/>
        <w:jc w:val="left"/>
      </w:pPr>
      <w:r>
        <w:rPr>
          <w:rFonts w:ascii="Consolas" w:hAnsi="Consolas"/>
          <w:color w:val="202020"/>
          <w:sz w:val="18"/>
        </w:rPr>
        <w:t>Source project: SOURCE_REV_A</w:t>
      </w:r>
    </w:p>
    <w:p>
      <w:pPr>
        <w:shd w:val="clear" w:color="auto" w:fill="F4F4F4"/>
        <w:spacing w:before="0" w:after="0" w:line="240" w:lineRule="auto"/>
        <w:ind w:left="216" w:right="216"/>
        <w:jc w:val="left"/>
      </w:pPr>
      <w:r>
        <w:rPr>
          <w:rFonts w:ascii="Consolas" w:hAnsi="Consolas"/>
          <w:color w:val="202020"/>
          <w:sz w:val="18"/>
        </w:rPr>
        <w:t>Converted project: TARGET_REV_A</w:t>
      </w:r>
    </w:p>
    <w:p>
      <w:pPr>
        <w:shd w:val="clear" w:color="auto" w:fill="F4F4F4"/>
        <w:spacing w:before="0" w:after="0" w:line="240" w:lineRule="auto"/>
        <w:ind w:left="216" w:right="216"/>
        <w:jc w:val="left"/>
      </w:pPr>
      <w:r>
        <w:rPr>
          <w:rFonts w:ascii="Consolas" w:hAnsi="Consolas"/>
          <w:color w:val="202020"/>
          <w:sz w:val="18"/>
        </w:rPr>
        <w:t>PLC program: Unchanged unless separately approved</w:t>
      </w:r>
    </w:p>
    <w:p>
      <w:pPr>
        <w:shd w:val="clear" w:color="auto" w:fill="F4F4F4"/>
        <w:spacing w:before="0" w:after="0" w:line="240" w:lineRule="auto"/>
        <w:ind w:left="216" w:right="216"/>
        <w:jc w:val="left"/>
      </w:pPr>
      <w:r>
        <w:rPr>
          <w:rFonts w:ascii="Consolas" w:hAnsi="Consolas"/>
          <w:color w:val="202020"/>
          <w:sz w:val="18"/>
        </w:rPr>
        <w:t>Conversion warnings: Reviewed and dispositioned</w:t>
      </w:r>
    </w:p>
    <w:p>
      <w:pPr>
        <w:shd w:val="clear" w:color="auto" w:fill="F4F4F4"/>
        <w:spacing w:before="0" w:after="0" w:line="240" w:lineRule="auto"/>
        <w:ind w:left="216" w:right="216"/>
        <w:jc w:val="left"/>
      </w:pPr>
      <w:r>
        <w:rPr>
          <w:rFonts w:ascii="Consolas" w:hAnsi="Consolas"/>
          <w:color w:val="202020"/>
          <w:sz w:val="18"/>
        </w:rPr>
        <w:t>HMI transfer: Result recorded</w:t>
      </w:r>
    </w:p>
    <w:p>
      <w:pPr>
        <w:shd w:val="clear" w:color="auto" w:fill="F4F4F4"/>
        <w:spacing w:before="0" w:after="0" w:line="240" w:lineRule="auto"/>
        <w:ind w:left="216" w:right="216"/>
        <w:jc w:val="left"/>
      </w:pPr>
      <w:r>
        <w:rPr>
          <w:rFonts w:ascii="Consolas" w:hAnsi="Consolas"/>
          <w:color w:val="202020"/>
          <w:sz w:val="18"/>
        </w:rPr>
        <w:t>PLC communication: Tested</w:t>
      </w:r>
    </w:p>
    <w:p>
      <w:pPr>
        <w:shd w:val="clear" w:color="auto" w:fill="F4F4F4"/>
        <w:spacing w:before="0" w:after="0" w:line="240" w:lineRule="auto"/>
        <w:ind w:left="216" w:right="216"/>
        <w:jc w:val="left"/>
      </w:pPr>
      <w:r>
        <w:rPr>
          <w:rFonts w:ascii="Consolas" w:hAnsi="Consolas"/>
          <w:color w:val="202020"/>
          <w:sz w:val="18"/>
        </w:rPr>
        <w:t>Alarms: Tested</w:t>
      </w:r>
    </w:p>
    <w:p>
      <w:pPr>
        <w:shd w:val="clear" w:color="auto" w:fill="F4F4F4"/>
        <w:spacing w:before="0" w:after="0" w:line="240" w:lineRule="auto"/>
        <w:ind w:left="216" w:right="216"/>
        <w:jc w:val="left"/>
      </w:pPr>
      <w:r>
        <w:rPr>
          <w:rFonts w:ascii="Consolas" w:hAnsi="Consolas"/>
          <w:color w:val="202020"/>
          <w:sz w:val="18"/>
        </w:rPr>
        <w:t>Recipes: Tested</w:t>
      </w:r>
    </w:p>
    <w:p>
      <w:pPr>
        <w:shd w:val="clear" w:color="auto" w:fill="F4F4F4"/>
        <w:spacing w:before="0" w:after="0" w:line="240" w:lineRule="auto"/>
        <w:ind w:left="216" w:right="216"/>
        <w:jc w:val="left"/>
      </w:pPr>
      <w:r>
        <w:rPr>
          <w:rFonts w:ascii="Consolas" w:hAnsi="Consolas"/>
          <w:color w:val="202020"/>
          <w:sz w:val="18"/>
        </w:rPr>
        <w:t>User permissions: Tested</w:t>
      </w:r>
    </w:p>
    <w:p>
      <w:pPr>
        <w:shd w:val="clear" w:color="auto" w:fill="F4F4F4"/>
        <w:spacing w:before="0" w:after="0" w:line="240" w:lineRule="auto"/>
        <w:ind w:left="216" w:right="216"/>
        <w:jc w:val="left"/>
      </w:pPr>
      <w:r>
        <w:rPr>
          <w:rFonts w:ascii="Consolas" w:hAnsi="Consolas"/>
          <w:color w:val="202020"/>
          <w:sz w:val="18"/>
        </w:rPr>
        <w:t>FAT: Recorded</w:t>
      </w:r>
    </w:p>
    <w:p>
      <w:pPr>
        <w:shd w:val="clear" w:color="auto" w:fill="F4F4F4"/>
        <w:spacing w:before="0" w:after="0" w:line="240" w:lineRule="auto"/>
        <w:ind w:left="216" w:right="216"/>
        <w:jc w:val="left"/>
      </w:pPr>
      <w:r>
        <w:rPr>
          <w:rFonts w:ascii="Consolas" w:hAnsi="Consolas"/>
          <w:color w:val="202020"/>
          <w:sz w:val="18"/>
        </w:rPr>
        <w:t>SAT: Recorded</w:t>
      </w:r>
    </w:p>
    <w:p>
      <w:pPr>
        <w:shd w:val="clear" w:color="auto" w:fill="F4F4F4"/>
        <w:spacing w:before="0" w:after="0" w:line="240" w:lineRule="auto"/>
        <w:ind w:left="216" w:right="216"/>
        <w:jc w:val="left"/>
      </w:pPr>
      <w:r>
        <w:rPr>
          <w:rFonts w:ascii="Consolas" w:hAnsi="Consolas"/>
          <w:color w:val="202020"/>
          <w:sz w:val="18"/>
        </w:rPr>
        <w:t>Rollback backup: Verified</w:t>
      </w:r>
    </w:p>
    <w:p>
      <w:pPr>
        <w:shd w:val="clear" w:color="auto" w:fill="F4F4F4"/>
        <w:spacing w:before="0" w:after="0" w:line="240" w:lineRule="auto"/>
        <w:ind w:left="216" w:right="216"/>
        <w:jc w:val="left"/>
      </w:pPr>
      <w:r>
        <w:rPr>
          <w:rFonts w:ascii="Consolas" w:hAnsi="Consolas"/>
          <w:color w:val="202020"/>
          <w:sz w:val="18"/>
        </w:rPr>
        <w:t>Production release: Authorized personnel approval required</w:t>
      </w:r>
    </w:p>
    <w:p/>
    <w:p>
      <w:r>
        <w:t>The revision labels above are illustrative. Actual records must use the plant's approved document-control conventions.</w:t>
      </w:r>
    </w:p>
    <w:p>
      <w:pPr>
        <w:pStyle w:val="Heading2"/>
      </w:pPr>
      <w:r>
        <w:t>15. Documentation and maintenance handover</w:t>
      </w:r>
    </w:p>
    <w:p>
      <w:r>
        <w:t>A migration is incomplete until the resulting system can be maintained by another engineer without depending on the person who performed the conversion.</w:t>
      </w:r>
    </w:p>
    <w:p>
      <w:r>
        <w:t>Retain the following records:</w:t>
      </w:r>
    </w:p>
    <w:p>
      <w:pPr>
        <w:pStyle w:val="ListBullet"/>
      </w:pPr>
      <w:r>
        <w:t>Original GOT1000 project and backup.</w:t>
      </w:r>
    </w:p>
    <w:p>
      <w:pPr>
        <w:pStyle w:val="ListBullet"/>
      </w:pPr>
      <w:r>
        <w:t>Converted GOT2000 project and final released revision.</w:t>
      </w:r>
    </w:p>
    <w:p>
      <w:pPr>
        <w:pStyle w:val="ListBullet"/>
      </w:pPr>
      <w:r>
        <w:t>Source and target model numbers.</w:t>
      </w:r>
    </w:p>
    <w:p>
      <w:pPr>
        <w:pStyle w:val="ListBullet"/>
      </w:pPr>
      <w:r>
        <w:t>Engineering software and firmware versions.</w:t>
      </w:r>
    </w:p>
    <w:p>
      <w:pPr>
        <w:pStyle w:val="ListBullet"/>
      </w:pPr>
      <w:r>
        <w:t>Conversion warnings and their resolutions.</w:t>
      </w:r>
    </w:p>
    <w:p>
      <w:pPr>
        <w:pStyle w:val="ListBullet"/>
      </w:pPr>
      <w:r>
        <w:t>PLC communication settings and device mapping.</w:t>
      </w:r>
    </w:p>
    <w:p>
      <w:pPr>
        <w:pStyle w:val="ListBullet"/>
      </w:pPr>
      <w:r>
        <w:t>Screen, alarm, recipe, trend, and security test results.</w:t>
      </w:r>
    </w:p>
    <w:p>
      <w:pPr>
        <w:pStyle w:val="ListBullet"/>
      </w:pPr>
      <w:r>
        <w:t>Transfer records and final project identification.</w:t>
      </w:r>
    </w:p>
    <w:p>
      <w:pPr>
        <w:pStyle w:val="ListBullet"/>
      </w:pPr>
      <w:r>
        <w:t>FAT and SAT results.</w:t>
      </w:r>
    </w:p>
    <w:p>
      <w:pPr>
        <w:pStyle w:val="ListBullet"/>
      </w:pPr>
      <w:r>
        <w:t>Updated drawings, wiring information, and installed-base records.</w:t>
      </w:r>
    </w:p>
    <w:p>
      <w:pPr>
        <w:pStyle w:val="ListBullet"/>
      </w:pPr>
      <w:r>
        <w:t>Approved rollback procedure.</w:t>
      </w:r>
    </w:p>
    <w:p>
      <w:pPr>
        <w:pStyle w:val="ListBullet"/>
      </w:pPr>
      <w:r>
        <w:t>Required passwords and access information stored under plant security procedures.</w:t>
      </w:r>
    </w:p>
    <w:p>
      <w:pPr>
        <w:pStyle w:val="ListBullet"/>
      </w:pPr>
      <w:r>
        <w:t>Spare-part details and compatibility information.</w:t>
      </w:r>
    </w:p>
    <w:p>
      <w:pPr>
        <w:pStyle w:val="ListBullet"/>
      </w:pPr>
      <w:r>
        <w:t>Training or handover notes for maintenance personnel.</w:t>
      </w:r>
    </w:p>
    <w:p>
      <w:r>
        <w:t>Store backups in approved locations with suitable access controls and revision management. Do not store passwords in plain-text project notes or general-purpose maintenance logs.</w:t>
      </w:r>
    </w:p>
    <w:p>
      <w:pPr>
        <w:pStyle w:val="Heading2"/>
      </w:pPr>
      <w:r>
        <w:t>16. Migration checklist</w:t>
      </w:r>
    </w:p>
    <w:p>
      <w:pPr>
        <w:pStyle w:val="Heading3"/>
      </w:pPr>
      <w:r>
        <w:t>Project preparation</w:t>
      </w:r>
    </w:p>
    <w:p>
      <w:pPr>
        <w:pStyle w:val="ListBullet"/>
      </w:pPr>
      <w:r>
        <w:t>Exact source and target HMI models identified.</w:t>
      </w:r>
    </w:p>
    <w:p>
      <w:pPr>
        <w:pStyle w:val="ListBullet"/>
      </w:pPr>
      <w:r>
        <w:t>Original editable project recovered.</w:t>
      </w:r>
    </w:p>
    <w:p>
      <w:pPr>
        <w:pStyle w:val="ListBullet"/>
      </w:pPr>
      <w:r>
        <w:t>Original project preserved unchanged.</w:t>
      </w:r>
    </w:p>
    <w:p>
      <w:pPr>
        <w:pStyle w:val="ListBullet"/>
      </w:pPr>
      <w:r>
        <w:t>Software versions and supported conversion path verified.</w:t>
      </w:r>
    </w:p>
    <w:p>
      <w:pPr>
        <w:pStyle w:val="ListBullet"/>
      </w:pPr>
      <w:r>
        <w:t>PLC program revision and communication settings recorded.</w:t>
      </w:r>
    </w:p>
    <w:p>
      <w:pPr>
        <w:pStyle w:val="ListBullet"/>
      </w:pPr>
      <w:r>
        <w:t>Required HMI functions inventoried.</w:t>
      </w:r>
    </w:p>
    <w:p>
      <w:pPr>
        <w:pStyle w:val="Heading3"/>
      </w:pPr>
      <w:r>
        <w:t>Conversion and validation</w:t>
      </w:r>
    </w:p>
    <w:p>
      <w:pPr>
        <w:pStyle w:val="ListBullet"/>
      </w:pPr>
      <w:r>
        <w:t>Target model selected correctly.</w:t>
      </w:r>
    </w:p>
    <w:p>
      <w:pPr>
        <w:pStyle w:val="ListBullet"/>
      </w:pPr>
      <w:r>
        <w:t>Conversion warnings reviewed and resolved or formally accepted.</w:t>
      </w:r>
    </w:p>
    <w:p>
      <w:pPr>
        <w:pStyle w:val="ListBullet"/>
      </w:pPr>
      <w:r>
        <w:t>Screen layouts and fonts checked.</w:t>
      </w:r>
    </w:p>
    <w:p>
      <w:pPr>
        <w:pStyle w:val="ListBullet"/>
      </w:pPr>
      <w:r>
        <w:t>PLC addresses and data types verified.</w:t>
      </w:r>
    </w:p>
    <w:p>
      <w:pPr>
        <w:pStyle w:val="ListBullet"/>
      </w:pPr>
      <w:r>
        <w:t>Scripts and special functions tested.</w:t>
      </w:r>
    </w:p>
    <w:p>
      <w:pPr>
        <w:pStyle w:val="ListBullet"/>
      </w:pPr>
      <w:r>
        <w:t>Alarm and recipe behavior verified.</w:t>
      </w:r>
    </w:p>
    <w:p>
      <w:pPr>
        <w:pStyle w:val="ListBullet"/>
      </w:pPr>
      <w:r>
        <w:t>Project validated using the target engineering software.</w:t>
      </w:r>
    </w:p>
    <w:p>
      <w:pPr>
        <w:pStyle w:val="Heading3"/>
      </w:pPr>
      <w:r>
        <w:t>Transfer and commissioning</w:t>
      </w:r>
    </w:p>
    <w:p>
      <w:pPr>
        <w:pStyle w:val="ListBullet"/>
      </w:pPr>
      <w:r>
        <w:t>Existing target configuration backed up where applicable.</w:t>
      </w:r>
    </w:p>
    <w:p>
      <w:pPr>
        <w:pStyle w:val="ListBullet"/>
      </w:pPr>
      <w:r>
        <w:t>Correct project revision transferred.</w:t>
      </w:r>
    </w:p>
    <w:p>
      <w:pPr>
        <w:pStyle w:val="ListBullet"/>
      </w:pPr>
      <w:r>
        <w:t>HMI startup verified.</w:t>
      </w:r>
    </w:p>
    <w:p>
      <w:pPr>
        <w:pStyle w:val="ListBullet"/>
      </w:pPr>
      <w:r>
        <w:t>PLC communication verified.</w:t>
      </w:r>
    </w:p>
    <w:p>
      <w:pPr>
        <w:pStyle w:val="ListBullet"/>
      </w:pPr>
      <w:r>
        <w:t>FAT completed as required.</w:t>
      </w:r>
    </w:p>
    <w:p>
      <w:pPr>
        <w:pStyle w:val="ListBullet"/>
      </w:pPr>
      <w:r>
        <w:t>SAT completed as required.</w:t>
      </w:r>
    </w:p>
    <w:p>
      <w:pPr>
        <w:pStyle w:val="ListBullet"/>
      </w:pPr>
      <w:r>
        <w:t>Machine safety functions verified through the applicable procedures.</w:t>
      </w:r>
    </w:p>
    <w:p>
      <w:pPr>
        <w:pStyle w:val="ListBullet"/>
      </w:pPr>
      <w:r>
        <w:t>Rollback method confirmed.</w:t>
      </w:r>
    </w:p>
    <w:p>
      <w:pPr>
        <w:pStyle w:val="ListBullet"/>
      </w:pPr>
      <w:r>
        <w:t>Final documentation and approvals completed.</w:t>
      </w:r>
    </w:p>
    <w:p>
      <w:pPr>
        <w:pStyle w:val="Heading2"/>
      </w:pPr>
      <w:r>
        <w:t>17. Interview questions and technical answers</w:t>
      </w:r>
    </w:p>
    <w:p>
      <w:r>
        <w:t>1\. What is the difference between conversion and transfer?</w:t>
      </w:r>
    </w:p>
    <w:p>
      <w:r>
        <w:t>Conversion adapts the source project to the target HMI's supported project format and features. Transfer installs the validated project on the physical target HMI.</w:t>
      </w:r>
    </w:p>
    <w:p>
      <w:r>
        <w:t>2\. Can every GOT1000 project be converted directly to GOT2000?</w:t>
      </w:r>
    </w:p>
    <w:p>
      <w:r>
        <w:t>No. The supported path depends on the source model, project format, target model, and engineering software version. Some functions may require manual reconfiguration or redesign.</w:t>
      </w:r>
    </w:p>
    <w:p>
      <w:r>
        <w:t>3\. Why is a successful conversion not enough?</w:t>
      </w:r>
    </w:p>
    <w:p>
      <w:r>
        <w:t>Conversion can leave unsupported objects, changed layouts, incorrect device mappings, or altered function behavior. The converted project must be validated and tested against the original requirements.</w:t>
      </w:r>
    </w:p>
    <w:p>
      <w:r>
        <w:t>4\. Does replacing GOT1000 with GOT2000 require changing the PLC program?</w:t>
      </w:r>
    </w:p>
    <w:p>
      <w:r>
        <w:t>Not necessarily. If the target HMI can use the existing PLC communication protocol, addresses, and required functions, the PLC program may remain unchanged. Any required PLC modification must be assessed and tested separately.</w:t>
      </w:r>
    </w:p>
    <w:p>
      <w:r>
        <w:t>5\. Why must recipes be checked separately?</w:t>
      </w:r>
    </w:p>
    <w:p>
      <w:r>
        <w:t>Recipes contain groups of process parameters. Incorrect mapping, scaling, or transfer direction can result in the wrong settings being applied to a machine.</w:t>
      </w:r>
    </w:p>
    <w:p>
      <w:r>
        <w:t>6\. What is the difference between FAT and SAT?</w:t>
      </w:r>
    </w:p>
    <w:p>
      <w:r>
        <w:t>FAT verifies the migrated project in a controlled test environment. SAT verifies the installation and behavior in the actual machine environment.</w:t>
      </w:r>
    </w:p>
    <w:p>
      <w:r>
        <w:t>7\. What should be backed up before migration?</w:t>
      </w:r>
    </w:p>
    <w:p>
      <w:r>
        <w:t>At minimum, the original editable HMI project, available runtime backup, communication settings, target configuration, relevant PLC backup, and supporting engineering records.</w:t>
      </w:r>
    </w:p>
    <w:p>
      <w:r>
        <w:t>8\. What is the most important condition before releasing the replacement HMI?</w:t>
      </w:r>
    </w:p>
    <w:p>
      <w:r>
        <w:t>All critical functions must pass the approved acceptance criteria, the machine must be in a safe operating condition, the rollback method must be available, and the required personnel must authorize release.</w:t>
      </w:r>
    </w:p>
    <w:p>
      <w:r>
        <w:t>9\. How should unsupported objects be handled?</w:t>
      </w:r>
    </w:p>
    <w:p>
      <w:r>
        <w:t>Identify the affected function, determine whether a supported equivalent exists, implement the approved replacement, and test both its normal behavior and relevant fault conditions.</w:t>
      </w:r>
    </w:p>
    <w:p>
      <w:r>
        <w:t>10\. Why preserve the original GOT1000 project after migration?</w:t>
      </w:r>
    </w:p>
    <w:p>
      <w:r>
        <w:t>It provides traceability, supports comparison during troubleshooting, and helps recover the previous configuration if a migration defect is discovered later.</w:t>
      </w:r>
    </w:p>
    <w:p>
      <w:pPr>
        <w:pStyle w:val="Heading2"/>
      </w:pPr>
      <w:r>
        <w:t>18. Final engineering principle</w:t>
      </w:r>
    </w:p>
    <w:p>
      <w:r>
        <w:t>Treat a GOT1000-to-GOT2000 migration as a controlled engineering change rather than a simple HMI replacement. Preserve the original project, verify compatibility, document every meaningful conversion change, test PLC communication and operator functions, retain rollback capability, and release the new panel only after the required acceptance checks are complete.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02_PLAN_WISE_2026\02_INDUSTRY3_0\25_Backup_DR\01_Systems_Backup\01_PLC - PLC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GOT1000 to GOT2000 Migration: Convert, Transfer, Test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