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IPC Backup and Disaster Recovery</w:t>
      </w:r>
    </w:p>
    <w:p>
      <w:pPr>
        <w:pStyle w:val="Heading2"/>
      </w:pPr>
      <w:r>
        <w:t>1. Purpose and scope</w:t>
      </w:r>
    </w:p>
    <w:p>
      <w:r>
        <w:t>An Industrial PC (IPC) is a computer designed for industrial environments. It may run HMI software, SCADA applications, machine-vision software, CNC interfaces, production data collection, test-bench applications, machine-control utilities, or industrial communication services.</w:t>
      </w:r>
    </w:p>
    <w:p>
      <w:r>
        <w:t>Unlike a standard office computer, an IPC may be part of the production machine's operating system. Its failure can interrupt production, remove operator visibility, break communication with PLCs, stop quality inspection, or make historical production data temporarily unavailable.</w:t>
      </w:r>
    </w:p>
    <w:p>
      <w:r>
        <w:t>Industrial IPC backup and disaster recovery preserve the software, configuration, data, and dependencies needed to restore the computer to a known, approved operating state.</w:t>
      </w:r>
    </w:p>
    <w:p>
      <w:r>
        <w:t>The main objectives are to:</w:t>
      </w:r>
    </w:p>
    <w:p>
      <w:pPr>
        <w:pStyle w:val="ListBullet"/>
      </w:pPr>
      <w:r>
        <w:t>Recover the operating system and required software after disk or hardware failure.</w:t>
      </w:r>
    </w:p>
    <w:p>
      <w:pPr>
        <w:pStyle w:val="ListBullet"/>
      </w:pPr>
      <w:r>
        <w:t>Preserve HMI, SCADA, machine-interface, and engineering applications.</w:t>
      </w:r>
    </w:p>
    <w:p>
      <w:pPr>
        <w:pStyle w:val="ListBullet"/>
      </w:pPr>
      <w:r>
        <w:t>Protect PLC communication drivers, industrial network settings, and device configurations.</w:t>
      </w:r>
    </w:p>
    <w:p>
      <w:pPr>
        <w:pStyle w:val="ListBullet"/>
      </w:pPr>
      <w:r>
        <w:t>Preserve databases, recipes, reports, logs, and application data.</w:t>
      </w:r>
    </w:p>
    <w:p>
      <w:pPr>
        <w:pStyle w:val="ListBullet"/>
      </w:pPr>
      <w:r>
        <w:t>Recover software licenses and activation information.</w:t>
      </w:r>
    </w:p>
    <w:p>
      <w:pPr>
        <w:pStyle w:val="ListBullet"/>
      </w:pPr>
      <w:r>
        <w:t>Maintain compatibility between operating systems, drivers, firmware, and automation software.</w:t>
      </w:r>
    </w:p>
    <w:p>
      <w:pPr>
        <w:pStyle w:val="ListBullet"/>
      </w:pPr>
      <w:r>
        <w:t>Reduce machine downtime after computer replacement.</w:t>
      </w:r>
    </w:p>
    <w:p>
      <w:pPr>
        <w:pStyle w:val="ListBullet"/>
      </w:pPr>
      <w:r>
        <w:t>Prevent unapproved software changes from affecting production or safety.</w:t>
      </w:r>
    </w:p>
    <w:p>
      <w:pPr>
        <w:pStyle w:val="ListBullet"/>
      </w:pPr>
      <w:r>
        <w:t>Support controlled migration when hardware or operating systems become obsolete.</w:t>
      </w:r>
    </w:p>
    <w:p>
      <w:r>
        <w:t>Core principle: An IPC backup is complete only when the required application can be restored on compatible hardware and its production functions can be verified.</w:t>
      </w:r>
    </w:p>
    <w:p>
      <w:pPr>
        <w:pStyle w:val="Heading2"/>
      </w:pPr>
      <w:r>
        <w:t>2. Where industrial PCs are 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IPC function</w:t>
            </w:r>
          </w:p>
        </w:tc>
        <w:tc>
          <w:tcPr>
            <w:tcW w:type="dxa" w:w="3600"/>
            <w:shd w:val="clear" w:color="auto" w:fill="EEF2F7"/>
          </w:tcPr>
          <w:p>
            <w:pPr>
              <w:spacing w:after="0" w:before="0" w:line="240" w:lineRule="auto"/>
              <w:jc w:val="left"/>
            </w:pPr>
            <w:r>
              <w:rPr>
                <w:b/>
                <w:color w:val="1A2E4A"/>
              </w:rPr>
              <w:t>Important recovery requirement</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interface for machine status and commands</w:t>
            </w:r>
          </w:p>
        </w:tc>
        <w:tc>
          <w:tcPr>
            <w:tcW w:type="dxa" w:w="3600"/>
          </w:tcPr>
          <w:p>
            <w:pPr>
              <w:spacing w:after="0" w:before="0" w:line="240" w:lineRule="auto"/>
              <w:jc w:val="left"/>
            </w:pPr>
            <w:r>
              <w:t>Restore project, runtime, communication drivers, and display configuration</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control, alarms, trends, and data collection</w:t>
            </w:r>
          </w:p>
        </w:tc>
        <w:tc>
          <w:tcPr>
            <w:tcW w:type="dxa" w:w="3600"/>
          </w:tcPr>
          <w:p>
            <w:pPr>
              <w:spacing w:after="0" w:before="0" w:line="240" w:lineRule="auto"/>
              <w:jc w:val="left"/>
            </w:pPr>
            <w:r>
              <w:t>Restore application, tags, historical data, services, and communication</w:t>
            </w:r>
          </w:p>
        </w:tc>
      </w:tr>
      <w:tr>
        <w:tc>
          <w:tcPr>
            <w:tcW w:type="dxa" w:w="3600"/>
          </w:tcPr>
          <w:p>
            <w:pPr>
              <w:spacing w:after="0" w:before="0" w:line="240" w:lineRule="auto"/>
              <w:jc w:val="left"/>
            </w:pPr>
            <w:r>
              <w:t>CNC workstation</w:t>
            </w:r>
          </w:p>
        </w:tc>
        <w:tc>
          <w:tcPr>
            <w:tcW w:type="dxa" w:w="3600"/>
          </w:tcPr>
          <w:p>
            <w:pPr>
              <w:spacing w:after="0" w:before="0" w:line="240" w:lineRule="auto"/>
              <w:jc w:val="left"/>
            </w:pPr>
            <w:r>
              <w:t>Machine interface, programming utilities, diagnostics, or vendor software</w:t>
            </w:r>
          </w:p>
        </w:tc>
        <w:tc>
          <w:tcPr>
            <w:tcW w:type="dxa" w:w="3600"/>
          </w:tcPr>
          <w:p>
            <w:pPr>
              <w:spacing w:after="0" w:before="0" w:line="240" w:lineRule="auto"/>
              <w:jc w:val="left"/>
            </w:pPr>
            <w:r>
              <w:t>Preserve compatible software, machine-specific configuration, and required licenses</w:t>
            </w:r>
          </w:p>
        </w:tc>
      </w:tr>
      <w:tr>
        <w:tc>
          <w:tcPr>
            <w:tcW w:type="dxa" w:w="3600"/>
          </w:tcPr>
          <w:p>
            <w:pPr>
              <w:spacing w:after="0" w:before="0" w:line="240" w:lineRule="auto"/>
              <w:jc w:val="left"/>
            </w:pPr>
            <w:r>
              <w:t>Machine vision</w:t>
            </w:r>
          </w:p>
        </w:tc>
        <w:tc>
          <w:tcPr>
            <w:tcW w:type="dxa" w:w="3600"/>
          </w:tcPr>
          <w:p>
            <w:pPr>
              <w:spacing w:after="0" w:before="0" w:line="240" w:lineRule="auto"/>
              <w:jc w:val="left"/>
            </w:pPr>
            <w:r>
              <w:t>Image acquisition, inspection, and measurement</w:t>
            </w:r>
          </w:p>
        </w:tc>
        <w:tc>
          <w:tcPr>
            <w:tcW w:type="dxa" w:w="3600"/>
          </w:tcPr>
          <w:p>
            <w:pPr>
              <w:spacing w:after="0" w:before="0" w:line="240" w:lineRule="auto"/>
              <w:jc w:val="left"/>
            </w:pPr>
            <w:r>
              <w:t>Restore camera drivers, inspection recipes, calibration data, and image-processing software</w:t>
            </w:r>
          </w:p>
        </w:tc>
      </w:tr>
      <w:tr>
        <w:tc>
          <w:tcPr>
            <w:tcW w:type="dxa" w:w="3600"/>
          </w:tcPr>
          <w:p>
            <w:pPr>
              <w:spacing w:after="0" w:before="0" w:line="240" w:lineRule="auto"/>
              <w:jc w:val="left"/>
            </w:pPr>
            <w:r>
              <w:t>Test bench</w:t>
            </w:r>
          </w:p>
        </w:tc>
        <w:tc>
          <w:tcPr>
            <w:tcW w:type="dxa" w:w="3600"/>
          </w:tcPr>
          <w:p>
            <w:pPr>
              <w:spacing w:after="0" w:before="0" w:line="240" w:lineRule="auto"/>
              <w:jc w:val="left"/>
            </w:pPr>
            <w:r>
              <w:t>Test sequencing, measurements, and result logging</w:t>
            </w:r>
          </w:p>
        </w:tc>
        <w:tc>
          <w:tcPr>
            <w:tcW w:type="dxa" w:w="3600"/>
          </w:tcPr>
          <w:p>
            <w:pPr>
              <w:spacing w:after="0" w:before="0" w:line="240" w:lineRule="auto"/>
              <w:jc w:val="left"/>
            </w:pPr>
            <w:r>
              <w:t>Restore test software, instrument drivers, limits, recipes, and result storage</w:t>
            </w:r>
          </w:p>
        </w:tc>
      </w:tr>
      <w:tr>
        <w:tc>
          <w:tcPr>
            <w:tcW w:type="dxa" w:w="3600"/>
          </w:tcPr>
          <w:p>
            <w:pPr>
              <w:spacing w:after="0" w:before="0" w:line="240" w:lineRule="auto"/>
              <w:jc w:val="left"/>
            </w:pPr>
            <w:r>
              <w:t>PLC engineering station</w:t>
            </w:r>
          </w:p>
        </w:tc>
        <w:tc>
          <w:tcPr>
            <w:tcW w:type="dxa" w:w="3600"/>
          </w:tcPr>
          <w:p>
            <w:pPr>
              <w:spacing w:after="0" w:before="0" w:line="240" w:lineRule="auto"/>
              <w:jc w:val="left"/>
            </w:pPr>
            <w:r>
              <w:t>PLC programming and commissioning</w:t>
            </w:r>
          </w:p>
        </w:tc>
        <w:tc>
          <w:tcPr>
            <w:tcW w:type="dxa" w:w="3600"/>
          </w:tcPr>
          <w:p>
            <w:pPr>
              <w:spacing w:after="0" w:before="0" w:line="240" w:lineRule="auto"/>
              <w:jc w:val="left"/>
            </w:pPr>
            <w:r>
              <w:t>Preserve projects, engineering software, libraries, device descriptions, and licenses</w:t>
            </w:r>
          </w:p>
        </w:tc>
      </w:tr>
      <w:tr>
        <w:tc>
          <w:tcPr>
            <w:tcW w:type="dxa" w:w="3600"/>
          </w:tcPr>
          <w:p>
            <w:pPr>
              <w:spacing w:after="0" w:before="0" w:line="240" w:lineRule="auto"/>
              <w:jc w:val="left"/>
            </w:pPr>
            <w:r>
              <w:t>Industrial data collection</w:t>
            </w:r>
          </w:p>
        </w:tc>
        <w:tc>
          <w:tcPr>
            <w:tcW w:type="dxa" w:w="3600"/>
          </w:tcPr>
          <w:p>
            <w:pPr>
              <w:spacing w:after="0" w:before="0" w:line="240" w:lineRule="auto"/>
              <w:jc w:val="left"/>
            </w:pPr>
            <w:r>
              <w:t>Production monitoring and traceability</w:t>
            </w:r>
          </w:p>
        </w:tc>
        <w:tc>
          <w:tcPr>
            <w:tcW w:type="dxa" w:w="3600"/>
          </w:tcPr>
          <w:p>
            <w:pPr>
              <w:spacing w:after="0" w:before="0" w:line="240" w:lineRule="auto"/>
              <w:jc w:val="left"/>
            </w:pPr>
            <w:r>
              <w:t>Restore data services, mappings, databases, and interfaces</w:t>
            </w:r>
          </w:p>
        </w:tc>
      </w:tr>
      <w:tr>
        <w:tc>
          <w:tcPr>
            <w:tcW w:type="dxa" w:w="3600"/>
          </w:tcPr>
          <w:p>
            <w:pPr>
              <w:spacing w:after="0" w:before="0" w:line="240" w:lineRule="auto"/>
              <w:jc w:val="left"/>
            </w:pPr>
            <w:r>
              <w:t>Robot-cell supervisory PC</w:t>
            </w:r>
          </w:p>
        </w:tc>
        <w:tc>
          <w:tcPr>
            <w:tcW w:type="dxa" w:w="3600"/>
          </w:tcPr>
          <w:p>
            <w:pPr>
              <w:spacing w:after="0" w:before="0" w:line="240" w:lineRule="auto"/>
              <w:jc w:val="left"/>
            </w:pPr>
            <w:r>
              <w:t>Cell monitoring, recipe management, or engineering tools</w:t>
            </w:r>
          </w:p>
        </w:tc>
        <w:tc>
          <w:tcPr>
            <w:tcW w:type="dxa" w:w="3600"/>
          </w:tcPr>
          <w:p>
            <w:pPr>
              <w:spacing w:after="0" w:before="0" w:line="240" w:lineRule="auto"/>
              <w:jc w:val="left"/>
            </w:pPr>
            <w:r>
              <w:t>Preserve cell configuration and robot or PLC communication dependencies</w:t>
            </w:r>
          </w:p>
        </w:tc>
      </w:tr>
      <w:tr>
        <w:tc>
          <w:tcPr>
            <w:tcW w:type="dxa" w:w="3600"/>
          </w:tcPr>
          <w:p>
            <w:pPr>
              <w:spacing w:after="0" w:before="0" w:line="240" w:lineRule="auto"/>
              <w:jc w:val="left"/>
            </w:pPr>
            <w:r>
              <w:t>Quality workstation</w:t>
            </w:r>
          </w:p>
        </w:tc>
        <w:tc>
          <w:tcPr>
            <w:tcW w:type="dxa" w:w="3600"/>
          </w:tcPr>
          <w:p>
            <w:pPr>
              <w:spacing w:after="0" w:before="0" w:line="240" w:lineRule="auto"/>
              <w:jc w:val="left"/>
            </w:pPr>
            <w:r>
              <w:t>Inspection records, quality applications, and reporting</w:t>
            </w:r>
          </w:p>
        </w:tc>
        <w:tc>
          <w:tcPr>
            <w:tcW w:type="dxa" w:w="3600"/>
          </w:tcPr>
          <w:p>
            <w:pPr>
              <w:spacing w:after="0" w:before="0" w:line="240" w:lineRule="auto"/>
              <w:jc w:val="left"/>
            </w:pPr>
            <w:r>
              <w:t>Preserve application configuration, data, and reporting templates</w:t>
            </w:r>
          </w:p>
        </w:tc>
      </w:tr>
      <w:tr>
        <w:tc>
          <w:tcPr>
            <w:tcW w:type="dxa" w:w="3600"/>
          </w:tcPr>
          <w:p>
            <w:pPr>
              <w:spacing w:after="0" w:before="0" w:line="240" w:lineRule="auto"/>
              <w:jc w:val="left"/>
            </w:pPr>
            <w:r>
              <w:t>Gateway or edge computer</w:t>
            </w:r>
          </w:p>
        </w:tc>
        <w:tc>
          <w:tcPr>
            <w:tcW w:type="dxa" w:w="3600"/>
          </w:tcPr>
          <w:p>
            <w:pPr>
              <w:spacing w:after="0" w:before="0" w:line="240" w:lineRule="auto"/>
              <w:jc w:val="left"/>
            </w:pPr>
            <w:r>
              <w:t>Protocol conversion and local data processing</w:t>
            </w:r>
          </w:p>
        </w:tc>
        <w:tc>
          <w:tcPr>
            <w:tcW w:type="dxa" w:w="3600"/>
          </w:tcPr>
          <w:p>
            <w:pPr>
              <w:spacing w:after="0" w:before="0" w:line="240" w:lineRule="auto"/>
              <w:jc w:val="left"/>
            </w:pPr>
            <w:r>
              <w:t>Restore services, certificates, communication mappings, and network settings</w:t>
            </w:r>
          </w:p>
        </w:tc>
      </w:tr>
    </w:tbl>
    <w:p/>
    <w:p>
      <w:r>
        <w:t>The required backup strategy depends on the IPC's role. A computer used only for viewing diagnostic logs does not need the same recovery design as one running a production-critical vision inspection system.</w:t>
      </w:r>
    </w:p>
    <w:p>
      <w:pPr>
        <w:pStyle w:val="Heading2"/>
      </w:pPr>
      <w:r>
        <w:t>3. Industrial IPC architecture</w:t>
      </w:r>
    </w:p>
    <w:p>
      <w:pPr>
        <w:shd w:val="clear" w:color="auto" w:fill="F4F4F4"/>
        <w:spacing w:before="0" w:after="0" w:line="240" w:lineRule="auto"/>
        <w:ind w:left="216" w:right="216"/>
        <w:jc w:val="left"/>
      </w:pPr>
      <w:r>
        <w:rPr>
          <w:rFonts w:ascii="Consolas" w:hAnsi="Consolas"/>
          <w:color w:val="202020"/>
          <w:sz w:val="18"/>
        </w:rPr>
        <w:t>Industrial PC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BIOS / UEFI / Firmware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Storage, RAM, and Device Drivers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 System and System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Runtime and Application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Drivers / OPC Interfaces / Network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Vision / Test-Bench Applications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Recipes / Databases / Logs / Production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 Camera / Instruments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recovery components:</w:t>
      </w:r>
    </w:p>
    <w:p>
      <w:pPr>
        <w:shd w:val="clear" w:color="auto" w:fill="F4F4F4"/>
        <w:spacing w:before="0" w:after="0" w:line="240" w:lineRule="auto"/>
        <w:ind w:left="216" w:right="216"/>
        <w:jc w:val="left"/>
      </w:pPr>
      <w:r>
        <w:rPr>
          <w:rFonts w:ascii="Consolas" w:hAnsi="Consolas"/>
          <w:color w:val="202020"/>
          <w:sz w:val="18"/>
        </w:rPr>
        <w:t>System image, application backups, licenses,</w:t>
      </w:r>
    </w:p>
    <w:p>
      <w:pPr>
        <w:shd w:val="clear" w:color="auto" w:fill="F4F4F4"/>
        <w:spacing w:before="0" w:after="0" w:line="240" w:lineRule="auto"/>
        <w:ind w:left="216" w:right="216"/>
        <w:jc w:val="left"/>
      </w:pPr>
      <w:r>
        <w:rPr>
          <w:rFonts w:ascii="Consolas" w:hAnsi="Consolas"/>
          <w:color w:val="202020"/>
          <w:sz w:val="18"/>
        </w:rPr>
        <w:t>installation media, configuration records,</w:t>
      </w:r>
    </w:p>
    <w:p>
      <w:pPr>
        <w:shd w:val="clear" w:color="auto" w:fill="F4F4F4"/>
        <w:spacing w:before="0" w:after="0" w:line="240" w:lineRule="auto"/>
        <w:ind w:left="216" w:right="216"/>
        <w:jc w:val="left"/>
      </w:pPr>
      <w:r>
        <w:rPr>
          <w:rFonts w:ascii="Consolas" w:hAnsi="Consolas"/>
          <w:color w:val="202020"/>
          <w:sz w:val="18"/>
        </w:rPr>
        <w:t>hardware compatibility records, and recovery procedures</w:t>
      </w:r>
    </w:p>
    <w:p/>
    <w:p>
      <w:r>
        <w:t>An IPC backup must account for dependencies across these layers. Restoring an application folder alone may not restore its services, drivers, registry settings, database connections, runtime environment, or activation state.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IPC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