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Historical Versions by Machine ID</w:t>
      </w:r>
    </w:p>
    <w:p>
      <w:pPr>
        <w:pStyle w:val="Heading2"/>
      </w:pPr>
      <w:r>
        <w:t>1. Purpose and Scope</w:t>
      </w:r>
    </w:p>
    <w:p>
      <w:r>
        <w:t>Machine ID-based historical version management is the practice of associating every backup, configuration file, software version, and recovery record with the correct physical machine or industrial asset.</w:t>
      </w:r>
    </w:p>
    <w:p>
      <w:r>
        <w:t>Date-based organization answers, “When was this version captured?” Machine ID-based organization answers, “Which exact machine does this version belong to?”</w:t>
      </w:r>
    </w:p>
    <w:p>
      <w:r>
        <w:t>Both are necessary. A perfectly preserved backup from the wrong machine is still a very effective way to create a second breakdown.</w:t>
      </w:r>
    </w:p>
    <w:p>
      <w:r>
        <w:t>In industrial maintenance, machine identification is essential because equipment on the same production line may share the same manufacturer, model, software family, and similar configuration. However, their programs, I/O mappings, parameters, calibration values, communication addresses, safety configurations, and production recipes may differ.</w:t>
      </w:r>
    </w:p>
    <w:p>
      <w:r>
        <w:t>The objectives are to:</w:t>
      </w:r>
    </w:p>
    <w:p>
      <w:pPr>
        <w:pStyle w:val="ListBullet"/>
      </w:pPr>
      <w:r>
        <w:t>Prevent backups from being assigned to the wrong machine.</w:t>
      </w:r>
    </w:p>
    <w:p>
      <w:pPr>
        <w:pStyle w:val="ListBullet"/>
      </w:pPr>
      <w:r>
        <w:t>Retrieve the complete history of a specific asset.</w:t>
      </w:r>
    </w:p>
    <w:p>
      <w:pPr>
        <w:pStyle w:val="ListBullet"/>
      </w:pPr>
      <w:r>
        <w:t>Distinguish similar machines and interchangeable devices.</w:t>
      </w:r>
    </w:p>
    <w:p>
      <w:pPr>
        <w:pStyle w:val="ListBullet"/>
      </w:pPr>
      <w:r>
        <w:t>Support disaster recovery and controlled restoration.</w:t>
      </w:r>
    </w:p>
    <w:p>
      <w:pPr>
        <w:pStyle w:val="ListBullet"/>
      </w:pPr>
      <w:r>
        <w:t>Track equipment modifications, retrofits, and migrations.</w:t>
      </w:r>
    </w:p>
    <w:p>
      <w:pPr>
        <w:pStyle w:val="ListBullet"/>
      </w:pPr>
      <w:r>
        <w:t>Link backups to maintenance records, change approvals, and spare-parts records.</w:t>
      </w:r>
    </w:p>
    <w:p>
      <w:pPr>
        <w:pStyle w:val="ListBullet"/>
      </w:pPr>
      <w:r>
        <w:t>Improve auditability and configuration control.</w:t>
      </w:r>
    </w:p>
    <w:p>
      <w:pPr>
        <w:pStyle w:val="ListBullet"/>
      </w:pPr>
      <w:r>
        <w:t>Preserve the relationship between a machine and its installed automation components.</w:t>
      </w:r>
    </w:p>
    <w:p>
      <w:pPr>
        <w:pStyle w:val="Heading2"/>
      </w:pPr>
      <w:r>
        <w:t>2. Machine ID: Meaning and Terminology</w:t>
      </w:r>
    </w:p>
    <w:p>
      <w:r>
        <w:t>A Machine ID is a unique identifier assigned to a physical machine or defined equipment asset within an organization's asset-management system.</w:t>
      </w:r>
    </w:p>
    <w:p>
      <w:r>
        <w:t>It should remain stable even when the machine's name, location, controller, software, or production assignment changes.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ID</w:t>
            </w:r>
          </w:p>
        </w:tc>
        <w:tc>
          <w:tcPr>
            <w:tcW w:type="dxa" w:w="3600"/>
          </w:tcPr>
          <w:p>
            <w:pPr>
              <w:spacing w:after="0" w:before="0" w:line="240" w:lineRule="auto"/>
              <w:jc w:val="left"/>
            </w:pPr>
            <w:r>
              <w:t>Identifier for a physical machine or managed asset</w:t>
            </w:r>
          </w:p>
        </w:tc>
        <w:tc>
          <w:tcPr>
            <w:tcW w:type="dxa" w:w="3600"/>
          </w:tcPr>
          <w:p>
            <w:pPr>
              <w:spacing w:after="0" w:before="0" w:line="240" w:lineRule="auto"/>
              <w:jc w:val="left"/>
            </w:pPr>
            <w:r>
              <w:rPr>
                <w:rFonts w:ascii="Consolas" w:hAnsi="Consolas"/>
                <w:color w:val="333333"/>
                <w:sz w:val="19"/>
                <w:shd w:val="clear" w:color="auto" w:fill="EFEFEF"/>
              </w:rPr>
              <w:t>TB-014</w:t>
            </w:r>
          </w:p>
        </w:tc>
      </w:tr>
      <w:tr>
        <w:tc>
          <w:tcPr>
            <w:tcW w:type="dxa" w:w="3600"/>
          </w:tcPr>
          <w:p>
            <w:pPr>
              <w:spacing w:after="0" w:before="0" w:line="240" w:lineRule="auto"/>
              <w:jc w:val="left"/>
            </w:pPr>
            <w:r>
              <w:t>Asset ID</w:t>
            </w:r>
          </w:p>
        </w:tc>
        <w:tc>
          <w:tcPr>
            <w:tcW w:type="dxa" w:w="3600"/>
          </w:tcPr>
          <w:p>
            <w:pPr>
              <w:spacing w:after="0" w:before="0" w:line="240" w:lineRule="auto"/>
              <w:jc w:val="left"/>
            </w:pPr>
            <w:r>
              <w:t>Identifier assigned in the asset register</w:t>
            </w:r>
          </w:p>
        </w:tc>
        <w:tc>
          <w:tcPr>
            <w:tcW w:type="dxa" w:w="3600"/>
          </w:tcPr>
          <w:p>
            <w:pPr>
              <w:spacing w:after="0" w:before="0" w:line="240" w:lineRule="auto"/>
              <w:jc w:val="left"/>
            </w:pPr>
            <w:r>
              <w:rPr>
                <w:rFonts w:ascii="Consolas" w:hAnsi="Consolas"/>
                <w:color w:val="333333"/>
                <w:sz w:val="19"/>
                <w:shd w:val="clear" w:color="auto" w:fill="EFEFEF"/>
              </w:rPr>
              <w:t>AST-010214</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Identifier used on drawings or plant documentation</w:t>
            </w:r>
          </w:p>
        </w:tc>
        <w:tc>
          <w:tcPr>
            <w:tcW w:type="dxa" w:w="3600"/>
          </w:tcPr>
          <w:p>
            <w:pPr>
              <w:spacing w:after="0" w:before="0" w:line="240" w:lineRule="auto"/>
              <w:jc w:val="left"/>
            </w:pPr>
            <w:r>
              <w:rPr>
                <w:rFonts w:ascii="Consolas" w:hAnsi="Consolas"/>
                <w:color w:val="333333"/>
                <w:sz w:val="19"/>
                <w:shd w:val="clear" w:color="auto" w:fill="EFEFEF"/>
              </w:rPr>
              <w:t>PLC-TB014</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Manufacturer-assigned equipment identity</w:t>
            </w:r>
          </w:p>
        </w:tc>
        <w:tc>
          <w:tcPr>
            <w:tcW w:type="dxa" w:w="3600"/>
          </w:tcPr>
          <w:p>
            <w:pPr>
              <w:spacing w:after="0" w:before="0" w:line="240" w:lineRule="auto"/>
              <w:jc w:val="left"/>
            </w:pPr>
            <w:r>
              <w:rPr>
                <w:rFonts w:ascii="Consolas" w:hAnsi="Consolas"/>
                <w:color w:val="333333"/>
                <w:sz w:val="19"/>
                <w:shd w:val="clear" w:color="auto" w:fill="EFEFEF"/>
              </w:rPr>
              <w:t>SN-ABC12345</w:t>
            </w:r>
          </w:p>
        </w:tc>
      </w:tr>
      <w:tr>
        <w:tc>
          <w:tcPr>
            <w:tcW w:type="dxa" w:w="3600"/>
          </w:tcPr>
          <w:p>
            <w:pPr>
              <w:spacing w:after="0" w:before="0" w:line="240" w:lineRule="auto"/>
              <w:jc w:val="left"/>
            </w:pPr>
            <w:r>
              <w:t>Model number</w:t>
            </w:r>
          </w:p>
        </w:tc>
        <w:tc>
          <w:tcPr>
            <w:tcW w:type="dxa" w:w="3600"/>
          </w:tcPr>
          <w:p>
            <w:pPr>
              <w:spacing w:after="0" w:before="0" w:line="240" w:lineRule="auto"/>
              <w:jc w:val="left"/>
            </w:pPr>
            <w:r>
              <w:t>Manufacturer's product model</w:t>
            </w:r>
          </w:p>
        </w:tc>
        <w:tc>
          <w:tcPr>
            <w:tcW w:type="dxa" w:w="3600"/>
          </w:tcPr>
          <w:p>
            <w:pPr>
              <w:spacing w:after="0" w:before="0" w:line="240" w:lineRule="auto"/>
              <w:jc w:val="left"/>
            </w:pPr>
            <w:r>
              <w:rPr>
                <w:rFonts w:ascii="Consolas" w:hAnsi="Consolas"/>
                <w:color w:val="333333"/>
                <w:sz w:val="19"/>
                <w:shd w:val="clear" w:color="auto" w:fill="EFEFEF"/>
              </w:rPr>
              <w:t>1756-L73S</w:t>
            </w:r>
          </w:p>
        </w:tc>
      </w:tr>
      <w:tr>
        <w:tc>
          <w:tcPr>
            <w:tcW w:type="dxa" w:w="3600"/>
          </w:tcPr>
          <w:p>
            <w:pPr>
              <w:spacing w:after="0" w:before="0" w:line="240" w:lineRule="auto"/>
              <w:jc w:val="left"/>
            </w:pPr>
            <w:r>
              <w:t>Device ID</w:t>
            </w:r>
          </w:p>
        </w:tc>
        <w:tc>
          <w:tcPr>
            <w:tcW w:type="dxa" w:w="3600"/>
          </w:tcPr>
          <w:p>
            <w:pPr>
              <w:spacing w:after="0" w:before="0" w:line="240" w:lineRule="auto"/>
              <w:jc w:val="left"/>
            </w:pPr>
            <w:r>
              <w:t>Identifier for a specific installed component</w:t>
            </w:r>
          </w:p>
        </w:tc>
        <w:tc>
          <w:tcPr>
            <w:tcW w:type="dxa" w:w="3600"/>
          </w:tcPr>
          <w:p>
            <w:pPr>
              <w:spacing w:after="0" w:before="0" w:line="240" w:lineRule="auto"/>
              <w:jc w:val="left"/>
            </w:pPr>
            <w:r>
              <w:rPr>
                <w:rFonts w:ascii="Consolas" w:hAnsi="Consolas"/>
                <w:color w:val="333333"/>
                <w:sz w:val="19"/>
                <w:shd w:val="clear" w:color="auto" w:fill="EFEFEF"/>
              </w:rPr>
              <w:t>PLC-TB014-CPU01</w:t>
            </w:r>
          </w:p>
        </w:tc>
      </w:tr>
      <w:tr>
        <w:tc>
          <w:tcPr>
            <w:tcW w:type="dxa" w:w="3600"/>
          </w:tcPr>
          <w:p>
            <w:pPr>
              <w:spacing w:after="0" w:before="0" w:line="240" w:lineRule="auto"/>
              <w:jc w:val="left"/>
            </w:pPr>
            <w:r>
              <w:t>Location ID</w:t>
            </w:r>
          </w:p>
        </w:tc>
        <w:tc>
          <w:tcPr>
            <w:tcW w:type="dxa" w:w="3600"/>
          </w:tcPr>
          <w:p>
            <w:pPr>
              <w:spacing w:after="0" w:before="0" w:line="240" w:lineRule="auto"/>
              <w:jc w:val="left"/>
            </w:pPr>
            <w:r>
              <w:t>Plant, building, line, or station location</w:t>
            </w:r>
          </w:p>
        </w:tc>
        <w:tc>
          <w:tcPr>
            <w:tcW w:type="dxa" w:w="3600"/>
          </w:tcPr>
          <w:p>
            <w:pPr>
              <w:spacing w:after="0" w:before="0" w:line="240" w:lineRule="auto"/>
              <w:jc w:val="left"/>
            </w:pPr>
            <w:r>
              <w:rPr>
                <w:rFonts w:ascii="Consolas" w:hAnsi="Consolas"/>
                <w:color w:val="333333"/>
                <w:sz w:val="19"/>
                <w:shd w:val="clear" w:color="auto" w:fill="EFEFEF"/>
              </w:rPr>
              <w:t>PLANT1-LINE03</w:t>
            </w:r>
          </w:p>
        </w:tc>
      </w:tr>
      <w:tr>
        <w:tc>
          <w:tcPr>
            <w:tcW w:type="dxa" w:w="3600"/>
          </w:tcPr>
          <w:p>
            <w:pPr>
              <w:spacing w:after="0" w:before="0" w:line="240" w:lineRule="auto"/>
              <w:jc w:val="left"/>
            </w:pPr>
            <w:r>
              <w:t>Backup ID</w:t>
            </w:r>
          </w:p>
        </w:tc>
        <w:tc>
          <w:tcPr>
            <w:tcW w:type="dxa" w:w="3600"/>
          </w:tcPr>
          <w:p>
            <w:pPr>
              <w:spacing w:after="0" w:before="0" w:line="240" w:lineRule="auto"/>
              <w:jc w:val="left"/>
            </w:pPr>
            <w:r>
              <w:t>Unique identifier for a backup record</w:t>
            </w:r>
          </w:p>
        </w:tc>
        <w:tc>
          <w:tcPr>
            <w:tcW w:type="dxa" w:w="3600"/>
          </w:tcPr>
          <w:p>
            <w:pPr>
              <w:spacing w:after="0" w:before="0" w:line="240" w:lineRule="auto"/>
              <w:jc w:val="left"/>
            </w:pPr>
            <w:r>
              <w:rPr>
                <w:rFonts w:ascii="Consolas" w:hAnsi="Consolas"/>
                <w:color w:val="333333"/>
                <w:sz w:val="19"/>
                <w:shd w:val="clear" w:color="auto" w:fill="EFEFEF"/>
              </w:rPr>
              <w:t>BKP-20261017-0042</w:t>
            </w:r>
          </w:p>
        </w:tc>
      </w:tr>
      <w:tr>
        <w:tc>
          <w:tcPr>
            <w:tcW w:type="dxa" w:w="3600"/>
          </w:tcPr>
          <w:p>
            <w:pPr>
              <w:spacing w:after="0" w:before="0" w:line="240" w:lineRule="auto"/>
              <w:jc w:val="left"/>
            </w:pPr>
            <w:r>
              <w:t>Configuration ID</w:t>
            </w:r>
          </w:p>
        </w:tc>
        <w:tc>
          <w:tcPr>
            <w:tcW w:type="dxa" w:w="3600"/>
          </w:tcPr>
          <w:p>
            <w:pPr>
              <w:spacing w:after="0" w:before="0" w:line="240" w:lineRule="auto"/>
              <w:jc w:val="left"/>
            </w:pPr>
            <w:r>
              <w:t>Identifier for a defined configuration baseline</w:t>
            </w:r>
          </w:p>
        </w:tc>
        <w:tc>
          <w:tcPr>
            <w:tcW w:type="dxa" w:w="3600"/>
          </w:tcPr>
          <w:p>
            <w:pPr>
              <w:spacing w:after="0" w:before="0" w:line="240" w:lineRule="auto"/>
              <w:jc w:val="left"/>
            </w:pPr>
            <w:r>
              <w:rPr>
                <w:rFonts w:ascii="Consolas" w:hAnsi="Consolas"/>
                <w:color w:val="333333"/>
                <w:sz w:val="19"/>
                <w:shd w:val="clear" w:color="auto" w:fill="EFEFEF"/>
              </w:rPr>
              <w:t>CFG-TB014-PLC-R003</w:t>
            </w:r>
          </w:p>
        </w:tc>
      </w:tr>
      <w:tr>
        <w:tc>
          <w:tcPr>
            <w:tcW w:type="dxa" w:w="3600"/>
          </w:tcPr>
          <w:p>
            <w:pPr>
              <w:spacing w:after="0" w:before="0" w:line="240" w:lineRule="auto"/>
              <w:jc w:val="left"/>
            </w:pPr>
            <w:r>
              <w:t>Change ID</w:t>
            </w:r>
          </w:p>
        </w:tc>
        <w:tc>
          <w:tcPr>
            <w:tcW w:type="dxa" w:w="3600"/>
          </w:tcPr>
          <w:p>
            <w:pPr>
              <w:spacing w:after="0" w:before="0" w:line="240" w:lineRule="auto"/>
              <w:jc w:val="left"/>
            </w:pPr>
            <w:r>
              <w:t>Reference to an approved change or work record</w:t>
            </w:r>
          </w:p>
        </w:tc>
        <w:tc>
          <w:tcPr>
            <w:tcW w:type="dxa" w:w="3600"/>
          </w:tcPr>
          <w:p>
            <w:pPr>
              <w:spacing w:after="0" w:before="0" w:line="240" w:lineRule="auto"/>
              <w:jc w:val="left"/>
            </w:pPr>
            <w:r>
              <w:rPr>
                <w:rFonts w:ascii="Consolas" w:hAnsi="Consolas"/>
                <w:color w:val="333333"/>
                <w:sz w:val="19"/>
                <w:shd w:val="clear" w:color="auto" w:fill="EFEFEF"/>
              </w:rPr>
              <w:t>CHG-2026-0184</w:t>
            </w:r>
          </w:p>
        </w:tc>
      </w:tr>
    </w:tbl>
    <w:p/>
    <w:p>
      <w:r>
        <w:t>These identifiers are not interchangeable. A serial number identifies a manufacturer's device; a Machine ID identifies the managed machine or asset. A machine may contain dozens of separately identified devices.</w:t>
      </w:r>
    </w:p>
    <w:p>
      <w:pPr>
        <w:pStyle w:val="Heading2"/>
      </w:pPr>
      <w:r>
        <w:t>3. Machine ID Hierarchy in an Industrial Plant</w:t>
      </w:r>
    </w:p>
    <w:p>
      <w:r>
        <w:t>A practical identification structure may follow the plant's existing asset hierarchy.</w:t>
      </w:r>
    </w:p>
    <w:p>
      <w:pPr>
        <w:shd w:val="clear" w:color="auto" w:fill="F4F4F4"/>
        <w:spacing w:before="0" w:after="0" w:line="240" w:lineRule="auto"/>
        <w:ind w:left="216" w:right="216"/>
        <w:jc w:val="left"/>
      </w:pPr>
      <w:r>
        <w:rPr>
          <w:rFonts w:ascii="Consolas" w:hAnsi="Consolas"/>
          <w:color w:val="202020"/>
          <w:sz w:val="18"/>
        </w:rPr>
        <w:t>Company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Historical Backup Versions</w:t>
      </w:r>
    </w:p>
    <w:p/>
    <w:p>
      <w:r>
        <w:t>Example:</w:t>
      </w:r>
    </w:p>
    <w:p>
      <w:pPr>
        <w:shd w:val="clear" w:color="auto" w:fill="F4F4F4"/>
        <w:spacing w:before="0" w:after="0" w:line="240" w:lineRule="auto"/>
        <w:ind w:left="216" w:right="216"/>
        <w:jc w:val="left"/>
      </w:pPr>
      <w:r>
        <w:rPr>
          <w:rFonts w:ascii="Consolas" w:hAnsi="Consolas"/>
          <w:color w:val="202020"/>
          <w:sz w:val="18"/>
        </w:rPr>
        <w:t>PLANT: PUNE01</w:t>
      </w:r>
    </w:p>
    <w:p>
      <w:pPr>
        <w:shd w:val="clear" w:color="auto" w:fill="F4F4F4"/>
        <w:spacing w:before="0" w:after="0" w:line="240" w:lineRule="auto"/>
        <w:ind w:left="216" w:right="216"/>
        <w:jc w:val="left"/>
      </w:pPr>
      <w:r>
        <w:rPr>
          <w:rFonts w:ascii="Consolas" w:hAnsi="Consolas"/>
          <w:color w:val="202020"/>
          <w:sz w:val="18"/>
        </w:rPr>
        <w:t>AREA: POWERTRAIN</w:t>
      </w:r>
    </w:p>
    <w:p>
      <w:pPr>
        <w:shd w:val="clear" w:color="auto" w:fill="F4F4F4"/>
        <w:spacing w:before="0" w:after="0" w:line="240" w:lineRule="auto"/>
        <w:ind w:left="216" w:right="216"/>
        <w:jc w:val="left"/>
      </w:pPr>
      <w:r>
        <w:rPr>
          <w:rFonts w:ascii="Consolas" w:hAnsi="Consolas"/>
          <w:color w:val="202020"/>
          <w:sz w:val="18"/>
        </w:rPr>
        <w:t>LINE: LINE03</w:t>
      </w:r>
    </w:p>
    <w:p>
      <w:pPr>
        <w:shd w:val="clear" w:color="auto" w:fill="F4F4F4"/>
        <w:spacing w:before="0" w:after="0" w:line="240" w:lineRule="auto"/>
        <w:ind w:left="216" w:right="216"/>
        <w:jc w:val="left"/>
      </w:pPr>
      <w:r>
        <w:rPr>
          <w:rFonts w:ascii="Consolas" w:hAnsi="Consolas"/>
          <w:color w:val="202020"/>
          <w:sz w:val="18"/>
        </w:rPr>
        <w:t>MACHINE_ID: TB-014</w:t>
      </w:r>
    </w:p>
    <w:p>
      <w:pPr>
        <w:shd w:val="clear" w:color="auto" w:fill="F4F4F4"/>
        <w:spacing w:before="0" w:after="0" w:line="240" w:lineRule="auto"/>
        <w:ind w:left="216" w:right="216"/>
        <w:jc w:val="left"/>
      </w:pPr>
      <w:r>
        <w:rPr>
          <w:rFonts w:ascii="Consolas" w:hAnsi="Consolas"/>
          <w:color w:val="202020"/>
          <w:sz w:val="18"/>
        </w:rPr>
        <w:t>SUBSYSTEM: PLC_CONTROL</w:t>
      </w:r>
    </w:p>
    <w:p>
      <w:pPr>
        <w:shd w:val="clear" w:color="auto" w:fill="F4F4F4"/>
        <w:spacing w:before="0" w:after="0" w:line="240" w:lineRule="auto"/>
        <w:ind w:left="216" w:right="216"/>
        <w:jc w:val="left"/>
      </w:pPr>
      <w:r>
        <w:rPr>
          <w:rFonts w:ascii="Consolas" w:hAnsi="Consolas"/>
          <w:color w:val="202020"/>
          <w:sz w:val="18"/>
        </w:rPr>
        <w:t>DEVICE_ID: PLC-TB014-CPU01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HISTORICAL_VERSIONS/</w:t>
      </w:r>
    </w:p>
    <w:p>
      <w:pPr>
        <w:shd w:val="clear" w:color="auto" w:fill="F4F4F4"/>
        <w:spacing w:before="0" w:after="0" w:line="240" w:lineRule="auto"/>
        <w:ind w:left="216" w:right="216"/>
        <w:jc w:val="left"/>
      </w:pPr>
      <w:r>
        <w:rPr>
          <w:rFonts w:ascii="Consolas" w:hAnsi="Consolas"/>
          <w:color w:val="202020"/>
          <w:sz w:val="18"/>
        </w:rPr>
        <w:t xml:space="preserve">    ├── 2026-10-10/</w:t>
      </w:r>
    </w:p>
    <w:p>
      <w:pPr>
        <w:shd w:val="clear" w:color="auto" w:fill="F4F4F4"/>
        <w:spacing w:before="0" w:after="0" w:line="240" w:lineRule="auto"/>
        <w:ind w:left="216" w:right="216"/>
        <w:jc w:val="left"/>
      </w:pPr>
      <w:r>
        <w:rPr>
          <w:rFonts w:ascii="Consolas" w:hAnsi="Consolas"/>
          <w:color w:val="202020"/>
          <w:sz w:val="18"/>
        </w:rPr>
        <w:t xml:space="preserve">    ├── 2026-10-14/</w:t>
      </w:r>
    </w:p>
    <w:p>
      <w:pPr>
        <w:shd w:val="clear" w:color="auto" w:fill="F4F4F4"/>
        <w:spacing w:before="0" w:after="0" w:line="240" w:lineRule="auto"/>
        <w:ind w:left="216" w:right="216"/>
        <w:jc w:val="left"/>
      </w:pPr>
      <w:r>
        <w:rPr>
          <w:rFonts w:ascii="Consolas" w:hAnsi="Consolas"/>
          <w:color w:val="202020"/>
          <w:sz w:val="18"/>
        </w:rPr>
        <w:t xml:space="preserve">    └── 2026-10-17/</w:t>
      </w:r>
    </w:p>
    <w:p/>
    <w:p>
      <w:r>
        <w:t>The exact hierarchy depends on the organization's asset-management standard. Existing SAP equipment numbers, CMMS asset IDs, engineering tags, and approved machine identifiers should be reused wherever practical instead of creating conflicting identifiers.</w:t>
      </w:r>
    </w:p>
    <w:p>
      <w:pPr>
        <w:pStyle w:val="Heading2"/>
      </w:pPr>
      <w:r>
        <w:t>4. Why Machine ID Is Critical for Backup and Disaster Recovery</w:t>
      </w:r>
    </w:p>
    <w:p>
      <w:r>
        <w:t>Consider three similar test benches in a factory:</w:t>
      </w:r>
    </w:p>
    <w:p>
      <w:pPr>
        <w:pStyle w:val="ListBullet"/>
      </w:pPr>
      <w:r>
        <w:rPr>
          <w:rFonts w:ascii="Consolas" w:hAnsi="Consolas"/>
          <w:color w:val="333333"/>
          <w:sz w:val="19"/>
          <w:shd w:val="clear" w:color="auto" w:fill="EFEFEF"/>
        </w:rPr>
        <w:t>TB-012</w:t>
      </w:r>
    </w:p>
    <w:p>
      <w:pPr>
        <w:pStyle w:val="ListBullet"/>
      </w:pPr>
      <w:r>
        <w:rPr>
          <w:rFonts w:ascii="Consolas" w:hAnsi="Consolas"/>
          <w:color w:val="333333"/>
          <w:sz w:val="19"/>
          <w:shd w:val="clear" w:color="auto" w:fill="EFEFEF"/>
        </w:rPr>
        <w:t>TB-013</w:t>
      </w:r>
    </w:p>
    <w:p>
      <w:pPr>
        <w:pStyle w:val="ListBullet"/>
      </w:pPr>
      <w:r>
        <w:rPr>
          <w:rFonts w:ascii="Consolas" w:hAnsi="Consolas"/>
          <w:color w:val="333333"/>
          <w:sz w:val="19"/>
          <w:shd w:val="clear" w:color="auto" w:fill="EFEFEF"/>
        </w:rPr>
        <w:t>TB-014</w:t>
      </w:r>
    </w:p>
    <w:p>
      <w:r>
        <w:t>All three use the same PLC family and similar HMI screens. Their programs may nevertheless differ because of different sensors, station sequences, communication settings, test parameters, and production requirements.</w:t>
      </w:r>
    </w:p>
    <w:p>
      <w:r>
        <w:t xml:space="preserve">If a backup from </w:t>
      </w:r>
      <w:r>
        <w:rPr>
          <w:rFonts w:ascii="Consolas" w:hAnsi="Consolas"/>
          <w:color w:val="333333"/>
          <w:sz w:val="19"/>
          <w:shd w:val="clear" w:color="auto" w:fill="EFEFEF"/>
        </w:rPr>
        <w:t>TB-012</w:t>
      </w:r>
      <w:r>
        <w:t xml:space="preserve"> is restored to </w:t>
      </w:r>
      <w:r>
        <w:rPr>
          <w:rFonts w:ascii="Consolas" w:hAnsi="Consolas"/>
          <w:color w:val="333333"/>
          <w:sz w:val="19"/>
          <w:shd w:val="clear" w:color="auto" w:fill="EFEFEF"/>
        </w:rPr>
        <w:t>TB-014</w:t>
      </w:r>
      <w:r>
        <w:t xml:space="preserve"> without checking compatibility, possible consequences include:</w:t>
      </w:r>
    </w:p>
    <w:p>
      <w:pPr>
        <w:pStyle w:val="ListBullet"/>
      </w:pPr>
      <w:r>
        <w:t>Incorrect input and output mapping.</w:t>
      </w:r>
    </w:p>
    <w:p>
      <w:pPr>
        <w:pStyle w:val="ListBullet"/>
      </w:pPr>
      <w:r>
        <w:t>Unexpected actuator operation.</w:t>
      </w:r>
    </w:p>
    <w:p>
      <w:pPr>
        <w:pStyle w:val="ListBullet"/>
      </w:pPr>
      <w:r>
        <w:t>Incorrect station sequencing.</w:t>
      </w:r>
    </w:p>
    <w:p>
      <w:pPr>
        <w:pStyle w:val="ListBullet"/>
      </w:pPr>
      <w:r>
        <w:t>Communication failures.</w:t>
      </w:r>
    </w:p>
    <w:p>
      <w:pPr>
        <w:pStyle w:val="ListBullet"/>
      </w:pPr>
      <w:r>
        <w:t>Incorrect test limits or quality decisions.</w:t>
      </w:r>
    </w:p>
    <w:p>
      <w:pPr>
        <w:pStyle w:val="ListBullet"/>
      </w:pPr>
      <w:r>
        <w:t>Loss of HMI communication.</w:t>
      </w:r>
    </w:p>
    <w:p>
      <w:pPr>
        <w:pStyle w:val="ListBullet"/>
      </w:pPr>
      <w:r>
        <w:t>Incorrect safety-related configuration.</w:t>
      </w:r>
    </w:p>
    <w:p>
      <w:pPr>
        <w:pStyle w:val="ListBullet"/>
      </w:pPr>
      <w:r>
        <w:t>Production downtime or equipment damage.</w:t>
      </w:r>
    </w:p>
    <w:p>
      <w:r>
        <w:t>A matching model number does not establish configuration compatibility.</w:t>
      </w:r>
    </w:p>
    <w:p>
      <w:r>
        <w:t>Core rule: Verify the physical machine identity and the target device identity before selecting or restoring any backup.</w:t>
      </w:r>
    </w:p>
    <w:p>
      <w:pPr>
        <w:pStyle w:val="Heading2"/>
      </w:pPr>
      <w:r>
        <w:t>5. Designing a Machine ID Convention</w:t>
      </w:r>
    </w:p>
    <w:p>
      <w:r>
        <w:t>A good Machine ID convention should be unique, stable, readable, scalable, and consistent with plant standards.</w:t>
      </w:r>
    </w:p>
    <w:p>
      <w:r>
        <w:t>Example pattern:</w:t>
      </w:r>
    </w:p>
    <w:p>
      <w:r>
        <w:rPr>
          <w:rFonts w:ascii="Consolas" w:hAnsi="Consolas"/>
          <w:color w:val="333333"/>
          <w:sz w:val="19"/>
          <w:shd w:val="clear" w:color="auto" w:fill="EFEFEF"/>
        </w:rPr>
        <w:t>PLANT-AREA-LINE-MACHINE</w:t>
      </w:r>
    </w:p>
    <w:p>
      <w:r>
        <w:t>Examples:</w:t>
      </w:r>
    </w:p>
    <w:p>
      <w:pPr>
        <w:shd w:val="clear" w:color="auto" w:fill="F4F4F4"/>
        <w:spacing w:before="0" w:after="0" w:line="240" w:lineRule="auto"/>
        <w:ind w:left="216" w:right="216"/>
        <w:jc w:val="left"/>
      </w:pPr>
      <w:r>
        <w:rPr>
          <w:rFonts w:ascii="Consolas" w:hAnsi="Consolas"/>
          <w:color w:val="202020"/>
          <w:sz w:val="18"/>
        </w:rPr>
        <w:t>P01-PT-L03-TB014</w:t>
      </w:r>
    </w:p>
    <w:p>
      <w:pPr>
        <w:shd w:val="clear" w:color="auto" w:fill="F4F4F4"/>
        <w:spacing w:before="0" w:after="0" w:line="240" w:lineRule="auto"/>
        <w:ind w:left="216" w:right="216"/>
        <w:jc w:val="left"/>
      </w:pPr>
      <w:r>
        <w:rPr>
          <w:rFonts w:ascii="Consolas" w:hAnsi="Consolas"/>
          <w:color w:val="202020"/>
          <w:sz w:val="18"/>
        </w:rPr>
        <w:t>P01-BIW-L02-RBT006</w:t>
      </w:r>
    </w:p>
    <w:p>
      <w:pPr>
        <w:shd w:val="clear" w:color="auto" w:fill="F4F4F4"/>
        <w:spacing w:before="0" w:after="0" w:line="240" w:lineRule="auto"/>
        <w:ind w:left="216" w:right="216"/>
        <w:jc w:val="left"/>
      </w:pPr>
      <w:r>
        <w:rPr>
          <w:rFonts w:ascii="Consolas" w:hAnsi="Consolas"/>
          <w:color w:val="202020"/>
          <w:sz w:val="18"/>
        </w:rPr>
        <w:t>P01-ASSY-L01-CNC012</w:t>
      </w:r>
    </w:p>
    <w:p>
      <w:pPr>
        <w:shd w:val="clear" w:color="auto" w:fill="F4F4F4"/>
        <w:spacing w:before="0" w:after="0" w:line="240" w:lineRule="auto"/>
        <w:ind w:left="216" w:right="216"/>
        <w:jc w:val="left"/>
      </w:pPr>
      <w:r>
        <w:rPr>
          <w:rFonts w:ascii="Consolas" w:hAnsi="Consolas"/>
          <w:color w:val="202020"/>
          <w:sz w:val="18"/>
        </w:rPr>
        <w:t>P01-QA-L04-VSN003</w:t>
      </w:r>
    </w:p>
    <w:p/>
    <w:p>
      <w:r>
        <w:t>These are illustrative identifiers, not universal standards.</w:t>
      </w:r>
    </w:p>
    <w:p>
      <w:r>
        <w:t>Possible components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Plant</w:t>
            </w:r>
          </w:p>
        </w:tc>
        <w:tc>
          <w:tcPr>
            <w:tcW w:type="dxa" w:w="3600"/>
          </w:tcPr>
          <w:p>
            <w:pPr>
              <w:spacing w:after="0" w:before="0" w:line="240" w:lineRule="auto"/>
              <w:jc w:val="left"/>
            </w:pPr>
            <w:r>
              <w:rPr>
                <w:rFonts w:ascii="Consolas" w:hAnsi="Consolas"/>
                <w:color w:val="333333"/>
                <w:sz w:val="19"/>
                <w:shd w:val="clear" w:color="auto" w:fill="EFEFEF"/>
              </w:rPr>
              <w:t>P01</w:t>
            </w:r>
          </w:p>
        </w:tc>
        <w:tc>
          <w:tcPr>
            <w:tcW w:type="dxa" w:w="3600"/>
          </w:tcPr>
          <w:p>
            <w:pPr>
              <w:spacing w:after="0" w:before="0" w:line="240" w:lineRule="auto"/>
              <w:jc w:val="left"/>
            </w:pPr>
            <w:r>
              <w:t>Identifies the plant</w:t>
            </w:r>
          </w:p>
        </w:tc>
      </w:tr>
      <w:tr>
        <w:tc>
          <w:tcPr>
            <w:tcW w:type="dxa" w:w="3600"/>
          </w:tcPr>
          <w:p>
            <w:pPr>
              <w:spacing w:after="0" w:before="0" w:line="240" w:lineRule="auto"/>
              <w:jc w:val="left"/>
            </w:pPr>
            <w:r>
              <w:t>Area</w:t>
            </w:r>
          </w:p>
        </w:tc>
        <w:tc>
          <w:tcPr>
            <w:tcW w:type="dxa" w:w="3600"/>
          </w:tcPr>
          <w:p>
            <w:pPr>
              <w:spacing w:after="0" w:before="0" w:line="240" w:lineRule="auto"/>
              <w:jc w:val="left"/>
            </w:pPr>
            <w:r>
              <w:rPr>
                <w:rFonts w:ascii="Consolas" w:hAnsi="Consolas"/>
                <w:color w:val="333333"/>
                <w:sz w:val="19"/>
                <w:shd w:val="clear" w:color="auto" w:fill="EFEFEF"/>
              </w:rPr>
              <w:t>PT</w:t>
            </w:r>
          </w:p>
        </w:tc>
        <w:tc>
          <w:tcPr>
            <w:tcW w:type="dxa" w:w="3600"/>
          </w:tcPr>
          <w:p>
            <w:pPr>
              <w:spacing w:after="0" w:before="0" w:line="240" w:lineRule="auto"/>
              <w:jc w:val="left"/>
            </w:pPr>
            <w:r>
              <w:t>Identifies the production area</w:t>
            </w:r>
          </w:p>
        </w:tc>
      </w:tr>
      <w:tr>
        <w:tc>
          <w:tcPr>
            <w:tcW w:type="dxa" w:w="3600"/>
          </w:tcPr>
          <w:p>
            <w:pPr>
              <w:spacing w:after="0" w:before="0" w:line="240" w:lineRule="auto"/>
              <w:jc w:val="left"/>
            </w:pPr>
            <w:r>
              <w:t>Line</w:t>
            </w:r>
          </w:p>
        </w:tc>
        <w:tc>
          <w:tcPr>
            <w:tcW w:type="dxa" w:w="3600"/>
          </w:tcPr>
          <w:p>
            <w:pPr>
              <w:spacing w:after="0" w:before="0" w:line="240" w:lineRule="auto"/>
              <w:jc w:val="left"/>
            </w:pPr>
            <w:r>
              <w:rPr>
                <w:rFonts w:ascii="Consolas" w:hAnsi="Consolas"/>
                <w:color w:val="333333"/>
                <w:sz w:val="19"/>
                <w:shd w:val="clear" w:color="auto" w:fill="EFEFEF"/>
              </w:rPr>
              <w:t>L03</w:t>
            </w:r>
          </w:p>
        </w:tc>
        <w:tc>
          <w:tcPr>
            <w:tcW w:type="dxa" w:w="3600"/>
          </w:tcPr>
          <w:p>
            <w:pPr>
              <w:spacing w:after="0" w:before="0" w:line="240" w:lineRule="auto"/>
              <w:jc w:val="left"/>
            </w:pPr>
            <w:r>
              <w:t>Identifies the line</w:t>
            </w:r>
          </w:p>
        </w:tc>
      </w:tr>
      <w:tr>
        <w:tc>
          <w:tcPr>
            <w:tcW w:type="dxa" w:w="3600"/>
          </w:tcPr>
          <w:p>
            <w:pPr>
              <w:spacing w:after="0" w:before="0" w:line="240" w:lineRule="auto"/>
              <w:jc w:val="left"/>
            </w:pPr>
            <w:r>
              <w:t>Machine type</w:t>
            </w:r>
          </w:p>
        </w:tc>
        <w:tc>
          <w:tcPr>
            <w:tcW w:type="dxa" w:w="3600"/>
          </w:tcPr>
          <w:p>
            <w:pPr>
              <w:spacing w:after="0" w:before="0" w:line="240" w:lineRule="auto"/>
              <w:jc w:val="left"/>
            </w:pPr>
            <w:r>
              <w:rPr>
                <w:rFonts w:ascii="Consolas" w:hAnsi="Consolas"/>
                <w:color w:val="333333"/>
                <w:sz w:val="19"/>
                <w:shd w:val="clear" w:color="auto" w:fill="EFEFEF"/>
              </w:rPr>
              <w:t>TB</w:t>
            </w:r>
          </w:p>
        </w:tc>
        <w:tc>
          <w:tcPr>
            <w:tcW w:type="dxa" w:w="3600"/>
          </w:tcPr>
          <w:p>
            <w:pPr>
              <w:spacing w:after="0" w:before="0" w:line="240" w:lineRule="auto"/>
              <w:jc w:val="left"/>
            </w:pPr>
            <w:r>
              <w:t>Identifies the equipment category</w:t>
            </w:r>
          </w:p>
        </w:tc>
      </w:tr>
      <w:tr>
        <w:tc>
          <w:tcPr>
            <w:tcW w:type="dxa" w:w="3600"/>
          </w:tcPr>
          <w:p>
            <w:pPr>
              <w:spacing w:after="0" w:before="0" w:line="240" w:lineRule="auto"/>
              <w:jc w:val="left"/>
            </w:pPr>
            <w:r>
              <w:t>Sequence number</w:t>
            </w:r>
          </w:p>
        </w:tc>
        <w:tc>
          <w:tcPr>
            <w:tcW w:type="dxa" w:w="3600"/>
          </w:tcPr>
          <w:p>
            <w:pPr>
              <w:spacing w:after="0" w:before="0" w:line="240" w:lineRule="auto"/>
              <w:jc w:val="left"/>
            </w:pPr>
            <w:r>
              <w:rPr>
                <w:rFonts w:ascii="Consolas" w:hAnsi="Consolas"/>
                <w:color w:val="333333"/>
                <w:sz w:val="19"/>
                <w:shd w:val="clear" w:color="auto" w:fill="EFEFEF"/>
              </w:rPr>
              <w:t>014</w:t>
            </w:r>
          </w:p>
        </w:tc>
        <w:tc>
          <w:tcPr>
            <w:tcW w:type="dxa" w:w="3600"/>
          </w:tcPr>
          <w:p>
            <w:pPr>
              <w:spacing w:after="0" w:before="0" w:line="240" w:lineRule="auto"/>
              <w:jc w:val="left"/>
            </w:pPr>
            <w:r>
              <w:t>Distinguishes similar assets</w:t>
            </w:r>
          </w:p>
        </w:tc>
      </w:tr>
    </w:tbl>
    <w:p/>
    <w:p>
      <w:pPr>
        <w:pStyle w:val="Heading3"/>
      </w:pPr>
      <w:r>
        <w:t>5.1 Rules for Machine IDs</w:t>
      </w:r>
    </w:p>
    <w:p>
      <w:pPr>
        <w:pStyle w:val="ListBullet"/>
      </w:pPr>
      <w:r>
        <w:t>Use a unique ID for each managed machine.</w:t>
      </w:r>
    </w:p>
    <w:p>
      <w:pPr>
        <w:pStyle w:val="ListBullet"/>
      </w:pPr>
      <w:r>
        <w:t>Define the naming convention centrally.</w:t>
      </w:r>
    </w:p>
    <w:p>
      <w:pPr>
        <w:pStyle w:val="ListBullet"/>
      </w:pPr>
      <w:r>
        <w:t>Avoid changing IDs when only a machine's name or production assignment changes.</w:t>
      </w:r>
    </w:p>
    <w:p>
      <w:pPr>
        <w:pStyle w:val="ListBullet"/>
      </w:pPr>
      <w:r>
        <w:t>Avoid embedding information that changes frequently, such as the current operator or product.</w:t>
      </w:r>
    </w:p>
    <w:p>
      <w:pPr>
        <w:pStyle w:val="ListBullet"/>
      </w:pPr>
      <w:r>
        <w:t>Maintain a mapping when an existing asset is renumbered.</w:t>
      </w:r>
    </w:p>
    <w:p>
      <w:pPr>
        <w:pStyle w:val="ListBullet"/>
      </w:pPr>
      <w:r>
        <w:t>Distinguish a machine from its installed PLC, HMI, drive, robot, or network device.</w:t>
      </w:r>
    </w:p>
    <w:p>
      <w:pPr>
        <w:pStyle w:val="ListBullet"/>
      </w:pPr>
      <w:r>
        <w:t>Do not rely exclusively on IP addresses, hostnames, or manufacturer model numbers.</w:t>
      </w:r>
    </w:p>
    <w:p>
      <w:pPr>
        <w:pStyle w:val="ListBullet"/>
      </w:pPr>
      <w:r>
        <w:t>Use identifiers already established in the plant's asset register wherever possible.</w:t>
      </w:r>
    </w:p>
    <w:p>
      <w:pPr>
        <w:pStyle w:val="Heading2"/>
      </w:pPr>
      <w:r>
        <w:t>6. Machine ID vs. Device ID</w:t>
      </w:r>
    </w:p>
    <w:p>
      <w:r>
        <w:t>One machine may contain many automation devices, and each may need its own backup history.</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Asset level</w:t>
            </w:r>
          </w:p>
        </w:tc>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w:t>
            </w:r>
          </w:p>
        </w:tc>
        <w:tc>
          <w:tcPr>
            <w:tcW w:type="dxa" w:w="3600"/>
          </w:tcPr>
          <w:p>
            <w:pPr>
              <w:spacing w:after="0" w:before="0" w:line="240" w:lineRule="auto"/>
              <w:jc w:val="left"/>
            </w:pPr>
            <w:r>
              <w:rPr>
                <w:rFonts w:ascii="Consolas" w:hAnsi="Consolas"/>
                <w:color w:val="333333"/>
                <w:sz w:val="19"/>
                <w:shd w:val="clear" w:color="auto" w:fill="EFEFEF"/>
              </w:rPr>
              <w:t>TB-014</w:t>
            </w:r>
          </w:p>
        </w:tc>
        <w:tc>
          <w:tcPr>
            <w:tcW w:type="dxa" w:w="3600"/>
          </w:tcPr>
          <w:p>
            <w:pPr>
              <w:spacing w:after="0" w:before="0" w:line="240" w:lineRule="auto"/>
              <w:jc w:val="left"/>
            </w:pPr>
            <w:r>
              <w:t>Complete test bench</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PLC-TB014-CPU01</w:t>
            </w:r>
          </w:p>
        </w:tc>
        <w:tc>
          <w:tcPr>
            <w:tcW w:type="dxa" w:w="3600"/>
          </w:tcPr>
          <w:p>
            <w:pPr>
              <w:spacing w:after="0" w:before="0" w:line="240" w:lineRule="auto"/>
              <w:jc w:val="left"/>
            </w:pPr>
            <w:r>
              <w:t>Main PLC</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HMI-TB014-01</w:t>
            </w:r>
          </w:p>
        </w:tc>
        <w:tc>
          <w:tcPr>
            <w:tcW w:type="dxa" w:w="3600"/>
          </w:tcPr>
          <w:p>
            <w:pPr>
              <w:spacing w:after="0" w:before="0" w:line="240" w:lineRule="auto"/>
              <w:jc w:val="left"/>
            </w:pPr>
            <w:r>
              <w:t>Operator panel</w:t>
            </w:r>
          </w:p>
        </w:tc>
      </w:tr>
      <w:tr>
        <w:tc>
          <w:tcPr>
            <w:tcW w:type="dxa" w:w="3600"/>
          </w:tcPr>
          <w:p>
            <w:pPr>
              <w:spacing w:after="0" w:before="0" w:line="240" w:lineRule="auto"/>
              <w:jc w:val="left"/>
            </w:pPr>
            <w:r>
              <w:t>Drive</w:t>
            </w:r>
          </w:p>
        </w:tc>
        <w:tc>
          <w:tcPr>
            <w:tcW w:type="dxa" w:w="3600"/>
          </w:tcPr>
          <w:p>
            <w:pPr>
              <w:spacing w:after="0" w:before="0" w:line="240" w:lineRule="auto"/>
              <w:jc w:val="left"/>
            </w:pPr>
            <w:r>
              <w:rPr>
                <w:rFonts w:ascii="Consolas" w:hAnsi="Consolas"/>
                <w:color w:val="333333"/>
                <w:sz w:val="19"/>
                <w:shd w:val="clear" w:color="auto" w:fill="EFEFEF"/>
              </w:rPr>
              <w:t>VFD-TB014-01</w:t>
            </w:r>
          </w:p>
        </w:tc>
        <w:tc>
          <w:tcPr>
            <w:tcW w:type="dxa" w:w="3600"/>
          </w:tcPr>
          <w:p>
            <w:pPr>
              <w:spacing w:after="0" w:before="0" w:line="240" w:lineRule="auto"/>
              <w:jc w:val="left"/>
            </w:pPr>
            <w:r>
              <w:t>Motor drive</w:t>
            </w:r>
          </w:p>
        </w:tc>
      </w:tr>
      <w:tr>
        <w:tc>
          <w:tcPr>
            <w:tcW w:type="dxa" w:w="3600"/>
          </w:tcPr>
          <w:p>
            <w:pPr>
              <w:spacing w:after="0" w:before="0" w:line="240" w:lineRule="auto"/>
              <w:jc w:val="left"/>
            </w:pPr>
            <w:r>
              <w:t>Servo</w:t>
            </w:r>
          </w:p>
        </w:tc>
        <w:tc>
          <w:tcPr>
            <w:tcW w:type="dxa" w:w="3600"/>
          </w:tcPr>
          <w:p>
            <w:pPr>
              <w:spacing w:after="0" w:before="0" w:line="240" w:lineRule="auto"/>
              <w:jc w:val="left"/>
            </w:pPr>
            <w:r>
              <w:rPr>
                <w:rFonts w:ascii="Consolas" w:hAnsi="Consolas"/>
                <w:color w:val="333333"/>
                <w:sz w:val="19"/>
                <w:shd w:val="clear" w:color="auto" w:fill="EFEFEF"/>
              </w:rPr>
              <w:t>SRV-TB014-01</w:t>
            </w:r>
          </w:p>
        </w:tc>
        <w:tc>
          <w:tcPr>
            <w:tcW w:type="dxa" w:w="3600"/>
          </w:tcPr>
          <w:p>
            <w:pPr>
              <w:spacing w:after="0" w:before="0" w:line="240" w:lineRule="auto"/>
              <w:jc w:val="left"/>
            </w:pPr>
            <w:r>
              <w:t>Servo drive</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rPr>
                <w:rFonts w:ascii="Consolas" w:hAnsi="Consolas"/>
                <w:color w:val="333333"/>
                <w:sz w:val="19"/>
                <w:shd w:val="clear" w:color="auto" w:fill="EFEFEF"/>
              </w:rPr>
              <w:t>IPC-TB014-01</w:t>
            </w:r>
          </w:p>
        </w:tc>
        <w:tc>
          <w:tcPr>
            <w:tcW w:type="dxa" w:w="3600"/>
          </w:tcPr>
          <w:p>
            <w:pPr>
              <w:spacing w:after="0" w:before="0" w:line="240" w:lineRule="auto"/>
              <w:jc w:val="left"/>
            </w:pPr>
            <w:r>
              <w:t>Test application computer</w:t>
            </w:r>
          </w:p>
        </w:tc>
      </w:tr>
      <w:tr>
        <w:tc>
          <w:tcPr>
            <w:tcW w:type="dxa" w:w="3600"/>
          </w:tcPr>
          <w:p>
            <w:pPr>
              <w:spacing w:after="0" w:before="0" w:line="240" w:lineRule="auto"/>
              <w:jc w:val="left"/>
            </w:pPr>
            <w:r>
              <w:t>Network switch</w:t>
            </w:r>
          </w:p>
        </w:tc>
        <w:tc>
          <w:tcPr>
            <w:tcW w:type="dxa" w:w="3600"/>
          </w:tcPr>
          <w:p>
            <w:pPr>
              <w:spacing w:after="0" w:before="0" w:line="240" w:lineRule="auto"/>
              <w:jc w:val="left"/>
            </w:pPr>
            <w:r>
              <w:rPr>
                <w:rFonts w:ascii="Consolas" w:hAnsi="Consolas"/>
                <w:color w:val="333333"/>
                <w:sz w:val="19"/>
                <w:shd w:val="clear" w:color="auto" w:fill="EFEFEF"/>
              </w:rPr>
              <w:t>SW-TB014-01</w:t>
            </w:r>
          </w:p>
        </w:tc>
        <w:tc>
          <w:tcPr>
            <w:tcW w:type="dxa" w:w="3600"/>
          </w:tcPr>
          <w:p>
            <w:pPr>
              <w:spacing w:after="0" w:before="0" w:line="240" w:lineRule="auto"/>
              <w:jc w:val="left"/>
            </w:pPr>
            <w:r>
              <w:t>Local managed switch</w:t>
            </w:r>
          </w:p>
        </w:tc>
      </w:tr>
      <w:tr>
        <w:tc>
          <w:tcPr>
            <w:tcW w:type="dxa" w:w="3600"/>
          </w:tcPr>
          <w:p>
            <w:pPr>
              <w:spacing w:after="0" w:before="0" w:line="240" w:lineRule="auto"/>
              <w:jc w:val="left"/>
            </w:pPr>
            <w:r>
              <w:t>Vision controller</w:t>
            </w:r>
          </w:p>
        </w:tc>
        <w:tc>
          <w:tcPr>
            <w:tcW w:type="dxa" w:w="3600"/>
          </w:tcPr>
          <w:p>
            <w:pPr>
              <w:spacing w:after="0" w:before="0" w:line="240" w:lineRule="auto"/>
              <w:jc w:val="left"/>
            </w:pPr>
            <w:r>
              <w:rPr>
                <w:rFonts w:ascii="Consolas" w:hAnsi="Consolas"/>
                <w:color w:val="333333"/>
                <w:sz w:val="19"/>
                <w:shd w:val="clear" w:color="auto" w:fill="EFEFEF"/>
              </w:rPr>
              <w:t>VSN-TB014-01</w:t>
            </w:r>
          </w:p>
        </w:tc>
        <w:tc>
          <w:tcPr>
            <w:tcW w:type="dxa" w:w="3600"/>
          </w:tcPr>
          <w:p>
            <w:pPr>
              <w:spacing w:after="0" w:before="0" w:line="240" w:lineRule="auto"/>
              <w:jc w:val="left"/>
            </w:pPr>
            <w:r>
              <w:t>Inspection system</w:t>
            </w:r>
          </w:p>
        </w:tc>
      </w:tr>
    </w:tbl>
    <w:p/>
    <w:p>
      <w:r>
        <w:t>The machine ID connects the devices to the same physical asset. Device IDs distinguish their individual configurations.</w:t>
      </w:r>
    </w:p>
    <w:p>
      <w:r>
        <w:t>A backup record should ideally contain both identifiers whenever the backup concerns a specific device.</w:t>
      </w:r>
    </w:p>
    <w:p>
      <w:pPr>
        <w:pStyle w:val="Heading2"/>
      </w:pPr>
      <w:r>
        <w:t>7. Machine ID and Historical Backup Naming</w:t>
      </w:r>
    </w:p>
    <w:p>
      <w:r>
        <w:t>The Machine ID should be a prominent part of the backup filename.</w:t>
      </w:r>
    </w:p>
    <w:p>
      <w:r>
        <w:t>A general pattern is:</w:t>
      </w:r>
    </w:p>
    <w:p>
      <w:r>
        <w:rPr>
          <w:rFonts w:ascii="Consolas" w:hAnsi="Consolas"/>
          <w:color w:val="333333"/>
          <w:sz w:val="19"/>
          <w:shd w:val="clear" w:color="auto" w:fill="EFEFEF"/>
        </w:rPr>
        <w:t>MACHINE_ID_DEVICE_ID_SYSTEM_BACKUPTYPE_YYYY-MM-DD_REVISION.EXT</w:t>
      </w:r>
    </w:p>
    <w:p>
      <w:r>
        <w:t>Examples:</w:t>
      </w:r>
    </w:p>
    <w:p>
      <w:pPr>
        <w:shd w:val="clear" w:color="auto" w:fill="F4F4F4"/>
        <w:spacing w:before="0" w:after="0" w:line="240" w:lineRule="auto"/>
        <w:ind w:left="216" w:right="216"/>
        <w:jc w:val="left"/>
      </w:pPr>
      <w:r>
        <w:rPr>
          <w:rFonts w:ascii="Consolas" w:hAnsi="Consolas"/>
          <w:color w:val="202020"/>
          <w:sz w:val="18"/>
        </w:rPr>
        <w:t>TB-014_PLC-TB014-CPU01_PLC_HIST_2026-10-17_R003.project</w:t>
      </w:r>
    </w:p>
    <w:p>
      <w:pPr>
        <w:shd w:val="clear" w:color="auto" w:fill="F4F4F4"/>
        <w:spacing w:before="0" w:after="0" w:line="240" w:lineRule="auto"/>
        <w:ind w:left="216" w:right="216"/>
        <w:jc w:val="left"/>
      </w:pPr>
      <w:r>
        <w:rPr>
          <w:rFonts w:ascii="Consolas" w:hAnsi="Consolas"/>
          <w:color w:val="202020"/>
          <w:sz w:val="18"/>
        </w:rPr>
        <w:t>TB-014_HMI-TB014-01_HMI_HIST_2026-10-17_R002.project</w:t>
      </w:r>
    </w:p>
    <w:p>
      <w:pPr>
        <w:shd w:val="clear" w:color="auto" w:fill="F4F4F4"/>
        <w:spacing w:before="0" w:after="0" w:line="240" w:lineRule="auto"/>
        <w:ind w:left="216" w:right="216"/>
        <w:jc w:val="left"/>
      </w:pPr>
      <w:r>
        <w:rPr>
          <w:rFonts w:ascii="Consolas" w:hAnsi="Consolas"/>
          <w:color w:val="202020"/>
          <w:sz w:val="18"/>
        </w:rPr>
        <w:t>TB-014_VFD-TB014-01_VFD_HIST_2026-10-16_CAPTURE.par</w:t>
      </w:r>
    </w:p>
    <w:p>
      <w:pPr>
        <w:shd w:val="clear" w:color="auto" w:fill="F4F4F4"/>
        <w:spacing w:before="0" w:after="0" w:line="240" w:lineRule="auto"/>
        <w:ind w:left="216" w:right="216"/>
        <w:jc w:val="left"/>
      </w:pPr>
      <w:r>
        <w:rPr>
          <w:rFonts w:ascii="Consolas" w:hAnsi="Consolas"/>
          <w:color w:val="202020"/>
          <w:sz w:val="18"/>
        </w:rPr>
        <w:t>TB-014_IPC-TB014-01_IPC_HIST_2026-10-15_FULL.img</w:t>
      </w:r>
    </w:p>
    <w:p/>
    <w:p>
      <w:r>
        <w:t>Use actual supported file extensions and the manufacturer's export formats. The examples illustrate naming only.</w:t>
      </w:r>
    </w:p>
    <w:p>
      <w:r>
        <w:t>A filename should make it possible to identify:</w:t>
      </w:r>
    </w:p>
    <w:p>
      <w:pPr>
        <w:pStyle w:val="ListBullet"/>
      </w:pPr>
      <w:r>
        <w:t>Which machine the backup belongs to.</w:t>
      </w:r>
    </w:p>
    <w:p>
      <w:pPr>
        <w:pStyle w:val="ListBullet"/>
      </w:pPr>
      <w:r>
        <w:t>Which installed device it concerns.</w:t>
      </w:r>
    </w:p>
    <w:p>
      <w:pPr>
        <w:pStyle w:val="ListBullet"/>
      </w:pPr>
      <w:r>
        <w:t>What system or data type it contains.</w:t>
      </w:r>
    </w:p>
    <w:p>
      <w:pPr>
        <w:pStyle w:val="ListBullet"/>
      </w:pPr>
      <w:r>
        <w:t>When it was captured.</w:t>
      </w:r>
    </w:p>
    <w:p>
      <w:pPr>
        <w:pStyle w:val="ListBullet"/>
      </w:pPr>
      <w:r>
        <w:t>Which revision or backup event it represents.</w:t>
      </w:r>
    </w:p>
    <w:p>
      <w:r>
        <w:t>Do not depend on the filename alone. The same information should be recorded in a searchable backup index or metadata record.</w:t>
      </w:r>
    </w:p>
    <w:p>
      <w:pPr>
        <w:pStyle w:val="Heading2"/>
      </w:pPr>
      <w:r>
        <w:t>8. Recommended Folder Structure</w:t>
      </w:r>
    </w:p>
    <w:p>
      <w:r>
        <w:t>An asset-first structure makes it easier to retrieve all historical versions for one machine.</w:t>
      </w:r>
    </w:p>
    <w:p>
      <w:pPr>
        <w:shd w:val="clear" w:color="auto" w:fill="F4F4F4"/>
        <w:spacing w:before="0" w:after="0" w:line="240" w:lineRule="auto"/>
        <w:ind w:left="216" w:right="216"/>
        <w:jc w:val="left"/>
      </w:pPr>
      <w:r>
        <w:rPr>
          <w:rFonts w:ascii="Consolas" w:hAnsi="Consolas"/>
          <w:color w:val="202020"/>
          <w:sz w:val="18"/>
        </w:rPr>
        <w:t>HISTORICAL_BACKUPS/</w:t>
      </w:r>
    </w:p>
    <w:p>
      <w:pPr>
        <w:shd w:val="clear" w:color="auto" w:fill="F4F4F4"/>
        <w:spacing w:before="0" w:after="0" w:line="240" w:lineRule="auto"/>
        <w:ind w:left="216" w:right="216"/>
        <w:jc w:val="left"/>
      </w:pPr>
      <w:r>
        <w:rPr>
          <w:rFonts w:ascii="Consolas" w:hAnsi="Consolas"/>
          <w:color w:val="202020"/>
          <w:sz w:val="18"/>
        </w:rPr>
        <w:t xml:space="preserve">    P01-PT-L03-TB014/</w:t>
      </w:r>
    </w:p>
    <w:p>
      <w:pPr>
        <w:shd w:val="clear" w:color="auto" w:fill="F4F4F4"/>
        <w:spacing w:before="0" w:after="0" w:line="240" w:lineRule="auto"/>
        <w:ind w:left="216" w:right="216"/>
        <w:jc w:val="left"/>
      </w:pPr>
      <w:r>
        <w:rPr>
          <w:rFonts w:ascii="Consolas" w:hAnsi="Consolas"/>
          <w:color w:val="202020"/>
          <w:sz w:val="18"/>
        </w:rPr>
        <w:t xml:space="preserve">        ASSET_METADATA/</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PLC-TB014-CPU01/</w:t>
      </w:r>
    </w:p>
    <w:p>
      <w:pPr>
        <w:shd w:val="clear" w:color="auto" w:fill="F4F4F4"/>
        <w:spacing w:before="0" w:after="0" w:line="240" w:lineRule="auto"/>
        <w:ind w:left="216" w:right="216"/>
        <w:jc w:val="left"/>
      </w:pPr>
      <w:r>
        <w:rPr>
          <w:rFonts w:ascii="Consolas" w:hAnsi="Consolas"/>
          <w:color w:val="202020"/>
          <w:sz w:val="18"/>
        </w:rPr>
        <w:t xml:space="preserve">                2026-10-10/</w:t>
      </w:r>
    </w:p>
    <w:p>
      <w:pPr>
        <w:shd w:val="clear" w:color="auto" w:fill="F4F4F4"/>
        <w:spacing w:before="0" w:after="0" w:line="240" w:lineRule="auto"/>
        <w:ind w:left="216" w:right="216"/>
        <w:jc w:val="left"/>
      </w:pPr>
      <w:r>
        <w:rPr>
          <w:rFonts w:ascii="Consolas" w:hAnsi="Consolas"/>
          <w:color w:val="202020"/>
          <w:sz w:val="18"/>
        </w:rPr>
        <w:t xml:space="preserve">                2026-10-14/</w:t>
      </w:r>
    </w:p>
    <w:p>
      <w:pPr>
        <w:shd w:val="clear" w:color="auto" w:fill="F4F4F4"/>
        <w:spacing w:before="0" w:after="0" w:line="240" w:lineRule="auto"/>
        <w:ind w:left="216" w:right="216"/>
        <w:jc w:val="left"/>
      </w:pPr>
      <w:r>
        <w:rPr>
          <w:rFonts w:ascii="Consolas" w:hAnsi="Consolas"/>
          <w:color w:val="202020"/>
          <w:sz w:val="18"/>
        </w:rPr>
        <w:t xml:space="preserve">                2026-10-17/</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HMI-TB014-01/</w:t>
      </w:r>
    </w:p>
    <w:p>
      <w:pPr>
        <w:shd w:val="clear" w:color="auto" w:fill="F4F4F4"/>
        <w:spacing w:before="0" w:after="0" w:line="240" w:lineRule="auto"/>
        <w:ind w:left="216" w:right="216"/>
        <w:jc w:val="left"/>
      </w:pPr>
      <w:r>
        <w:rPr>
          <w:rFonts w:ascii="Consolas" w:hAnsi="Consolas"/>
          <w:color w:val="202020"/>
          <w:sz w:val="18"/>
        </w:rPr>
        <w:t xml:space="preserve">                2026-10-10/</w:t>
      </w:r>
    </w:p>
    <w:p>
      <w:pPr>
        <w:shd w:val="clear" w:color="auto" w:fill="F4F4F4"/>
        <w:spacing w:before="0" w:after="0" w:line="240" w:lineRule="auto"/>
        <w:ind w:left="216" w:right="216"/>
        <w:jc w:val="left"/>
      </w:pPr>
      <w:r>
        <w:rPr>
          <w:rFonts w:ascii="Consolas" w:hAnsi="Consolas"/>
          <w:color w:val="202020"/>
          <w:sz w:val="18"/>
        </w:rPr>
        <w:t xml:space="preserve">                2026-10-17/</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VFD-TB014-01/</w:t>
      </w:r>
    </w:p>
    <w:p>
      <w:pPr>
        <w:shd w:val="clear" w:color="auto" w:fill="F4F4F4"/>
        <w:spacing w:before="0" w:after="0" w:line="240" w:lineRule="auto"/>
        <w:ind w:left="216" w:right="216"/>
        <w:jc w:val="left"/>
      </w:pPr>
      <w:r>
        <w:rPr>
          <w:rFonts w:ascii="Consolas" w:hAnsi="Consolas"/>
          <w:color w:val="202020"/>
          <w:sz w:val="18"/>
        </w:rPr>
        <w:t xml:space="preserve">                2026-10-12/</w:t>
      </w:r>
    </w:p>
    <w:p>
      <w:pPr>
        <w:shd w:val="clear" w:color="auto" w:fill="F4F4F4"/>
        <w:spacing w:before="0" w:after="0" w:line="240" w:lineRule="auto"/>
        <w:ind w:left="216" w:right="216"/>
        <w:jc w:val="left"/>
      </w:pPr>
      <w:r>
        <w:rPr>
          <w:rFonts w:ascii="Consolas" w:hAnsi="Consolas"/>
          <w:color w:val="202020"/>
          <w:sz w:val="18"/>
        </w:rPr>
        <w:t xml:space="preserve">                2026-10-17/</w:t>
      </w:r>
    </w:p>
    <w:p>
      <w:pPr>
        <w:shd w:val="clear" w:color="auto" w:fill="F4F4F4"/>
        <w:spacing w:before="0" w:after="0" w:line="240" w:lineRule="auto"/>
        <w:ind w:left="216" w:right="216"/>
        <w:jc w:val="left"/>
      </w:pPr>
      <w:r>
        <w:rPr>
          <w:rFonts w:ascii="Consolas" w:hAnsi="Consolas"/>
          <w:color w:val="202020"/>
          <w:sz w:val="18"/>
        </w:rPr>
        <w:t xml:space="preserve">        IPC/</w:t>
      </w:r>
    </w:p>
    <w:p>
      <w:pPr>
        <w:shd w:val="clear" w:color="auto" w:fill="F4F4F4"/>
        <w:spacing w:before="0" w:after="0" w:line="240" w:lineRule="auto"/>
        <w:ind w:left="216" w:right="216"/>
        <w:jc w:val="left"/>
      </w:pPr>
      <w:r>
        <w:rPr>
          <w:rFonts w:ascii="Consolas" w:hAnsi="Consolas"/>
          <w:color w:val="202020"/>
          <w:sz w:val="18"/>
        </w:rPr>
        <w:t xml:space="preserve">            IPC-TB014-01/</w:t>
      </w:r>
    </w:p>
    <w:p>
      <w:pPr>
        <w:shd w:val="clear" w:color="auto" w:fill="F4F4F4"/>
        <w:spacing w:before="0" w:after="0" w:line="240" w:lineRule="auto"/>
        <w:ind w:left="216" w:right="216"/>
        <w:jc w:val="left"/>
      </w:pPr>
      <w:r>
        <w:rPr>
          <w:rFonts w:ascii="Consolas" w:hAnsi="Consolas"/>
          <w:color w:val="202020"/>
          <w:sz w:val="18"/>
        </w:rPr>
        <w:t xml:space="preserve">                2026-10-15/</w:t>
      </w:r>
    </w:p>
    <w:p/>
    <w:p>
      <w:r>
        <w:t>For plants with hundreds or thousands of machines, use a central index or asset database to locate backups rather than relying entirely on manual folder navigation.</w:t>
      </w:r>
    </w:p>
    <w:p>
      <w:r>
        <w:t>The directory structure should match the organization's access-control, retention, and backup policies.</w:t>
      </w:r>
    </w:p>
    <w:p>
      <w:pPr>
        <w:pStyle w:val="Heading2"/>
      </w:pPr>
      <w:r>
        <w:t>9. Machine ID Master Register</w:t>
      </w:r>
    </w:p>
    <w:p>
      <w:r>
        <w:t>A controlled machine register is the foundation of reliable identification.</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Stable identifier for the physical asset</w:t>
            </w:r>
          </w:p>
        </w:tc>
      </w:tr>
      <w:tr>
        <w:tc>
          <w:tcPr>
            <w:tcW w:type="dxa" w:w="5400"/>
          </w:tcPr>
          <w:p>
            <w:pPr>
              <w:spacing w:after="0" w:before="0" w:line="240" w:lineRule="auto"/>
              <w:jc w:val="left"/>
            </w:pPr>
            <w:r>
              <w:t>Asset register number</w:t>
            </w:r>
          </w:p>
        </w:tc>
        <w:tc>
          <w:tcPr>
            <w:tcW w:type="dxa" w:w="5400"/>
          </w:tcPr>
          <w:p>
            <w:pPr>
              <w:spacing w:after="0" w:before="0" w:line="240" w:lineRule="auto"/>
              <w:jc w:val="left"/>
            </w:pPr>
            <w:r>
              <w:t>Link to the official asset-management record</w:t>
            </w:r>
          </w:p>
        </w:tc>
      </w:tr>
      <w:tr>
        <w:tc>
          <w:tcPr>
            <w:tcW w:type="dxa" w:w="5400"/>
          </w:tcPr>
          <w:p>
            <w:pPr>
              <w:spacing w:after="0" w:before="0" w:line="240" w:lineRule="auto"/>
              <w:jc w:val="left"/>
            </w:pPr>
            <w:r>
              <w:t>Machine name</w:t>
            </w:r>
          </w:p>
        </w:tc>
        <w:tc>
          <w:tcPr>
            <w:tcW w:type="dxa" w:w="5400"/>
          </w:tcPr>
          <w:p>
            <w:pPr>
              <w:spacing w:after="0" w:before="0" w:line="240" w:lineRule="auto"/>
              <w:jc w:val="left"/>
            </w:pPr>
            <w:r>
              <w:t>Human-readable machine description</w:t>
            </w:r>
          </w:p>
        </w:tc>
      </w:tr>
      <w:tr>
        <w:tc>
          <w:tcPr>
            <w:tcW w:type="dxa" w:w="5400"/>
          </w:tcPr>
          <w:p>
            <w:pPr>
              <w:spacing w:after="0" w:before="0" w:line="240" w:lineRule="auto"/>
              <w:jc w:val="left"/>
            </w:pPr>
            <w:r>
              <w:t>Plant and area</w:t>
            </w:r>
          </w:p>
        </w:tc>
        <w:tc>
          <w:tcPr>
            <w:tcW w:type="dxa" w:w="5400"/>
          </w:tcPr>
          <w:p>
            <w:pPr>
              <w:spacing w:after="0" w:before="0" w:line="240" w:lineRule="auto"/>
              <w:jc w:val="left"/>
            </w:pPr>
            <w:r>
              <w:t>Physical location</w:t>
            </w:r>
          </w:p>
        </w:tc>
      </w:tr>
      <w:tr>
        <w:tc>
          <w:tcPr>
            <w:tcW w:type="dxa" w:w="5400"/>
          </w:tcPr>
          <w:p>
            <w:pPr>
              <w:spacing w:after="0" w:before="0" w:line="240" w:lineRule="auto"/>
              <w:jc w:val="left"/>
            </w:pPr>
            <w:r>
              <w:t>Production line</w:t>
            </w:r>
          </w:p>
        </w:tc>
        <w:tc>
          <w:tcPr>
            <w:tcW w:type="dxa" w:w="5400"/>
          </w:tcPr>
          <w:p>
            <w:pPr>
              <w:spacing w:after="0" w:before="0" w:line="240" w:lineRule="auto"/>
              <w:jc w:val="left"/>
            </w:pPr>
            <w:r>
              <w:t>Line or cell assignment</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Equipment manufacturer</w:t>
            </w:r>
          </w:p>
        </w:tc>
      </w:tr>
      <w:tr>
        <w:tc>
          <w:tcPr>
            <w:tcW w:type="dxa" w:w="5400"/>
          </w:tcPr>
          <w:p>
            <w:pPr>
              <w:spacing w:after="0" w:before="0" w:line="240" w:lineRule="auto"/>
              <w:jc w:val="left"/>
            </w:pPr>
            <w:r>
              <w:t>Machine model</w:t>
            </w:r>
          </w:p>
        </w:tc>
        <w:tc>
          <w:tcPr>
            <w:tcW w:type="dxa" w:w="5400"/>
          </w:tcPr>
          <w:p>
            <w:pPr>
              <w:spacing w:after="0" w:before="0" w:line="240" w:lineRule="auto"/>
              <w:jc w:val="left"/>
            </w:pPr>
            <w:r>
              <w:t>Model or equipment family</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Manufacturer's machine serial number, where applicable</w:t>
            </w:r>
          </w:p>
        </w:tc>
      </w:tr>
      <w:tr>
        <w:tc>
          <w:tcPr>
            <w:tcW w:type="dxa" w:w="5400"/>
          </w:tcPr>
          <w:p>
            <w:pPr>
              <w:spacing w:after="0" w:before="0" w:line="240" w:lineRule="auto"/>
              <w:jc w:val="left"/>
            </w:pPr>
            <w:r>
              <w:t>Commissioning date</w:t>
            </w:r>
          </w:p>
        </w:tc>
        <w:tc>
          <w:tcPr>
            <w:tcW w:type="dxa" w:w="5400"/>
          </w:tcPr>
          <w:p>
            <w:pPr>
              <w:spacing w:after="0" w:before="0" w:line="240" w:lineRule="auto"/>
              <w:jc w:val="left"/>
            </w:pPr>
            <w:r>
              <w:t>Date equipment entered service</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modified, relocated, or decommissioned</w:t>
            </w:r>
          </w:p>
        </w:tc>
      </w:tr>
      <w:tr>
        <w:tc>
          <w:tcPr>
            <w:tcW w:type="dxa" w:w="5400"/>
          </w:tcPr>
          <w:p>
            <w:pPr>
              <w:spacing w:after="0" w:before="0" w:line="240" w:lineRule="auto"/>
              <w:jc w:val="left"/>
            </w:pPr>
            <w:r>
              <w:t>Responsible department</w:t>
            </w:r>
          </w:p>
        </w:tc>
        <w:tc>
          <w:tcPr>
            <w:tcW w:type="dxa" w:w="5400"/>
          </w:tcPr>
          <w:p>
            <w:pPr>
              <w:spacing w:after="0" w:before="0" w:line="240" w:lineRule="auto"/>
              <w:jc w:val="left"/>
            </w:pPr>
            <w:r>
              <w:t>Equipment owner</w:t>
            </w:r>
          </w:p>
        </w:tc>
      </w:tr>
      <w:tr>
        <w:tc>
          <w:tcPr>
            <w:tcW w:type="dxa" w:w="5400"/>
          </w:tcPr>
          <w:p>
            <w:pPr>
              <w:spacing w:after="0" w:before="0" w:line="240" w:lineRule="auto"/>
              <w:jc w:val="left"/>
            </w:pPr>
            <w:r>
              <w:t>Primary controller ID</w:t>
            </w:r>
          </w:p>
        </w:tc>
        <w:tc>
          <w:tcPr>
            <w:tcW w:type="dxa" w:w="5400"/>
          </w:tcPr>
          <w:p>
            <w:pPr>
              <w:spacing w:after="0" w:before="0" w:line="240" w:lineRule="auto"/>
              <w:jc w:val="left"/>
            </w:pPr>
            <w:r>
              <w:t>Link to the main automation controller</w:t>
            </w:r>
          </w:p>
        </w:tc>
      </w:tr>
      <w:tr>
        <w:tc>
          <w:tcPr>
            <w:tcW w:type="dxa" w:w="5400"/>
          </w:tcPr>
          <w:p>
            <w:pPr>
              <w:spacing w:after="0" w:before="0" w:line="240" w:lineRule="auto"/>
              <w:jc w:val="left"/>
            </w:pPr>
            <w:r>
              <w:t>Backup repository</w:t>
            </w:r>
          </w:p>
        </w:tc>
        <w:tc>
          <w:tcPr>
            <w:tcW w:type="dxa" w:w="5400"/>
          </w:tcPr>
          <w:p>
            <w:pPr>
              <w:spacing w:after="0" w:before="0" w:line="240" w:lineRule="auto"/>
              <w:jc w:val="left"/>
            </w:pPr>
            <w:r>
              <w:t>Location of the controlled backup records</w:t>
            </w:r>
          </w:p>
        </w:tc>
      </w:tr>
      <w:tr>
        <w:tc>
          <w:tcPr>
            <w:tcW w:type="dxa" w:w="5400"/>
          </w:tcPr>
          <w:p>
            <w:pPr>
              <w:spacing w:after="0" w:before="0" w:line="240" w:lineRule="auto"/>
              <w:jc w:val="left"/>
            </w:pPr>
            <w:r>
              <w:t>Last verified backup</w:t>
            </w:r>
          </w:p>
        </w:tc>
        <w:tc>
          <w:tcPr>
            <w:tcW w:type="dxa" w:w="5400"/>
          </w:tcPr>
          <w:p>
            <w:pPr>
              <w:spacing w:after="0" w:before="0" w:line="240" w:lineRule="auto"/>
              <w:jc w:val="left"/>
            </w:pPr>
            <w:r>
              <w:t>Most recent successful verification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Priority for recovery planning</w:t>
            </w:r>
          </w:p>
        </w:tc>
      </w:tr>
      <w:tr>
        <w:tc>
          <w:tcPr>
            <w:tcW w:type="dxa" w:w="5400"/>
          </w:tcPr>
          <w:p>
            <w:pPr>
              <w:spacing w:after="0" w:before="0" w:line="240" w:lineRule="auto"/>
              <w:jc w:val="left"/>
            </w:pPr>
            <w:r>
              <w:t>Related change record</w:t>
            </w:r>
          </w:p>
        </w:tc>
        <w:tc>
          <w:tcPr>
            <w:tcW w:type="dxa" w:w="5400"/>
          </w:tcPr>
          <w:p>
            <w:pPr>
              <w:spacing w:after="0" w:before="0" w:line="240" w:lineRule="auto"/>
              <w:jc w:val="left"/>
            </w:pPr>
            <w:r>
              <w:t>Reference to relevant modification history</w:t>
            </w:r>
          </w:p>
        </w:tc>
      </w:tr>
    </w:tbl>
    <w:p/>
    <w:p>
      <w:r>
        <w:t>A register can be maintained in an approved CMMS, EAM platform, controlled database, or another governed repository.</w:t>
      </w:r>
    </w:p>
    <w:p>
      <w:r>
        <w:t>Avoid maintaining multiple disconnected registers that assign different IDs to the same physical machine.</w:t>
      </w:r>
    </w:p>
    <w:p>
      <w:pPr>
        <w:pStyle w:val="Heading2"/>
      </w:pPr>
      <w:r>
        <w:t>10. Device Inventory Under Each Machine ID</w:t>
      </w:r>
    </w:p>
    <w:p>
      <w:r>
        <w:t>A machine-level register should connect the machine to its installed automation components.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Machine ID</w:t>
            </w:r>
          </w:p>
        </w:tc>
        <w:tc>
          <w:tcPr>
            <w:tcW w:type="dxa" w:w="2160"/>
            <w:shd w:val="clear" w:color="auto" w:fill="EEF2F7"/>
          </w:tcPr>
          <w:p>
            <w:pPr>
              <w:spacing w:after="0" w:before="0" w:line="240" w:lineRule="auto"/>
              <w:jc w:val="left"/>
            </w:pPr>
            <w:r>
              <w:rPr>
                <w:b/>
                <w:color w:val="1A2E4A"/>
              </w:rPr>
              <w:t>Device ID</w:t>
            </w:r>
          </w:p>
        </w:tc>
        <w:tc>
          <w:tcPr>
            <w:tcW w:type="dxa" w:w="2160"/>
            <w:shd w:val="clear" w:color="auto" w:fill="EEF2F7"/>
          </w:tcPr>
          <w:p>
            <w:pPr>
              <w:spacing w:after="0" w:before="0" w:line="240" w:lineRule="auto"/>
              <w:jc w:val="left"/>
            </w:pPr>
            <w:r>
              <w:rPr>
                <w:b/>
                <w:color w:val="1A2E4A"/>
              </w:rPr>
              <w:t>Device type</w:t>
            </w:r>
          </w:p>
        </w:tc>
        <w:tc>
          <w:tcPr>
            <w:tcW w:type="dxa" w:w="2160"/>
            <w:shd w:val="clear" w:color="auto" w:fill="EEF2F7"/>
          </w:tcPr>
          <w:p>
            <w:pPr>
              <w:spacing w:after="0" w:before="0" w:line="240" w:lineRule="auto"/>
              <w:jc w:val="left"/>
            </w:pPr>
            <w:r>
              <w:rPr>
                <w:b/>
                <w:color w:val="1A2E4A"/>
              </w:rPr>
              <w:t>Model</w:t>
            </w:r>
          </w:p>
        </w:tc>
        <w:tc>
          <w:tcPr>
            <w:tcW w:type="dxa" w:w="2160"/>
            <w:shd w:val="clear" w:color="auto" w:fill="EEF2F7"/>
          </w:tcPr>
          <w:p>
            <w:pPr>
              <w:spacing w:after="0" w:before="0" w:line="240" w:lineRule="auto"/>
              <w:jc w:val="left"/>
            </w:pPr>
            <w:r>
              <w:rPr>
                <w:b/>
                <w:color w:val="1A2E4A"/>
              </w:rPr>
              <w:t>Firmware or software</w:t>
            </w:r>
          </w:p>
        </w:tc>
      </w:tr>
      <w:tr>
        <w:tc>
          <w:tcPr>
            <w:tcW w:type="dxa" w:w="2160"/>
          </w:tcPr>
          <w:p>
            <w:pPr>
              <w:spacing w:after="0" w:before="0" w:line="240" w:lineRule="auto"/>
              <w:jc w:val="left"/>
            </w:pPr>
            <w:r>
              <w:rPr>
                <w:rFonts w:ascii="Consolas" w:hAnsi="Consolas"/>
                <w:color w:val="333333"/>
                <w:sz w:val="19"/>
                <w:shd w:val="clear" w:color="auto" w:fill="EFEFEF"/>
              </w:rPr>
              <w:t>TB-014</w:t>
            </w:r>
          </w:p>
        </w:tc>
        <w:tc>
          <w:tcPr>
            <w:tcW w:type="dxa" w:w="2160"/>
          </w:tcPr>
          <w:p>
            <w:pPr>
              <w:spacing w:after="0" w:before="0" w:line="240" w:lineRule="auto"/>
              <w:jc w:val="left"/>
            </w:pPr>
            <w:r>
              <w:rPr>
                <w:rFonts w:ascii="Consolas" w:hAnsi="Consolas"/>
                <w:color w:val="333333"/>
                <w:sz w:val="19"/>
                <w:shd w:val="clear" w:color="auto" w:fill="EFEFEF"/>
              </w:rPr>
              <w:t>PLC-TB014-CPU01</w:t>
            </w:r>
          </w:p>
        </w:tc>
        <w:tc>
          <w:tcPr>
            <w:tcW w:type="dxa" w:w="2160"/>
          </w:tcPr>
          <w:p>
            <w:pPr>
              <w:spacing w:after="0" w:before="0" w:line="240" w:lineRule="auto"/>
              <w:jc w:val="left"/>
            </w:pPr>
            <w:r>
              <w:t>PLC</w:t>
            </w:r>
          </w:p>
        </w:tc>
        <w:tc>
          <w:tcPr>
            <w:tcW w:type="dxa" w:w="2160"/>
          </w:tcPr>
          <w:p>
            <w:pPr>
              <w:spacing w:after="0" w:before="0" w:line="240" w:lineRule="auto"/>
              <w:jc w:val="left"/>
            </w:pPr>
            <w:r>
              <w:t>Installed model</w:t>
            </w:r>
          </w:p>
        </w:tc>
        <w:tc>
          <w:tcPr>
            <w:tcW w:type="dxa" w:w="2160"/>
          </w:tcPr>
          <w:p>
            <w:pPr>
              <w:spacing w:after="0" w:before="0" w:line="240" w:lineRule="auto"/>
              <w:jc w:val="left"/>
            </w:pPr>
            <w:r>
              <w:t>Recorded version</w:t>
            </w:r>
          </w:p>
        </w:tc>
      </w:tr>
      <w:tr>
        <w:tc>
          <w:tcPr>
            <w:tcW w:type="dxa" w:w="2160"/>
          </w:tcPr>
          <w:p>
            <w:pPr>
              <w:spacing w:after="0" w:before="0" w:line="240" w:lineRule="auto"/>
              <w:jc w:val="left"/>
            </w:pPr>
            <w:r>
              <w:rPr>
                <w:rFonts w:ascii="Consolas" w:hAnsi="Consolas"/>
                <w:color w:val="333333"/>
                <w:sz w:val="19"/>
                <w:shd w:val="clear" w:color="auto" w:fill="EFEFEF"/>
              </w:rPr>
              <w:t>TB-014</w:t>
            </w:r>
          </w:p>
        </w:tc>
        <w:tc>
          <w:tcPr>
            <w:tcW w:type="dxa" w:w="2160"/>
          </w:tcPr>
          <w:p>
            <w:pPr>
              <w:spacing w:after="0" w:before="0" w:line="240" w:lineRule="auto"/>
              <w:jc w:val="left"/>
            </w:pPr>
            <w:r>
              <w:rPr>
                <w:rFonts w:ascii="Consolas" w:hAnsi="Consolas"/>
                <w:color w:val="333333"/>
                <w:sz w:val="19"/>
                <w:shd w:val="clear" w:color="auto" w:fill="EFEFEF"/>
              </w:rPr>
              <w:t>HMI-TB014-01</w:t>
            </w:r>
          </w:p>
        </w:tc>
        <w:tc>
          <w:tcPr>
            <w:tcW w:type="dxa" w:w="2160"/>
          </w:tcPr>
          <w:p>
            <w:pPr>
              <w:spacing w:after="0" w:before="0" w:line="240" w:lineRule="auto"/>
              <w:jc w:val="left"/>
            </w:pPr>
            <w:r>
              <w:t>HMI</w:t>
            </w:r>
          </w:p>
        </w:tc>
        <w:tc>
          <w:tcPr>
            <w:tcW w:type="dxa" w:w="2160"/>
          </w:tcPr>
          <w:p>
            <w:pPr>
              <w:spacing w:after="0" w:before="0" w:line="240" w:lineRule="auto"/>
              <w:jc w:val="left"/>
            </w:pPr>
            <w:r>
              <w:t>Installed model</w:t>
            </w:r>
          </w:p>
        </w:tc>
        <w:tc>
          <w:tcPr>
            <w:tcW w:type="dxa" w:w="2160"/>
          </w:tcPr>
          <w:p>
            <w:pPr>
              <w:spacing w:after="0" w:before="0" w:line="240" w:lineRule="auto"/>
              <w:jc w:val="left"/>
            </w:pPr>
            <w:r>
              <w:t>Recorded version</w:t>
            </w:r>
          </w:p>
        </w:tc>
      </w:tr>
      <w:tr>
        <w:tc>
          <w:tcPr>
            <w:tcW w:type="dxa" w:w="2160"/>
          </w:tcPr>
          <w:p>
            <w:pPr>
              <w:spacing w:after="0" w:before="0" w:line="240" w:lineRule="auto"/>
              <w:jc w:val="left"/>
            </w:pPr>
            <w:r>
              <w:rPr>
                <w:rFonts w:ascii="Consolas" w:hAnsi="Consolas"/>
                <w:color w:val="333333"/>
                <w:sz w:val="19"/>
                <w:shd w:val="clear" w:color="auto" w:fill="EFEFEF"/>
              </w:rPr>
              <w:t>TB-014</w:t>
            </w:r>
          </w:p>
        </w:tc>
        <w:tc>
          <w:tcPr>
            <w:tcW w:type="dxa" w:w="2160"/>
          </w:tcPr>
          <w:p>
            <w:pPr>
              <w:spacing w:after="0" w:before="0" w:line="240" w:lineRule="auto"/>
              <w:jc w:val="left"/>
            </w:pPr>
            <w:r>
              <w:rPr>
                <w:rFonts w:ascii="Consolas" w:hAnsi="Consolas"/>
                <w:color w:val="333333"/>
                <w:sz w:val="19"/>
                <w:shd w:val="clear" w:color="auto" w:fill="EFEFEF"/>
              </w:rPr>
              <w:t>VFD-TB014-01</w:t>
            </w:r>
          </w:p>
        </w:tc>
        <w:tc>
          <w:tcPr>
            <w:tcW w:type="dxa" w:w="2160"/>
          </w:tcPr>
          <w:p>
            <w:pPr>
              <w:spacing w:after="0" w:before="0" w:line="240" w:lineRule="auto"/>
              <w:jc w:val="left"/>
            </w:pPr>
            <w:r>
              <w:t>VFD</w:t>
            </w:r>
          </w:p>
        </w:tc>
        <w:tc>
          <w:tcPr>
            <w:tcW w:type="dxa" w:w="2160"/>
          </w:tcPr>
          <w:p>
            <w:pPr>
              <w:spacing w:after="0" w:before="0" w:line="240" w:lineRule="auto"/>
              <w:jc w:val="left"/>
            </w:pPr>
            <w:r>
              <w:t>Installed model</w:t>
            </w:r>
          </w:p>
        </w:tc>
        <w:tc>
          <w:tcPr>
            <w:tcW w:type="dxa" w:w="2160"/>
          </w:tcPr>
          <w:p>
            <w:pPr>
              <w:spacing w:after="0" w:before="0" w:line="240" w:lineRule="auto"/>
              <w:jc w:val="left"/>
            </w:pPr>
            <w:r>
              <w:t>Recorded version</w:t>
            </w:r>
          </w:p>
        </w:tc>
      </w:tr>
      <w:tr>
        <w:tc>
          <w:tcPr>
            <w:tcW w:type="dxa" w:w="2160"/>
          </w:tcPr>
          <w:p>
            <w:pPr>
              <w:spacing w:after="0" w:before="0" w:line="240" w:lineRule="auto"/>
              <w:jc w:val="left"/>
            </w:pPr>
            <w:r>
              <w:rPr>
                <w:rFonts w:ascii="Consolas" w:hAnsi="Consolas"/>
                <w:color w:val="333333"/>
                <w:sz w:val="19"/>
                <w:shd w:val="clear" w:color="auto" w:fill="EFEFEF"/>
              </w:rPr>
              <w:t>TB-014</w:t>
            </w:r>
          </w:p>
        </w:tc>
        <w:tc>
          <w:tcPr>
            <w:tcW w:type="dxa" w:w="2160"/>
          </w:tcPr>
          <w:p>
            <w:pPr>
              <w:spacing w:after="0" w:before="0" w:line="240" w:lineRule="auto"/>
              <w:jc w:val="left"/>
            </w:pPr>
            <w:r>
              <w:rPr>
                <w:rFonts w:ascii="Consolas" w:hAnsi="Consolas"/>
                <w:color w:val="333333"/>
                <w:sz w:val="19"/>
                <w:shd w:val="clear" w:color="auto" w:fill="EFEFEF"/>
              </w:rPr>
              <w:t>IPC-TB014-01</w:t>
            </w:r>
          </w:p>
        </w:tc>
        <w:tc>
          <w:tcPr>
            <w:tcW w:type="dxa" w:w="2160"/>
          </w:tcPr>
          <w:p>
            <w:pPr>
              <w:spacing w:after="0" w:before="0" w:line="240" w:lineRule="auto"/>
              <w:jc w:val="left"/>
            </w:pPr>
            <w:r>
              <w:t>IPC</w:t>
            </w:r>
          </w:p>
        </w:tc>
        <w:tc>
          <w:tcPr>
            <w:tcW w:type="dxa" w:w="2160"/>
          </w:tcPr>
          <w:p>
            <w:pPr>
              <w:spacing w:after="0" w:before="0" w:line="240" w:lineRule="auto"/>
              <w:jc w:val="left"/>
            </w:pPr>
            <w:r>
              <w:t>Installed model</w:t>
            </w:r>
          </w:p>
        </w:tc>
        <w:tc>
          <w:tcPr>
            <w:tcW w:type="dxa" w:w="2160"/>
          </w:tcPr>
          <w:p>
            <w:pPr>
              <w:spacing w:after="0" w:before="0" w:line="240" w:lineRule="auto"/>
              <w:jc w:val="left"/>
            </w:pPr>
            <w:r>
              <w:t>Recorded version</w:t>
            </w:r>
          </w:p>
        </w:tc>
      </w:tr>
    </w:tbl>
    <w:p/>
    <w:p>
      <w:r>
        <w:t>The values above are examples of fields, not claims about a particular installation.</w:t>
      </w:r>
    </w:p>
    <w:p>
      <w:r>
        <w:t>This inventory is especially useful during obsolescence management and replacement planning. It helps identify which machines depend on a particular controller, drive, software package, or discontinued component.</w:t>
      </w:r>
    </w:p>
    <w:p>
      <w:pPr>
        <w:pStyle w:val="Heading2"/>
      </w:pPr>
      <w:r>
        <w:t>11. Backup Provenance: Which Machine Did the File Come From?</w:t>
      </w:r>
    </w:p>
    <w:p>
      <w:r>
        <w:t>Correctly naming a file does not guarantee that it came from the machine identified in its name.</w:t>
      </w:r>
    </w:p>
    <w:p>
      <w:r>
        <w:t>A backup might be exported from the wrong controller and then saved under the intended machine's folder. That creates a misleading record.</w:t>
      </w:r>
    </w:p>
    <w:p>
      <w:r>
        <w:t>Record provenance information where possible:</w:t>
      </w:r>
    </w:p>
    <w:p>
      <w:pPr>
        <w:pStyle w:val="ListBullet"/>
      </w:pPr>
      <w:r>
        <w:t>Machine ID from the controlled asset register.</w:t>
      </w:r>
    </w:p>
    <w:p>
      <w:pPr>
        <w:pStyle w:val="ListBullet"/>
      </w:pPr>
      <w:r>
        <w:t>Device ID from the installed-device register.</w:t>
      </w:r>
    </w:p>
    <w:p>
      <w:pPr>
        <w:pStyle w:val="ListBullet"/>
      </w:pPr>
      <w:r>
        <w:t>Physical or network identification observed during capture.</w:t>
      </w:r>
    </w:p>
    <w:p>
      <w:pPr>
        <w:pStyle w:val="ListBullet"/>
      </w:pPr>
      <w:r>
        <w:t>Controller or device serial number, where available.</w:t>
      </w:r>
    </w:p>
    <w:p>
      <w:pPr>
        <w:pStyle w:val="ListBullet"/>
      </w:pPr>
      <w:r>
        <w:t>Source hostname or network address, when relevant.</w:t>
      </w:r>
    </w:p>
    <w:p>
      <w:pPr>
        <w:pStyle w:val="ListBullet"/>
      </w:pPr>
      <w:r>
        <w:t>Engineering workstation and software used.</w:t>
      </w:r>
    </w:p>
    <w:p>
      <w:pPr>
        <w:pStyle w:val="ListBullet"/>
      </w:pPr>
      <w:r>
        <w:t>Capture timestamp and responsible person.</w:t>
      </w:r>
    </w:p>
    <w:p>
      <w:pPr>
        <w:pStyle w:val="ListBullet"/>
      </w:pPr>
      <w:r>
        <w:t>Backup method, such as controller upload or vendor export.</w:t>
      </w:r>
    </w:p>
    <w:p>
      <w:pPr>
        <w:pStyle w:val="ListBullet"/>
      </w:pPr>
      <w:r>
        <w:t>Validation and integrity-check results.</w:t>
      </w:r>
    </w:p>
    <w:p>
      <w:r>
        <w:t>Network addresses are useful supporting evidence, but they should not be treated as permanent asset identities because addresses can change or be reassigned.</w:t>
      </w:r>
    </w:p>
    <w:p>
      <w:r>
        <w:t>For high-criticality equipment, a second-person verification of the target machine and device may be appropriate before backup capture or restoration.</w:t>
      </w:r>
    </w:p>
    <w:p>
      <w:pPr>
        <w:pStyle w:val="Heading2"/>
      </w:pPr>
      <w:r>
        <w:t>12. Machine ID and Configuration Compatibility</w:t>
      </w:r>
    </w:p>
    <w:p>
      <w:r>
        <w:t>A backup is not safe to restore merely because its Machine ID matches the target.</w:t>
      </w:r>
    </w:p>
    <w:p>
      <w:r>
        <w:t>Compatibility may depend on:</w:t>
      </w:r>
    </w:p>
    <w:p>
      <w:pPr>
        <w:pStyle w:val="ListBullet"/>
      </w:pPr>
      <w:r>
        <w:t>Exact controller or device model.</w:t>
      </w:r>
    </w:p>
    <w:p>
      <w:pPr>
        <w:pStyle w:val="ListBullet"/>
      </w:pPr>
      <w:r>
        <w:t>Hardware revision.</w:t>
      </w:r>
    </w:p>
    <w:p>
      <w:pPr>
        <w:pStyle w:val="ListBullet"/>
      </w:pPr>
      <w:r>
        <w:t>Firmware revision.</w:t>
      </w:r>
    </w:p>
    <w:p>
      <w:pPr>
        <w:pStyle w:val="ListBullet"/>
      </w:pPr>
      <w:r>
        <w:t>I/O module arrangement.</w:t>
      </w:r>
    </w:p>
    <w:p>
      <w:pPr>
        <w:pStyle w:val="ListBullet"/>
      </w:pPr>
      <w:r>
        <w:t>Communication network configuration.</w:t>
      </w:r>
    </w:p>
    <w:p>
      <w:pPr>
        <w:pStyle w:val="ListBullet"/>
      </w:pPr>
      <w:r>
        <w:t>Installed software and runtime versions.</w:t>
      </w:r>
    </w:p>
    <w:p>
      <w:pPr>
        <w:pStyle w:val="ListBullet"/>
      </w:pPr>
      <w:r>
        <w:t>Application libraries and dependencies.</w:t>
      </w:r>
    </w:p>
    <w:p>
      <w:pPr>
        <w:pStyle w:val="ListBullet"/>
      </w:pPr>
      <w:r>
        <w:t>Machine-specific parameters.</w:t>
      </w:r>
    </w:p>
    <w:p>
      <w:pPr>
        <w:pStyle w:val="ListBullet"/>
      </w:pPr>
      <w:r>
        <w:t>Safety configuration and validation status.</w:t>
      </w:r>
    </w:p>
    <w:p>
      <w:pPr>
        <w:pStyle w:val="ListBullet"/>
      </w:pPr>
      <w:r>
        <w:t>Connected equipment and interface requirements.</w:t>
      </w:r>
    </w:p>
    <w:p>
      <w:r>
        <w:t>The Machine ID identifies the intended asset. Compatibility checks establish whether the backup can be used on the intended hardware and software environment.</w:t>
      </w:r>
    </w:p>
    <w:p>
      <w:r>
        <w:t>If hardware has been replaced or upgraded, preserve the relationship between the original device, replacement device, and associated configuration history.</w:t>
      </w:r>
    </w:p>
    <w:p>
      <w:pPr>
        <w:pStyle w:val="Heading2"/>
      </w:pPr>
      <w:r>
        <w:t>13. Handling Machine Replacement and Retrofit</w:t>
      </w:r>
    </w:p>
    <w:p>
      <w:r>
        <w:t>Machine identity and device identity must be managed carefully when equipment changes.</w:t>
      </w:r>
    </w:p>
    <w:p>
      <w:pPr>
        <w:pStyle w:val="Heading3"/>
      </w:pPr>
      <w:r>
        <w:t>Scenario A: PLC Replacement</w:t>
      </w:r>
    </w:p>
    <w:p>
      <w:r>
        <w:t>A PLC CPU fails and is replaced with a compatible unit.</w:t>
      </w:r>
    </w:p>
    <w:p>
      <w:pPr>
        <w:pStyle w:val="ListBullet"/>
      </w:pPr>
      <w:r>
        <w:t>Keep the Machine ID unchanged because the physical machine remains the same.</w:t>
      </w:r>
    </w:p>
    <w:p>
      <w:pPr>
        <w:pStyle w:val="ListBullet"/>
      </w:pPr>
      <w:r>
        <w:t>Update the device inventory to record the replacement PLC.</w:t>
      </w:r>
    </w:p>
    <w:p>
      <w:pPr>
        <w:pStyle w:val="ListBullet"/>
      </w:pPr>
      <w:r>
        <w:t>Record the new device serial number and hardware revision where applicable.</w:t>
      </w:r>
    </w:p>
    <w:p>
      <w:pPr>
        <w:pStyle w:val="ListBullet"/>
      </w:pPr>
      <w:r>
        <w:t>Preserve the old PLC's historical backups.</w:t>
      </w:r>
    </w:p>
    <w:p>
      <w:pPr>
        <w:pStyle w:val="ListBullet"/>
      </w:pPr>
      <w:r>
        <w:t>Record the restoration source and validation results.</w:t>
      </w:r>
    </w:p>
    <w:p>
      <w:pPr>
        <w:pStyle w:val="ListBullet"/>
      </w:pPr>
      <w:r>
        <w:t>Capture a new verified state after commissioning, as permitted by the approved procedure.</w:t>
      </w:r>
    </w:p>
    <w:p>
      <w:pPr>
        <w:pStyle w:val="Heading3"/>
      </w:pPr>
      <w:r>
        <w:t>Scenario B: Machine Relocation</w:t>
      </w:r>
    </w:p>
    <w:p>
      <w:r>
        <w:t>A machine moves from one production area to another.</w:t>
      </w:r>
    </w:p>
    <w:p>
      <w:pPr>
        <w:pStyle w:val="ListBullet"/>
      </w:pPr>
      <w:r>
        <w:t>Retain the stable Machine ID unless the asset-management policy requires otherwise.</w:t>
      </w:r>
    </w:p>
    <w:p>
      <w:pPr>
        <w:pStyle w:val="ListBullet"/>
      </w:pPr>
      <w:r>
        <w:t>Update the physical location in the asset register.</w:t>
      </w:r>
    </w:p>
    <w:p>
      <w:pPr>
        <w:pStyle w:val="ListBullet"/>
      </w:pPr>
      <w:r>
        <w:t>Preserve previous location and change history.</w:t>
      </w:r>
    </w:p>
    <w:p>
      <w:pPr>
        <w:pStyle w:val="ListBullet"/>
      </w:pPr>
      <w:r>
        <w:t>Review network addresses, communication routes, and dependencies.</w:t>
      </w:r>
    </w:p>
    <w:p>
      <w:pPr>
        <w:pStyle w:val="ListBullet"/>
      </w:pPr>
      <w:r>
        <w:t>Record any resulting configuration changes.</w:t>
      </w:r>
    </w:p>
    <w:p>
      <w:pPr>
        <w:pStyle w:val="Heading3"/>
      </w:pPr>
      <w:r>
        <w:t>Scenario C: Major Retrofit</w:t>
      </w:r>
    </w:p>
    <w:p>
      <w:r>
        <w:t>A machine receives a new PLC platform, HMI, or control architecture.</w:t>
      </w:r>
    </w:p>
    <w:p>
      <w:pPr>
        <w:pStyle w:val="ListBullet"/>
      </w:pPr>
      <w:r>
        <w:t>Retain the original machine identity when the equipment remains the same managed asset.</w:t>
      </w:r>
    </w:p>
    <w:p>
      <w:pPr>
        <w:pStyle w:val="ListBullet"/>
      </w:pPr>
      <w:r>
        <w:t>Record the retrofit as a controlled change.</w:t>
      </w:r>
    </w:p>
    <w:p>
      <w:pPr>
        <w:pStyle w:val="ListBullet"/>
      </w:pPr>
      <w:r>
        <w:t>Preserve the original architecture's backups.</w:t>
      </w:r>
    </w:p>
    <w:p>
      <w:pPr>
        <w:pStyle w:val="ListBullet"/>
      </w:pPr>
      <w:r>
        <w:t>Identify the new devices and software versions.</w:t>
      </w:r>
    </w:p>
    <w:p>
      <w:pPr>
        <w:pStyle w:val="ListBullet"/>
      </w:pPr>
      <w:r>
        <w:t>Create and validate the new configuration baseline.</w:t>
      </w:r>
    </w:p>
    <w:p>
      <w:pPr>
        <w:pStyle w:val="ListBullet"/>
      </w:pPr>
      <w:r>
        <w:t>Maintain migration records linking old and new configurations.</w:t>
      </w:r>
    </w:p>
    <w:p>
      <w:pPr>
        <w:pStyle w:val="Heading3"/>
      </w:pPr>
      <w:r>
        <w:t>Scenario D: Two Machines Are Merged or One Machine Is Split</w:t>
      </w:r>
    </w:p>
    <w:p>
      <w:r>
        <w:t>Follow the plant's asset-management rules. Preserve the original IDs and the relationship between retired, merged, or newly created assets. Never silently reuse an old Machine ID for unrelated equipment.</w:t>
      </w:r>
    </w:p>
    <w:p>
      <w:pPr>
        <w:pStyle w:val="Heading2"/>
      </w:pPr>
      <w:r>
        <w:t>14. Machine ID and Actual-State Captures</w:t>
      </w:r>
    </w:p>
    <w:p>
      <w:r>
        <w:t>An actual-state capture documents what was present on the physical machine at a particular point in time.</w:t>
      </w:r>
    </w:p>
    <w:p>
      <w:r>
        <w:t>It should be linked to:</w:t>
      </w:r>
    </w:p>
    <w:p>
      <w:pPr>
        <w:pStyle w:val="ListBullet"/>
      </w:pPr>
      <w:r>
        <w:t>The machine's stable ID.</w:t>
      </w:r>
    </w:p>
    <w:p>
      <w:pPr>
        <w:pStyle w:val="ListBullet"/>
      </w:pPr>
      <w:r>
        <w:t>The individual device ID.</w:t>
      </w:r>
    </w:p>
    <w:p>
      <w:pPr>
        <w:pStyle w:val="ListBullet"/>
      </w:pPr>
      <w:r>
        <w:t>Capture date and time.</w:t>
      </w:r>
    </w:p>
    <w:p>
      <w:pPr>
        <w:pStyle w:val="ListBullet"/>
      </w:pPr>
      <w:r>
        <w:t>The capture method and source.</w:t>
      </w:r>
    </w:p>
    <w:p>
      <w:pPr>
        <w:pStyle w:val="ListBullet"/>
      </w:pPr>
      <w:r>
        <w:t>The device identity observed during capture.</w:t>
      </w:r>
    </w:p>
    <w:p>
      <w:pPr>
        <w:pStyle w:val="ListBullet"/>
      </w:pPr>
      <w:r>
        <w:t>Relevant hardware and firmware information.</w:t>
      </w:r>
    </w:p>
    <w:p>
      <w:pPr>
        <w:pStyle w:val="ListBullet"/>
      </w:pPr>
      <w:r>
        <w:t>Integrity-check results.</w:t>
      </w:r>
    </w:p>
    <w:p>
      <w:pPr>
        <w:pStyle w:val="ListBullet"/>
      </w:pPr>
      <w:r>
        <w:t>The capture's verification and approval status.</w:t>
      </w:r>
    </w:p>
    <w:p>
      <w:r>
        <w:t>For example, an uploaded PLC project should not automatically be classified as the approved master. It is evidence of the state retrieved from the controller, subject to the capture method's limitations.</w:t>
      </w:r>
    </w:p>
    <w:p>
      <w:r>
        <w:t>Where practical, compare the actual-state capture with the approved master to identify configuration drift.</w:t>
      </w:r>
    </w:p>
    <w:p>
      <w:pPr>
        <w:pStyle w:val="Heading2"/>
      </w:pPr>
      <w:r>
        <w:t>15. Machine ID and Disaster Recovery</w:t>
      </w:r>
    </w:p>
    <w:p>
      <w:r>
        <w:t>During recovery, the machine identity must be confirmed before a file is restored.</w:t>
      </w:r>
    </w:p>
    <w:p>
      <w:r>
        <w:t>A practical process is:</w:t>
      </w:r>
    </w:p>
    <w:p>
      <w:pPr>
        <w:tabs>
          <w:tab w:pos="403" w:val="left"/>
        </w:tabs>
        <w:spacing w:after="40" w:line="276" w:lineRule="auto"/>
        <w:ind w:left="403" w:hanging="403"/>
        <w:jc w:val="left"/>
      </w:pPr>
      <w:r>
        <w:rPr>
          <w:color w:val="1A2E4A"/>
        </w:rPr>
        <w:t>1.</w:t>
        <w:tab/>
      </w:r>
      <w:r>
        <w:t>Identify the failed physical machine.</w:t>
      </w:r>
    </w:p>
    <w:p>
      <w:pPr>
        <w:tabs>
          <w:tab w:pos="403" w:val="left"/>
        </w:tabs>
        <w:spacing w:after="40" w:line="276" w:lineRule="auto"/>
        <w:ind w:left="403" w:hanging="403"/>
        <w:jc w:val="left"/>
      </w:pPr>
      <w:r>
        <w:rPr>
          <w:color w:val="1A2E4A"/>
        </w:rPr>
        <w:t>2.</w:t>
        <w:tab/>
      </w:r>
      <w:r>
        <w:t>Confirm its Machine ID in the asset register.</w:t>
      </w:r>
    </w:p>
    <w:p>
      <w:pPr>
        <w:tabs>
          <w:tab w:pos="403" w:val="left"/>
        </w:tabs>
        <w:spacing w:after="40" w:line="276" w:lineRule="auto"/>
        <w:ind w:left="403" w:hanging="403"/>
        <w:jc w:val="left"/>
      </w:pPr>
      <w:r>
        <w:rPr>
          <w:color w:val="1A2E4A"/>
        </w:rPr>
        <w:t>3.</w:t>
        <w:tab/>
      </w:r>
      <w:r>
        <w:t>Identify the target device and its Device ID.</w:t>
      </w:r>
    </w:p>
    <w:p>
      <w:pPr>
        <w:tabs>
          <w:tab w:pos="403" w:val="left"/>
        </w:tabs>
        <w:spacing w:after="40" w:line="276" w:lineRule="auto"/>
        <w:ind w:left="403" w:hanging="403"/>
        <w:jc w:val="left"/>
      </w:pPr>
      <w:r>
        <w:rPr>
          <w:color w:val="1A2E4A"/>
        </w:rPr>
        <w:t>4.</w:t>
        <w:tab/>
      </w:r>
      <w:r>
        <w:t>Verify the installed model, hardware revision, and firmware.</w:t>
      </w:r>
    </w:p>
    <w:p>
      <w:pPr>
        <w:tabs>
          <w:tab w:pos="403" w:val="left"/>
        </w:tabs>
        <w:spacing w:after="40" w:line="276" w:lineRule="auto"/>
        <w:ind w:left="403" w:hanging="403"/>
        <w:jc w:val="left"/>
      </w:pPr>
      <w:r>
        <w:rPr>
          <w:color w:val="1A2E4A"/>
        </w:rPr>
        <w:t>5.</w:t>
        <w:tab/>
      </w:r>
      <w:r>
        <w:t>Locate historical backups associated with that machine and device.</w:t>
      </w:r>
    </w:p>
    <w:p>
      <w:pPr>
        <w:tabs>
          <w:tab w:pos="403" w:val="left"/>
        </w:tabs>
        <w:spacing w:after="40" w:line="276" w:lineRule="auto"/>
        <w:ind w:left="403" w:hanging="403"/>
        <w:jc w:val="left"/>
      </w:pPr>
      <w:r>
        <w:rPr>
          <w:color w:val="1A2E4A"/>
        </w:rPr>
        <w:t>6.</w:t>
        <w:tab/>
      </w:r>
      <w:r>
        <w:t>Check capture date, source, integrity, and approval status.</w:t>
      </w:r>
    </w:p>
    <w:p>
      <w:pPr>
        <w:tabs>
          <w:tab w:pos="403" w:val="left"/>
        </w:tabs>
        <w:spacing w:after="40" w:line="276" w:lineRule="auto"/>
        <w:ind w:left="403" w:hanging="403"/>
        <w:jc w:val="left"/>
      </w:pPr>
      <w:r>
        <w:rPr>
          <w:color w:val="1A2E4A"/>
        </w:rPr>
        <w:t>7.</w:t>
        <w:tab/>
      </w:r>
      <w:r>
        <w:t>Compare candidate versions and choose the appropriate recovery reference.</w:t>
      </w:r>
    </w:p>
    <w:p>
      <w:pPr>
        <w:tabs>
          <w:tab w:pos="403" w:val="left"/>
        </w:tabs>
        <w:spacing w:after="40" w:line="276" w:lineRule="auto"/>
        <w:ind w:left="403" w:hanging="403"/>
        <w:jc w:val="left"/>
      </w:pPr>
      <w:r>
        <w:rPr>
          <w:color w:val="1A2E4A"/>
        </w:rPr>
        <w:t>8.</w:t>
        <w:tab/>
      </w:r>
      <w:r>
        <w:t>Obtain required approvals and apply the approved restoration procedure.</w:t>
      </w:r>
    </w:p>
    <w:p>
      <w:pPr>
        <w:tabs>
          <w:tab w:pos="403" w:val="left"/>
        </w:tabs>
        <w:spacing w:after="40" w:line="276" w:lineRule="auto"/>
        <w:ind w:left="403" w:hanging="403"/>
        <w:jc w:val="left"/>
      </w:pPr>
      <w:r>
        <w:rPr>
          <w:color w:val="1A2E4A"/>
        </w:rPr>
        <w:t>9.</w:t>
        <w:tab/>
      </w:r>
      <w:r>
        <w:t>Validate machine functions, communications, safety functions, and production quality as applicable.</w:t>
      </w:r>
    </w:p>
    <w:p>
      <w:pPr>
        <w:tabs>
          <w:tab w:pos="403" w:val="left"/>
        </w:tabs>
        <w:spacing w:after="40" w:line="276" w:lineRule="auto"/>
        <w:ind w:left="403" w:hanging="403"/>
        <w:jc w:val="left"/>
      </w:pPr>
      <w:r>
        <w:rPr>
          <w:color w:val="1A2E4A"/>
        </w:rPr>
        <w:t>10.</w:t>
        <w:tab/>
      </w:r>
      <w:r>
        <w:t>Record the selected backup, restoration results, and new configuration state.</w:t>
      </w:r>
    </w:p>
    <w:p>
      <w:r>
        <w:t>Never restore a safety-related configuration or operate machinery based solely on matching IDs. Follow the applicable safety procedures, manufacturer's requirements, and authorized validation process.</w:t>
      </w:r>
    </w:p>
    <w:p>
      <w:pPr>
        <w:pStyle w:val="Heading2"/>
      </w:pPr>
      <w:r>
        <w:t>16. Database and Backup Index Design</w:t>
      </w:r>
    </w:p>
    <w:p>
      <w:r>
        <w:t>For a large repository, a structured backup index makes Machine ID-based retrieval more reliable than manually searching folders.</w:t>
      </w:r>
    </w:p>
    <w:p>
      <w:r>
        <w:t>A conceptual record might contain:</w:t>
      </w:r>
    </w:p>
    <w:p>
      <w:pPr>
        <w:shd w:val="clear" w:color="auto" w:fill="F4F4F4"/>
        <w:spacing w:before="0" w:after="0" w:line="240" w:lineRule="auto"/>
        <w:ind w:left="216" w:right="216"/>
        <w:jc w:val="left"/>
      </w:pPr>
      <w:r>
        <w:rPr>
          <w:rFonts w:ascii="Consolas" w:hAnsi="Consolas"/>
          <w:color w:val="202020"/>
          <w:sz w:val="18"/>
        </w:rPr>
        <w:t>BACKUP_ID</w:t>
      </w:r>
    </w:p>
    <w:p>
      <w:pPr>
        <w:shd w:val="clear" w:color="auto" w:fill="F4F4F4"/>
        <w:spacing w:before="0" w:after="0" w:line="240" w:lineRule="auto"/>
        <w:ind w:left="216" w:right="216"/>
        <w:jc w:val="left"/>
      </w:pPr>
      <w:r>
        <w:rPr>
          <w:rFonts w:ascii="Consolas" w:hAnsi="Consolas"/>
          <w:color w:val="202020"/>
          <w:sz w:val="18"/>
        </w:rPr>
        <w:t>MACHINE_ID</w:t>
      </w:r>
    </w:p>
    <w:p>
      <w:pPr>
        <w:shd w:val="clear" w:color="auto" w:fill="F4F4F4"/>
        <w:spacing w:before="0" w:after="0" w:line="240" w:lineRule="auto"/>
        <w:ind w:left="216" w:right="216"/>
        <w:jc w:val="left"/>
      </w:pPr>
      <w:r>
        <w:rPr>
          <w:rFonts w:ascii="Consolas" w:hAnsi="Consolas"/>
          <w:color w:val="202020"/>
          <w:sz w:val="18"/>
        </w:rPr>
        <w:t>DEVICE_ID</w:t>
      </w:r>
    </w:p>
    <w:p>
      <w:pPr>
        <w:shd w:val="clear" w:color="auto" w:fill="F4F4F4"/>
        <w:spacing w:before="0" w:after="0" w:line="240" w:lineRule="auto"/>
        <w:ind w:left="216" w:right="216"/>
        <w:jc w:val="left"/>
      </w:pPr>
      <w:r>
        <w:rPr>
          <w:rFonts w:ascii="Consolas" w:hAnsi="Consolas"/>
          <w:color w:val="202020"/>
          <w:sz w:val="18"/>
        </w:rPr>
        <w:t>SYSTEM_TYPE</w:t>
      </w:r>
    </w:p>
    <w:p>
      <w:pPr>
        <w:shd w:val="clear" w:color="auto" w:fill="F4F4F4"/>
        <w:spacing w:before="0" w:after="0" w:line="240" w:lineRule="auto"/>
        <w:ind w:left="216" w:right="216"/>
        <w:jc w:val="left"/>
      </w:pPr>
      <w:r>
        <w:rPr>
          <w:rFonts w:ascii="Consolas" w:hAnsi="Consolas"/>
          <w:color w:val="202020"/>
          <w:sz w:val="18"/>
        </w:rPr>
        <w:t>CAPTURE_TIMESTAMP</w:t>
      </w:r>
    </w:p>
    <w:p>
      <w:pPr>
        <w:shd w:val="clear" w:color="auto" w:fill="F4F4F4"/>
        <w:spacing w:before="0" w:after="0" w:line="240" w:lineRule="auto"/>
        <w:ind w:left="216" w:right="216"/>
        <w:jc w:val="left"/>
      </w:pPr>
      <w:r>
        <w:rPr>
          <w:rFonts w:ascii="Consolas" w:hAnsi="Consolas"/>
          <w:color w:val="202020"/>
          <w:sz w:val="18"/>
        </w:rPr>
        <w:t>TIME_ZONE</w:t>
      </w:r>
    </w:p>
    <w:p>
      <w:pPr>
        <w:shd w:val="clear" w:color="auto" w:fill="F4F4F4"/>
        <w:spacing w:before="0" w:after="0" w:line="240" w:lineRule="auto"/>
        <w:ind w:left="216" w:right="216"/>
        <w:jc w:val="left"/>
      </w:pPr>
      <w:r>
        <w:rPr>
          <w:rFonts w:ascii="Consolas" w:hAnsi="Consolas"/>
          <w:color w:val="202020"/>
          <w:sz w:val="18"/>
        </w:rPr>
        <w:t>SOURCE_TYPE</w:t>
      </w:r>
    </w:p>
    <w:p>
      <w:pPr>
        <w:shd w:val="clear" w:color="auto" w:fill="F4F4F4"/>
        <w:spacing w:before="0" w:after="0" w:line="240" w:lineRule="auto"/>
        <w:ind w:left="216" w:right="216"/>
        <w:jc w:val="left"/>
      </w:pPr>
      <w:r>
        <w:rPr>
          <w:rFonts w:ascii="Consolas" w:hAnsi="Consolas"/>
          <w:color w:val="202020"/>
          <w:sz w:val="18"/>
        </w:rPr>
        <w:t>MODEL</w:t>
      </w:r>
    </w:p>
    <w:p>
      <w:pPr>
        <w:shd w:val="clear" w:color="auto" w:fill="F4F4F4"/>
        <w:spacing w:before="0" w:after="0" w:line="240" w:lineRule="auto"/>
        <w:ind w:left="216" w:right="216"/>
        <w:jc w:val="left"/>
      </w:pPr>
      <w:r>
        <w:rPr>
          <w:rFonts w:ascii="Consolas" w:hAnsi="Consolas"/>
          <w:color w:val="202020"/>
          <w:sz w:val="18"/>
        </w:rPr>
        <w:t>HARDWARE_REVISION</w:t>
      </w:r>
    </w:p>
    <w:p>
      <w:pPr>
        <w:shd w:val="clear" w:color="auto" w:fill="F4F4F4"/>
        <w:spacing w:before="0" w:after="0" w:line="240" w:lineRule="auto"/>
        <w:ind w:left="216" w:right="216"/>
        <w:jc w:val="left"/>
      </w:pPr>
      <w:r>
        <w:rPr>
          <w:rFonts w:ascii="Consolas" w:hAnsi="Consolas"/>
          <w:color w:val="202020"/>
          <w:sz w:val="18"/>
        </w:rPr>
        <w:t>FIRMWARE_VERSION</w:t>
      </w:r>
    </w:p>
    <w:p>
      <w:pPr>
        <w:shd w:val="clear" w:color="auto" w:fill="F4F4F4"/>
        <w:spacing w:before="0" w:after="0" w:line="240" w:lineRule="auto"/>
        <w:ind w:left="216" w:right="216"/>
        <w:jc w:val="left"/>
      </w:pPr>
      <w:r>
        <w:rPr>
          <w:rFonts w:ascii="Consolas" w:hAnsi="Consolas"/>
          <w:color w:val="202020"/>
          <w:sz w:val="18"/>
        </w:rPr>
        <w:t>SOFTWARE_VERSION</w:t>
      </w:r>
    </w:p>
    <w:p>
      <w:pPr>
        <w:shd w:val="clear" w:color="auto" w:fill="F4F4F4"/>
        <w:spacing w:before="0" w:after="0" w:line="240" w:lineRule="auto"/>
        <w:ind w:left="216" w:right="216"/>
        <w:jc w:val="left"/>
      </w:pPr>
      <w:r>
        <w:rPr>
          <w:rFonts w:ascii="Consolas" w:hAnsi="Consolas"/>
          <w:color w:val="202020"/>
          <w:sz w:val="18"/>
        </w:rPr>
        <w:t>BACKUP_TYPE</w:t>
      </w:r>
    </w:p>
    <w:p>
      <w:pPr>
        <w:shd w:val="clear" w:color="auto" w:fill="F4F4F4"/>
        <w:spacing w:before="0" w:after="0" w:line="240" w:lineRule="auto"/>
        <w:ind w:left="216" w:right="216"/>
        <w:jc w:val="left"/>
      </w:pPr>
      <w:r>
        <w:rPr>
          <w:rFonts w:ascii="Consolas" w:hAnsi="Consolas"/>
          <w:color w:val="202020"/>
          <w:sz w:val="18"/>
        </w:rPr>
        <w:t>REVISION</w:t>
      </w:r>
    </w:p>
    <w:p>
      <w:pPr>
        <w:shd w:val="clear" w:color="auto" w:fill="F4F4F4"/>
        <w:spacing w:before="0" w:after="0" w:line="240" w:lineRule="auto"/>
        <w:ind w:left="216" w:right="216"/>
        <w:jc w:val="left"/>
      </w:pPr>
      <w:r>
        <w:rPr>
          <w:rFonts w:ascii="Consolas" w:hAnsi="Consolas"/>
          <w:color w:val="202020"/>
          <w:sz w:val="18"/>
        </w:rPr>
        <w:t>APPROVAL_STATUS</w:t>
      </w:r>
    </w:p>
    <w:p>
      <w:pPr>
        <w:shd w:val="clear" w:color="auto" w:fill="F4F4F4"/>
        <w:spacing w:before="0" w:after="0" w:line="240" w:lineRule="auto"/>
        <w:ind w:left="216" w:right="216"/>
        <w:jc w:val="left"/>
      </w:pPr>
      <w:r>
        <w:rPr>
          <w:rFonts w:ascii="Consolas" w:hAnsi="Consolas"/>
          <w:color w:val="202020"/>
          <w:sz w:val="18"/>
        </w:rPr>
        <w:t>CHANGE_REFERENCE</w:t>
      </w:r>
    </w:p>
    <w:p>
      <w:pPr>
        <w:shd w:val="clear" w:color="auto" w:fill="F4F4F4"/>
        <w:spacing w:before="0" w:after="0" w:line="240" w:lineRule="auto"/>
        <w:ind w:left="216" w:right="216"/>
        <w:jc w:val="left"/>
      </w:pPr>
      <w:r>
        <w:rPr>
          <w:rFonts w:ascii="Consolas" w:hAnsi="Consolas"/>
          <w:color w:val="202020"/>
          <w:sz w:val="18"/>
        </w:rPr>
        <w:t>FILE_PATH</w:t>
      </w:r>
    </w:p>
    <w:p>
      <w:pPr>
        <w:shd w:val="clear" w:color="auto" w:fill="F4F4F4"/>
        <w:spacing w:before="0" w:after="0" w:line="240" w:lineRule="auto"/>
        <w:ind w:left="216" w:right="216"/>
        <w:jc w:val="left"/>
      </w:pPr>
      <w:r>
        <w:rPr>
          <w:rFonts w:ascii="Consolas" w:hAnsi="Consolas"/>
          <w:color w:val="202020"/>
          <w:sz w:val="18"/>
        </w:rPr>
        <w:t>FILE_HASH</w:t>
      </w:r>
    </w:p>
    <w:p>
      <w:pPr>
        <w:shd w:val="clear" w:color="auto" w:fill="F4F4F4"/>
        <w:spacing w:before="0" w:after="0" w:line="240" w:lineRule="auto"/>
        <w:ind w:left="216" w:right="216"/>
        <w:jc w:val="left"/>
      </w:pPr>
      <w:r>
        <w:rPr>
          <w:rFonts w:ascii="Consolas" w:hAnsi="Consolas"/>
          <w:color w:val="202020"/>
          <w:sz w:val="18"/>
        </w:rPr>
        <w:t>INTEGRITY_STATUS</w:t>
      </w:r>
    </w:p>
    <w:p>
      <w:pPr>
        <w:shd w:val="clear" w:color="auto" w:fill="F4F4F4"/>
        <w:spacing w:before="0" w:after="0" w:line="240" w:lineRule="auto"/>
        <w:ind w:left="216" w:right="216"/>
        <w:jc w:val="left"/>
      </w:pPr>
      <w:r>
        <w:rPr>
          <w:rFonts w:ascii="Consolas" w:hAnsi="Consolas"/>
          <w:color w:val="202020"/>
          <w:sz w:val="18"/>
        </w:rPr>
        <w:t>RESTORE_TEST_STATUS</w:t>
      </w:r>
    </w:p>
    <w:p/>
    <w:p>
      <w:r>
        <w:t>Each backup event should have a unique Backup ID. The Machine ID and Device ID should reference controlled asset records rather than being freely invented for each backup.</w:t>
      </w:r>
    </w:p>
    <w:p>
      <w:pPr>
        <w:pStyle w:val="Heading3"/>
      </w:pPr>
      <w:r>
        <w:t>16.1 Example Queries</w:t>
      </w:r>
    </w:p>
    <w:p>
      <w:r>
        <w:t>A database or reporting tool could answer questions such as:</w:t>
      </w:r>
    </w:p>
    <w:p>
      <w:pPr>
        <w:pStyle w:val="ListBullet"/>
      </w:pPr>
      <w:r>
        <w:t xml:space="preserve">Show every historical backup for </w:t>
      </w:r>
      <w:r>
        <w:rPr>
          <w:rFonts w:ascii="Consolas" w:hAnsi="Consolas"/>
          <w:color w:val="333333"/>
          <w:sz w:val="19"/>
          <w:shd w:val="clear" w:color="auto" w:fill="EFEFEF"/>
        </w:rPr>
        <w:t>TB-014</w:t>
      </w:r>
      <w:r>
        <w:t>.</w:t>
      </w:r>
    </w:p>
    <w:p>
      <w:pPr>
        <w:pStyle w:val="ListBullet"/>
      </w:pPr>
      <w:r>
        <w:t xml:space="preserve">Find the latest verified backup for </w:t>
      </w:r>
      <w:r>
        <w:rPr>
          <w:rFonts w:ascii="Consolas" w:hAnsi="Consolas"/>
          <w:color w:val="333333"/>
          <w:sz w:val="19"/>
          <w:shd w:val="clear" w:color="auto" w:fill="EFEFEF"/>
        </w:rPr>
        <w:t>PLC-TB014-CPU01</w:t>
      </w:r>
      <w:r>
        <w:t>.</w:t>
      </w:r>
    </w:p>
    <w:p>
      <w:pPr>
        <w:pStyle w:val="ListBullet"/>
      </w:pPr>
      <w:r>
        <w:t>Identify machines that use a specific PLC model.</w:t>
      </w:r>
    </w:p>
    <w:p>
      <w:pPr>
        <w:pStyle w:val="ListBullet"/>
      </w:pPr>
      <w:r>
        <w:t>Find backups captured before a particular failure.</w:t>
      </w:r>
    </w:p>
    <w:p>
      <w:pPr>
        <w:pStyle w:val="ListBullet"/>
      </w:pPr>
      <w:r>
        <w:t>Identify assets whose last successful backup is older than the plant's policy allows.</w:t>
      </w:r>
    </w:p>
    <w:p>
      <w:pPr>
        <w:pStyle w:val="ListBullet"/>
      </w:pPr>
      <w:r>
        <w:t>List machines affected by a discontinued hardware component.</w:t>
      </w:r>
    </w:p>
    <w:p>
      <w:r>
        <w:t>For reporting, distinguish the latest captured file from the latest verified or approved backup. Those are different results and should not be merged into one misleading status.</w:t>
      </w:r>
    </w:p>
    <w:p>
      <w:pPr>
        <w:pStyle w:val="Heading2"/>
      </w:pPr>
      <w:r>
        <w:t>17. Machine ID Errors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Duplicate Machine IDs</w:t>
            </w:r>
          </w:p>
        </w:tc>
        <w:tc>
          <w:tcPr>
            <w:tcW w:type="dxa" w:w="3600"/>
          </w:tcPr>
          <w:p>
            <w:pPr>
              <w:spacing w:after="0" w:before="0" w:line="240" w:lineRule="auto"/>
              <w:jc w:val="left"/>
            </w:pPr>
            <w:r>
              <w:t>Backup records become ambiguous</w:t>
            </w:r>
          </w:p>
        </w:tc>
        <w:tc>
          <w:tcPr>
            <w:tcW w:type="dxa" w:w="3600"/>
          </w:tcPr>
          <w:p>
            <w:pPr>
              <w:spacing w:after="0" w:before="0" w:line="240" w:lineRule="auto"/>
              <w:jc w:val="left"/>
            </w:pPr>
            <w:r>
              <w:t>Enforce uniqueness in the asset register</w:t>
            </w:r>
          </w:p>
        </w:tc>
      </w:tr>
      <w:tr>
        <w:tc>
          <w:tcPr>
            <w:tcW w:type="dxa" w:w="3600"/>
          </w:tcPr>
          <w:p>
            <w:pPr>
              <w:spacing w:after="0" w:before="0" w:line="240" w:lineRule="auto"/>
              <w:jc w:val="left"/>
            </w:pPr>
            <w:r>
              <w:t>Wrong ID in filename</w:t>
            </w:r>
          </w:p>
        </w:tc>
        <w:tc>
          <w:tcPr>
            <w:tcW w:type="dxa" w:w="3600"/>
          </w:tcPr>
          <w:p>
            <w:pPr>
              <w:spacing w:after="0" w:before="0" w:line="240" w:lineRule="auto"/>
              <w:jc w:val="left"/>
            </w:pPr>
            <w:r>
              <w:t>Incorrect backup selection</w:t>
            </w:r>
          </w:p>
        </w:tc>
        <w:tc>
          <w:tcPr>
            <w:tcW w:type="dxa" w:w="3600"/>
          </w:tcPr>
          <w:p>
            <w:pPr>
              <w:spacing w:after="0" w:before="0" w:line="240" w:lineRule="auto"/>
              <w:jc w:val="left"/>
            </w:pPr>
            <w:r>
              <w:t>Verify ID at capture and review</w:t>
            </w:r>
          </w:p>
        </w:tc>
      </w:tr>
      <w:tr>
        <w:tc>
          <w:tcPr>
            <w:tcW w:type="dxa" w:w="3600"/>
          </w:tcPr>
          <w:p>
            <w:pPr>
              <w:spacing w:after="0" w:before="0" w:line="240" w:lineRule="auto"/>
              <w:jc w:val="left"/>
            </w:pPr>
            <w:r>
              <w:t>Device ID used as Machine ID</w:t>
            </w:r>
          </w:p>
        </w:tc>
        <w:tc>
          <w:tcPr>
            <w:tcW w:type="dxa" w:w="3600"/>
          </w:tcPr>
          <w:p>
            <w:pPr>
              <w:spacing w:after="0" w:before="0" w:line="240" w:lineRule="auto"/>
              <w:jc w:val="left"/>
            </w:pPr>
            <w:r>
              <w:t>Asset history becomes fragmented</w:t>
            </w:r>
          </w:p>
        </w:tc>
        <w:tc>
          <w:tcPr>
            <w:tcW w:type="dxa" w:w="3600"/>
          </w:tcPr>
          <w:p>
            <w:pPr>
              <w:spacing w:after="0" w:before="0" w:line="240" w:lineRule="auto"/>
              <w:jc w:val="left"/>
            </w:pPr>
            <w:r>
              <w:t>Maintain separate asset and device identifiers</w:t>
            </w:r>
          </w:p>
        </w:tc>
      </w:tr>
      <w:tr>
        <w:tc>
          <w:tcPr>
            <w:tcW w:type="dxa" w:w="3600"/>
          </w:tcPr>
          <w:p>
            <w:pPr>
              <w:spacing w:after="0" w:before="0" w:line="240" w:lineRule="auto"/>
              <w:jc w:val="left"/>
            </w:pPr>
            <w:r>
              <w:t>IP address treated as permanent identity</w:t>
            </w:r>
          </w:p>
        </w:tc>
        <w:tc>
          <w:tcPr>
            <w:tcW w:type="dxa" w:w="3600"/>
          </w:tcPr>
          <w:p>
            <w:pPr>
              <w:spacing w:after="0" w:before="0" w:line="240" w:lineRule="auto"/>
              <w:jc w:val="left"/>
            </w:pPr>
            <w:r>
              <w:t>Misidentification after network changes</w:t>
            </w:r>
          </w:p>
        </w:tc>
        <w:tc>
          <w:tcPr>
            <w:tcW w:type="dxa" w:w="3600"/>
          </w:tcPr>
          <w:p>
            <w:pPr>
              <w:spacing w:after="0" w:before="0" w:line="240" w:lineRule="auto"/>
              <w:jc w:val="left"/>
            </w:pPr>
            <w:r>
              <w:t>Use stable asset and device IDs</w:t>
            </w:r>
          </w:p>
        </w:tc>
      </w:tr>
      <w:tr>
        <w:tc>
          <w:tcPr>
            <w:tcW w:type="dxa" w:w="3600"/>
          </w:tcPr>
          <w:p>
            <w:pPr>
              <w:spacing w:after="0" w:before="0" w:line="240" w:lineRule="auto"/>
              <w:jc w:val="left"/>
            </w:pPr>
            <w:r>
              <w:t>Old ID silently reused</w:t>
            </w:r>
          </w:p>
        </w:tc>
        <w:tc>
          <w:tcPr>
            <w:tcW w:type="dxa" w:w="3600"/>
          </w:tcPr>
          <w:p>
            <w:pPr>
              <w:spacing w:after="0" w:before="0" w:line="240" w:lineRule="auto"/>
              <w:jc w:val="left"/>
            </w:pPr>
            <w:r>
              <w:t>Historical records become misleading</w:t>
            </w:r>
          </w:p>
        </w:tc>
        <w:tc>
          <w:tcPr>
            <w:tcW w:type="dxa" w:w="3600"/>
          </w:tcPr>
          <w:p>
            <w:pPr>
              <w:spacing w:after="0" w:before="0" w:line="240" w:lineRule="auto"/>
              <w:jc w:val="left"/>
            </w:pPr>
            <w:r>
              <w:t>Retain retired-ID records</w:t>
            </w:r>
          </w:p>
        </w:tc>
      </w:tr>
      <w:tr>
        <w:tc>
          <w:tcPr>
            <w:tcW w:type="dxa" w:w="3600"/>
          </w:tcPr>
          <w:p>
            <w:pPr>
              <w:spacing w:after="0" w:before="0" w:line="240" w:lineRule="auto"/>
              <w:jc w:val="left"/>
            </w:pPr>
            <w:r>
              <w:t>Backup copied into the wrong folder</w:t>
            </w:r>
          </w:p>
        </w:tc>
        <w:tc>
          <w:tcPr>
            <w:tcW w:type="dxa" w:w="3600"/>
          </w:tcPr>
          <w:p>
            <w:pPr>
              <w:spacing w:after="0" w:before="0" w:line="240" w:lineRule="auto"/>
              <w:jc w:val="left"/>
            </w:pPr>
            <w:r>
              <w:t>Incorrect recovery source</w:t>
            </w:r>
          </w:p>
        </w:tc>
        <w:tc>
          <w:tcPr>
            <w:tcW w:type="dxa" w:w="3600"/>
          </w:tcPr>
          <w:p>
            <w:pPr>
              <w:spacing w:after="0" w:before="0" w:line="240" w:lineRule="auto"/>
              <w:jc w:val="left"/>
            </w:pPr>
            <w:r>
              <w:t>Use controlled capture workflows and metadata</w:t>
            </w:r>
          </w:p>
        </w:tc>
      </w:tr>
      <w:tr>
        <w:tc>
          <w:tcPr>
            <w:tcW w:type="dxa" w:w="3600"/>
          </w:tcPr>
          <w:p>
            <w:pPr>
              <w:spacing w:after="0" w:before="0" w:line="240" w:lineRule="auto"/>
              <w:jc w:val="left"/>
            </w:pPr>
            <w:r>
              <w:t>Replacement hardware not registered</w:t>
            </w:r>
          </w:p>
        </w:tc>
        <w:tc>
          <w:tcPr>
            <w:tcW w:type="dxa" w:w="3600"/>
          </w:tcPr>
          <w:p>
            <w:pPr>
              <w:spacing w:after="0" w:before="0" w:line="240" w:lineRule="auto"/>
              <w:jc w:val="left"/>
            </w:pPr>
            <w:r>
              <w:t>Compatibility assumptions become unsafe</w:t>
            </w:r>
          </w:p>
        </w:tc>
        <w:tc>
          <w:tcPr>
            <w:tcW w:type="dxa" w:w="3600"/>
          </w:tcPr>
          <w:p>
            <w:pPr>
              <w:spacing w:after="0" w:before="0" w:line="240" w:lineRule="auto"/>
              <w:jc w:val="left"/>
            </w:pPr>
            <w:r>
              <w:t>Update inventory and change records</w:t>
            </w:r>
          </w:p>
        </w:tc>
      </w:tr>
      <w:tr>
        <w:tc>
          <w:tcPr>
            <w:tcW w:type="dxa" w:w="3600"/>
          </w:tcPr>
          <w:p>
            <w:pPr>
              <w:spacing w:after="0" w:before="0" w:line="240" w:lineRule="auto"/>
              <w:jc w:val="left"/>
            </w:pPr>
            <w:r>
              <w:t>Machine moved without register update</w:t>
            </w:r>
          </w:p>
        </w:tc>
        <w:tc>
          <w:tcPr>
            <w:tcW w:type="dxa" w:w="3600"/>
          </w:tcPr>
          <w:p>
            <w:pPr>
              <w:spacing w:after="0" w:before="0" w:line="240" w:lineRule="auto"/>
              <w:jc w:val="left"/>
            </w:pPr>
            <w:r>
              <w:t>Maintenance teams cannot locate equipment reliably</w:t>
            </w:r>
          </w:p>
        </w:tc>
        <w:tc>
          <w:tcPr>
            <w:tcW w:type="dxa" w:w="3600"/>
          </w:tcPr>
          <w:p>
            <w:pPr>
              <w:spacing w:after="0" w:before="0" w:line="240" w:lineRule="auto"/>
              <w:jc w:val="left"/>
            </w:pPr>
            <w:r>
              <w:t>Update location through asset-management control</w:t>
            </w:r>
          </w:p>
        </w:tc>
      </w:tr>
      <w:tr>
        <w:tc>
          <w:tcPr>
            <w:tcW w:type="dxa" w:w="3600"/>
          </w:tcPr>
          <w:p>
            <w:pPr>
              <w:spacing w:after="0" w:before="0" w:line="240" w:lineRule="auto"/>
              <w:jc w:val="left"/>
            </w:pPr>
            <w:r>
              <w:t>Machine ID matches but firmware differs</w:t>
            </w:r>
          </w:p>
        </w:tc>
        <w:tc>
          <w:tcPr>
            <w:tcW w:type="dxa" w:w="3600"/>
          </w:tcPr>
          <w:p>
            <w:pPr>
              <w:spacing w:after="0" w:before="0" w:line="240" w:lineRule="auto"/>
              <w:jc w:val="left"/>
            </w:pPr>
            <w:r>
              <w:t>Incompatible restoration</w:t>
            </w:r>
          </w:p>
        </w:tc>
        <w:tc>
          <w:tcPr>
            <w:tcW w:type="dxa" w:w="3600"/>
          </w:tcPr>
          <w:p>
            <w:pPr>
              <w:spacing w:after="0" w:before="0" w:line="240" w:lineRule="auto"/>
              <w:jc w:val="left"/>
            </w:pPr>
            <w:r>
              <w:t>Verify complete hardware/software compatibility</w:t>
            </w:r>
          </w:p>
        </w:tc>
      </w:tr>
      <w:tr>
        <w:tc>
          <w:tcPr>
            <w:tcW w:type="dxa" w:w="3600"/>
          </w:tcPr>
          <w:p>
            <w:pPr>
              <w:spacing w:after="0" w:before="0" w:line="240" w:lineRule="auto"/>
              <w:jc w:val="left"/>
            </w:pPr>
            <w:r>
              <w:t>Historical backups deleted without review</w:t>
            </w:r>
          </w:p>
        </w:tc>
        <w:tc>
          <w:tcPr>
            <w:tcW w:type="dxa" w:w="3600"/>
          </w:tcPr>
          <w:p>
            <w:pPr>
              <w:spacing w:after="0" w:before="0" w:line="240" w:lineRule="auto"/>
              <w:jc w:val="left"/>
            </w:pPr>
            <w:r>
              <w:t>Loss of recovery and audit evidence</w:t>
            </w:r>
          </w:p>
        </w:tc>
        <w:tc>
          <w:tcPr>
            <w:tcW w:type="dxa" w:w="3600"/>
          </w:tcPr>
          <w:p>
            <w:pPr>
              <w:spacing w:after="0" w:before="0" w:line="240" w:lineRule="auto"/>
              <w:jc w:val="left"/>
            </w:pPr>
            <w:r>
              <w:t>Apply approved retention rules</w:t>
            </w:r>
          </w:p>
        </w:tc>
      </w:tr>
    </w:tbl>
    <w:p/>
    <w:p>
      <w:pPr>
        <w:pStyle w:val="Heading2"/>
      </w:pPr>
      <w:r>
        <w:t>18. Cybersecurity and Access Control</w:t>
      </w:r>
    </w:p>
    <w:p>
      <w:r>
        <w:t>Machine IDs and backup records can reveal plant architecture, device roles, network structure, and configuration details.</w:t>
      </w:r>
    </w:p>
    <w:p>
      <w:r>
        <w:t>Appropriate controls include:</w:t>
      </w:r>
    </w:p>
    <w:p>
      <w:pPr>
        <w:pStyle w:val="ListBullet"/>
      </w:pPr>
      <w:r>
        <w:t>Restrict write access to authorized personnel.</w:t>
      </w:r>
    </w:p>
    <w:p>
      <w:pPr>
        <w:pStyle w:val="ListBullet"/>
      </w:pPr>
      <w:r>
        <w:t>Separate backup capture permissions from approval permissions where appropriate.</w:t>
      </w:r>
    </w:p>
    <w:p>
      <w:pPr>
        <w:pStyle w:val="ListBullet"/>
      </w:pPr>
      <w:r>
        <w:t>Protect backups from unauthorized modification or deletion.</w:t>
      </w:r>
    </w:p>
    <w:p>
      <w:pPr>
        <w:pStyle w:val="ListBullet"/>
      </w:pPr>
      <w:r>
        <w:t>Maintain logs of access, export, modification, and restoration actions.</w:t>
      </w:r>
    </w:p>
    <w:p>
      <w:pPr>
        <w:pStyle w:val="ListBullet"/>
      </w:pPr>
      <w:r>
        <w:t>Store protected copies separately from production systems.</w:t>
      </w:r>
    </w:p>
    <w:p>
      <w:pPr>
        <w:pStyle w:val="ListBullet"/>
      </w:pPr>
      <w:r>
        <w:t>Use offline or immutable copies for critical recovery points where feasible.</w:t>
      </w:r>
    </w:p>
    <w:p>
      <w:pPr>
        <w:pStyle w:val="ListBullet"/>
      </w:pPr>
      <w:r>
        <w:t>Protect credentials and secrets separately from ordinary configuration archives.</w:t>
      </w:r>
    </w:p>
    <w:p>
      <w:pPr>
        <w:pStyle w:val="ListBullet"/>
      </w:pPr>
      <w:r>
        <w:t>Review access when employees, vendors, or contractors change roles.</w:t>
      </w:r>
    </w:p>
    <w:p>
      <w:pPr>
        <w:pStyle w:val="ListBullet"/>
      </w:pPr>
      <w:r>
        <w:t>Preserve evidence during cybersecurity investigations.</w:t>
      </w:r>
    </w:p>
    <w:p>
      <w:r>
        <w:t>A machine ID is an identifier, not an authentication mechanism. Knowing an asset's ID must not grant access to its backup or configuration.</w:t>
      </w:r>
    </w:p>
    <w:p>
      <w:pPr>
        <w:pStyle w:val="Heading2"/>
      </w:pPr>
      <w:r>
        <w:t>19. Practical Industrial Example</w:t>
      </w:r>
    </w:p>
    <w:p>
      <w:r>
        <w:t xml:space="preserve">A plant has three similar automated test benches: </w:t>
      </w:r>
      <w:r>
        <w:rPr>
          <w:rFonts w:ascii="Consolas" w:hAnsi="Consolas"/>
          <w:color w:val="333333"/>
          <w:sz w:val="19"/>
          <w:shd w:val="clear" w:color="auto" w:fill="EFEFEF"/>
        </w:rPr>
        <w:t>TB-012</w:t>
      </w:r>
      <w:r>
        <w:t xml:space="preserve">, </w:t>
      </w:r>
      <w:r>
        <w:rPr>
          <w:rFonts w:ascii="Consolas" w:hAnsi="Consolas"/>
          <w:color w:val="333333"/>
          <w:sz w:val="19"/>
          <w:shd w:val="clear" w:color="auto" w:fill="EFEFEF"/>
        </w:rPr>
        <w:t>TB-013</w:t>
      </w:r>
      <w:r>
        <w:t xml:space="preserve">, and </w:t>
      </w:r>
      <w:r>
        <w:rPr>
          <w:rFonts w:ascii="Consolas" w:hAnsi="Consolas"/>
          <w:color w:val="333333"/>
          <w:sz w:val="19"/>
          <w:shd w:val="clear" w:color="auto" w:fill="EFEFEF"/>
        </w:rPr>
        <w:t>TB-014</w:t>
      </w:r>
      <w:r>
        <w:t>.</w:t>
      </w:r>
    </w:p>
    <w:p>
      <w:r>
        <w:t>All use the same family of PLCs, but each bench has different test sequences and station-specific parameters.</w:t>
      </w:r>
    </w:p>
    <w:p>
      <w:r>
        <w:t xml:space="preserve">A breakdown occurs on </w:t>
      </w:r>
      <w:r>
        <w:rPr>
          <w:rFonts w:ascii="Consolas" w:hAnsi="Consolas"/>
          <w:color w:val="333333"/>
          <w:sz w:val="19"/>
          <w:shd w:val="clear" w:color="auto" w:fill="EFEFEF"/>
        </w:rPr>
        <w:t>TB-014</w:t>
      </w:r>
      <w:r>
        <w:t>.</w:t>
      </w:r>
    </w:p>
    <w:p>
      <w:r>
        <w:t>The engineer:</w:t>
      </w:r>
    </w:p>
    <w:p>
      <w:pPr>
        <w:tabs>
          <w:tab w:pos="403" w:val="left"/>
        </w:tabs>
        <w:spacing w:after="40" w:line="276" w:lineRule="auto"/>
        <w:ind w:left="403" w:hanging="403"/>
        <w:jc w:val="left"/>
      </w:pPr>
      <w:r>
        <w:rPr>
          <w:color w:val="1A2E4A"/>
        </w:rPr>
        <w:t>1.</w:t>
        <w:tab/>
      </w:r>
      <w:r>
        <w:t xml:space="preserve">Confirms </w:t>
      </w:r>
      <w:r>
        <w:rPr>
          <w:rFonts w:ascii="Consolas" w:hAnsi="Consolas"/>
          <w:color w:val="333333"/>
          <w:sz w:val="19"/>
          <w:shd w:val="clear" w:color="auto" w:fill="EFEFEF"/>
        </w:rPr>
        <w:t>TB-014</w:t>
      </w:r>
      <w:r>
        <w:t xml:space="preserve"> in the asset register.</w:t>
      </w:r>
    </w:p>
    <w:p>
      <w:pPr>
        <w:tabs>
          <w:tab w:pos="403" w:val="left"/>
        </w:tabs>
        <w:spacing w:after="40" w:line="276" w:lineRule="auto"/>
        <w:ind w:left="403" w:hanging="403"/>
        <w:jc w:val="left"/>
      </w:pPr>
      <w:r>
        <w:rPr>
          <w:color w:val="1A2E4A"/>
        </w:rPr>
        <w:t>2.</w:t>
        <w:tab/>
      </w:r>
      <w:r>
        <w:t>Verifies the installed PLC's Device ID and hardware details.</w:t>
      </w:r>
    </w:p>
    <w:p>
      <w:pPr>
        <w:tabs>
          <w:tab w:pos="403" w:val="left"/>
        </w:tabs>
        <w:spacing w:after="40" w:line="276" w:lineRule="auto"/>
        <w:ind w:left="403" w:hanging="403"/>
        <w:jc w:val="left"/>
      </w:pPr>
      <w:r>
        <w:rPr>
          <w:color w:val="1A2E4A"/>
        </w:rPr>
        <w:t>3.</w:t>
        <w:tab/>
      </w:r>
      <w:r>
        <w:t>Searches the historical repository using both identifiers.</w:t>
      </w:r>
    </w:p>
    <w:p>
      <w:pPr>
        <w:tabs>
          <w:tab w:pos="403" w:val="left"/>
        </w:tabs>
        <w:spacing w:after="40" w:line="276" w:lineRule="auto"/>
        <w:ind w:left="403" w:hanging="403"/>
        <w:jc w:val="left"/>
      </w:pPr>
      <w:r>
        <w:rPr>
          <w:color w:val="1A2E4A"/>
        </w:rPr>
        <w:t>4.</w:t>
        <w:tab/>
      </w:r>
      <w:r>
        <w:t>Finds the last approved PLC master and a more recent actual-state capture.</w:t>
      </w:r>
    </w:p>
    <w:p>
      <w:pPr>
        <w:tabs>
          <w:tab w:pos="403" w:val="left"/>
        </w:tabs>
        <w:spacing w:after="40" w:line="276" w:lineRule="auto"/>
        <w:ind w:left="403" w:hanging="403"/>
        <w:jc w:val="left"/>
      </w:pPr>
      <w:r>
        <w:rPr>
          <w:color w:val="1A2E4A"/>
        </w:rPr>
        <w:t>5.</w:t>
        <w:tab/>
      </w:r>
      <w:r>
        <w:t>Checks the versions, source, and integrity records.</w:t>
      </w:r>
    </w:p>
    <w:p>
      <w:pPr>
        <w:tabs>
          <w:tab w:pos="403" w:val="left"/>
        </w:tabs>
        <w:spacing w:after="40" w:line="276" w:lineRule="auto"/>
        <w:ind w:left="403" w:hanging="403"/>
        <w:jc w:val="left"/>
      </w:pPr>
      <w:r>
        <w:rPr>
          <w:color w:val="1A2E4A"/>
        </w:rPr>
        <w:t>6.</w:t>
        <w:tab/>
      </w:r>
      <w:r>
        <w:t>Compares the two configurations to investigate undocumented changes.</w:t>
      </w:r>
    </w:p>
    <w:p>
      <w:pPr>
        <w:tabs>
          <w:tab w:pos="403" w:val="left"/>
        </w:tabs>
        <w:spacing w:after="40" w:line="276" w:lineRule="auto"/>
        <w:ind w:left="403" w:hanging="403"/>
        <w:jc w:val="left"/>
      </w:pPr>
      <w:r>
        <w:rPr>
          <w:color w:val="1A2E4A"/>
        </w:rPr>
        <w:t>7.</w:t>
        <w:tab/>
      </w:r>
      <w:r>
        <w:t>Selects a recovery version based on compatibility and the approved recovery procedure.</w:t>
      </w:r>
    </w:p>
    <w:p>
      <w:pPr>
        <w:tabs>
          <w:tab w:pos="403" w:val="left"/>
        </w:tabs>
        <w:spacing w:after="40" w:line="276" w:lineRule="auto"/>
        <w:ind w:left="403" w:hanging="403"/>
        <w:jc w:val="left"/>
      </w:pPr>
      <w:r>
        <w:rPr>
          <w:color w:val="1A2E4A"/>
        </w:rPr>
        <w:t>8.</w:t>
        <w:tab/>
      </w:r>
      <w:r>
        <w:t>Performs required commissioning and functional checks.</w:t>
      </w:r>
    </w:p>
    <w:p>
      <w:pPr>
        <w:tabs>
          <w:tab w:pos="403" w:val="left"/>
        </w:tabs>
        <w:spacing w:after="40" w:line="276" w:lineRule="auto"/>
        <w:ind w:left="403" w:hanging="403"/>
        <w:jc w:val="left"/>
      </w:pPr>
      <w:r>
        <w:rPr>
          <w:color w:val="1A2E4A"/>
        </w:rPr>
        <w:t>9.</w:t>
        <w:tab/>
      </w:r>
      <w:r>
        <w:t>Records the restoration and saves the new actual-state capture.</w:t>
      </w:r>
    </w:p>
    <w:p>
      <w:r>
        <w:t xml:space="preserve">Because the backup system distinguishes Machine ID from Device ID, the engineer does not accidentally use the program from </w:t>
      </w:r>
      <w:r>
        <w:rPr>
          <w:rFonts w:ascii="Consolas" w:hAnsi="Consolas"/>
          <w:color w:val="333333"/>
          <w:sz w:val="19"/>
          <w:shd w:val="clear" w:color="auto" w:fill="EFEFEF"/>
        </w:rPr>
        <w:t>TB-012</w:t>
      </w:r>
      <w:r>
        <w:t>, even though the controllers have similar model numbers.</w:t>
      </w:r>
    </w:p>
    <w:p>
      <w:pPr>
        <w:pStyle w:val="Heading2"/>
      </w:pPr>
      <w:r>
        <w:t>20. Machine ID Audit Checklist</w:t>
      </w:r>
    </w:p>
    <w:p>
      <w:pPr>
        <w:pStyle w:val="ListBullet"/>
      </w:pPr>
      <w:r>
        <w:t>Every managed machine has a unique, controlled Machine ID.</w:t>
      </w:r>
    </w:p>
    <w:p>
      <w:pPr>
        <w:pStyle w:val="ListBullet"/>
      </w:pPr>
      <w:r>
        <w:t>The Machine ID matches the official asset register.</w:t>
      </w:r>
    </w:p>
    <w:p>
      <w:pPr>
        <w:pStyle w:val="ListBullet"/>
      </w:pPr>
      <w:r>
        <w:t>Installed automation devices have traceable Device IDs.</w:t>
      </w:r>
    </w:p>
    <w:p>
      <w:pPr>
        <w:pStyle w:val="ListBullet"/>
      </w:pPr>
      <w:r>
        <w:t>Backup filenames and metadata identify the correct machine.</w:t>
      </w:r>
    </w:p>
    <w:p>
      <w:pPr>
        <w:pStyle w:val="ListBullet"/>
      </w:pPr>
      <w:r>
        <w:t>The backup source is recorded.</w:t>
      </w:r>
    </w:p>
    <w:p>
      <w:pPr>
        <w:pStyle w:val="ListBullet"/>
      </w:pPr>
      <w:r>
        <w:t>Controller serial numbers and network addresses are used as supporting identity evidence where appropriate.</w:t>
      </w:r>
    </w:p>
    <w:p>
      <w:pPr>
        <w:pStyle w:val="ListBullet"/>
      </w:pPr>
      <w:r>
        <w:t>Hardware, firmware, and software versions are documented.</w:t>
      </w:r>
    </w:p>
    <w:p>
      <w:pPr>
        <w:pStyle w:val="ListBullet"/>
      </w:pPr>
      <w:r>
        <w:t>Historical records remain associated with the correct machine after relocation or retrofit.</w:t>
      </w:r>
    </w:p>
    <w:p>
      <w:pPr>
        <w:pStyle w:val="ListBullet"/>
      </w:pPr>
      <w:r>
        <w:t>Retired assets and replaced devices retain their historical records.</w:t>
      </w:r>
    </w:p>
    <w:p>
      <w:pPr>
        <w:pStyle w:val="ListBullet"/>
      </w:pPr>
      <w:r>
        <w:t>Backup selection includes compatibility and integrity checks.</w:t>
      </w:r>
    </w:p>
    <w:p>
      <w:pPr>
        <w:pStyle w:val="ListBullet"/>
      </w:pPr>
      <w:r>
        <w:t>Write access and restoration actions are controlled.</w:t>
      </w:r>
    </w:p>
    <w:p>
      <w:pPr>
        <w:pStyle w:val="ListBullet"/>
      </w:pPr>
      <w:r>
        <w:t>Recovery tests and restoration outcomes are recorded.</w:t>
      </w:r>
    </w:p>
    <w:p>
      <w:pPr>
        <w:pStyle w:val="ListBullet"/>
      </w:pPr>
      <w:r>
        <w:t>Duplicate or missing IDs are detected through periodic reviews.</w:t>
      </w:r>
    </w:p>
    <w:p>
      <w:pPr>
        <w:pStyle w:val="ListBullet"/>
      </w:pPr>
      <w:r>
        <w:t>Backup index records can be retrieved by Machine ID and Device ID.</w:t>
      </w:r>
    </w:p>
    <w:p>
      <w:pPr>
        <w:pStyle w:val="Heading2"/>
      </w:pPr>
      <w:r>
        <w:t>21. Interview Questions and Answers</w:t>
      </w:r>
    </w:p>
    <w:p>
      <w:r>
        <w:t>Q1. What is the purpose of Machine ID-based backup management?</w:t>
      </w:r>
    </w:p>
    <w:p>
      <w:r>
        <w:t>It ensures that historical configurations and recovery files are associated with the correct physical machine.</w:t>
      </w:r>
    </w:p>
    <w:p>
      <w:r>
        <w:t>Q2. What is the difference between Machine ID and Device ID?</w:t>
      </w:r>
    </w:p>
    <w:p>
      <w:r>
        <w:t>Machine ID identifies the complete managed machine. Device ID identifies an individual installed component, such as its PLC, HMI, or drive.</w:t>
      </w:r>
    </w:p>
    <w:p>
      <w:r>
        <w:t>Q3. Why is an IP address insufficient as a Machine ID?</w:t>
      </w:r>
    </w:p>
    <w:p>
      <w:r>
        <w:t>IP addresses can change or be reassigned. A stable asset identifier maintains identity independently of network configuration.</w:t>
      </w:r>
    </w:p>
    <w:p>
      <w:r>
        <w:t>Q4. Can the same PLC model be used across different machines with different programs?</w:t>
      </w:r>
    </w:p>
    <w:p>
      <w:r>
        <w:t>Yes. The model identifies the hardware family, not the complete machine-specific application and configuration.</w:t>
      </w:r>
    </w:p>
    <w:p>
      <w:r>
        <w:t>Q5. What should happen to historical backups when a PLC is replaced?</w:t>
      </w:r>
    </w:p>
    <w:p>
      <w:r>
        <w:t>Preserve the old backups, update the installed-device register, record the replacement, and retain the restoration and commissioning history.</w:t>
      </w:r>
    </w:p>
    <w:p>
      <w:r>
        <w:t>Q6. Should a Machine ID change when a machine is relocated?</w:t>
      </w:r>
    </w:p>
    <w:p>
      <w:r>
        <w:t>Normally, no. The stable asset ID should be retained unless the organization's asset-management policy requires otherwise.</w:t>
      </w:r>
    </w:p>
    <w:p>
      <w:r>
        <w:t>Q7. Is matching Machine ID sufficient to restore a backup?</w:t>
      </w:r>
    </w:p>
    <w:p>
      <w:r>
        <w:t>No. The target device, hardware, firmware, software, configuration compatibility, integrity, and approval status must also be checked.</w:t>
      </w:r>
    </w:p>
    <w:p>
      <w:r>
        <w:t>Q8. Why record actual-state captures separately from approved masters?</w:t>
      </w:r>
    </w:p>
    <w:p>
      <w:r>
        <w:t>An actual-state capture records what was present on the device. It does not automatically establish that the configuration is approved or correct.</w:t>
      </w:r>
    </w:p>
    <w:p>
      <w:r>
        <w:t>Q9. How does Machine ID support obsolescence management?</w:t>
      </w:r>
    </w:p>
    <w:p>
      <w:r>
        <w:t>It links each machine to its installed devices and versions, allowing maintenance teams to identify affected assets during component replacement or migration planning.</w:t>
      </w:r>
    </w:p>
    <w:p>
      <w:r>
        <w:t>Q10. What is the most important rule for Machine ID-based disaster recovery?</w:t>
      </w:r>
    </w:p>
    <w:p>
      <w:r>
        <w:t>Verify both the physical machine identity and the target device identity before selecting and restoring a backup.</w:t>
      </w:r>
    </w:p>
    <w:p>
      <w:pPr>
        <w:pStyle w:val="Heading2"/>
      </w:pPr>
      <w:r>
        <w:t>22. Final Principles</w:t>
      </w:r>
    </w:p>
    <w:p>
      <w:pPr>
        <w:pStyle w:val="ListBullet"/>
      </w:pPr>
      <w:r>
        <w:t>Use a stable Machine ID for every managed physical asset.</w:t>
      </w:r>
    </w:p>
    <w:p>
      <w:pPr>
        <w:pStyle w:val="ListBullet"/>
      </w:pPr>
      <w:r>
        <w:t>Use separate Device IDs for individual automation components.</w:t>
      </w:r>
    </w:p>
    <w:p>
      <w:pPr>
        <w:pStyle w:val="ListBullet"/>
      </w:pPr>
      <w:r>
        <w:t>Keep IDs consistent with the plant's asset register.</w:t>
      </w:r>
    </w:p>
    <w:p>
      <w:pPr>
        <w:pStyle w:val="ListBullet"/>
      </w:pPr>
      <w:r>
        <w:t>Include machine and device identity in historical backup metadata.</w:t>
      </w:r>
    </w:p>
    <w:p>
      <w:pPr>
        <w:pStyle w:val="ListBullet"/>
      </w:pPr>
      <w:r>
        <w:t>Record provenance, capture time, hardware, firmware, and software details.</w:t>
      </w:r>
    </w:p>
    <w:p>
      <w:pPr>
        <w:pStyle w:val="ListBullet"/>
      </w:pPr>
      <w:r>
        <w:t>Preserve history through replacement, relocation, and retrofit.</w:t>
      </w:r>
    </w:p>
    <w:p>
      <w:pPr>
        <w:pStyle w:val="ListBullet"/>
      </w:pPr>
      <w:r>
        <w:t>Do not confuse identity with compatibility or approval.</w:t>
      </w:r>
    </w:p>
    <w:p>
      <w:pPr>
        <w:pStyle w:val="ListBullet"/>
      </w:pPr>
      <w:r>
        <w:t>Verify the target before restoration and document the outcome.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02_PLAN_WISE_2026\02_INDUSTRY3_0\25_Backup_DR\02_Backup_Structure\02_Historical_Versions\03_SW_FW_HW_Versions - SW/FW/HW versions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Versions by Machine ID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