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Recovery: Hardware Replacement</w:t>
      </w:r>
    </w:p>
    <w:p>
      <w:pPr>
        <w:pStyle w:val="Heading2"/>
      </w:pPr>
      <w:r>
        <w:t>1. Purpose and Scope</w:t>
      </w:r>
    </w:p>
    <w:p>
      <w:r>
        <w:t>Hardware replacement is the controlled process of removing a failed, damaged, obsolete, or unsuitable industrial component and installing a compatible replacement while restoring the machine to a safe, verified operating condition.</w:t>
      </w:r>
    </w:p>
    <w:p>
      <w:r>
        <w:t>In industrial automation, replacing hardware is not simply a matter of finding a component with the same shape and connecting the wires. The replacement must be electrically, mechanically, functionally, and operationally compatible with the existing system.</w:t>
      </w:r>
    </w:p>
    <w:p>
      <w:r>
        <w:t>For example, replacing a failed PLC CPU may require more than installing a new CPU. The maintenance team may need to verify the exact catalog number, firmware, memory requirements, communication settings, program compatibility, safety configuration, retentive data, and hardware configuration before returning the machine to service.</w:t>
      </w:r>
    </w:p>
    <w:p>
      <w:r>
        <w:t>The objective is to restore the machine while preserving its approved configuration, safety functions, product quality, and traceability.</w:t>
      </w:r>
    </w:p>
    <w:p>
      <w:r>
        <w:t>This topic covers:</w:t>
      </w:r>
    </w:p>
    <w:p>
      <w:pPr>
        <w:pStyle w:val="ListBullet"/>
      </w:pPr>
      <w:r>
        <w:t>Hardware replacement planning and preparation.</w:t>
      </w:r>
    </w:p>
    <w:p>
      <w:pPr>
        <w:pStyle w:val="ListBullet"/>
      </w:pPr>
      <w:r>
        <w:t>Fault confirmation and replacement decisions.</w:t>
      </w:r>
    </w:p>
    <w:p>
      <w:pPr>
        <w:pStyle w:val="ListBullet"/>
      </w:pPr>
      <w:r>
        <w:t>Compatibility verification.</w:t>
      </w:r>
    </w:p>
    <w:p>
      <w:pPr>
        <w:pStyle w:val="ListBullet"/>
      </w:pPr>
      <w:r>
        <w:t>Replacement of PLCs, I/O modules, HMIs, drives, servos, CNCs, robots, sensors, and industrial PCs.</w:t>
      </w:r>
    </w:p>
    <w:p>
      <w:pPr>
        <w:pStyle w:val="ListBullet"/>
      </w:pPr>
      <w:r>
        <w:t>Program and parameter preservation.</w:t>
      </w:r>
    </w:p>
    <w:p>
      <w:pPr>
        <w:pStyle w:val="ListBullet"/>
      </w:pPr>
      <w:r>
        <w:t>Electrical and mechanical precautions.</w:t>
      </w:r>
    </w:p>
    <w:p>
      <w:pPr>
        <w:pStyle w:val="ListBullet"/>
      </w:pPr>
      <w:r>
        <w:t>Commissioning and post-replacement verification.</w:t>
      </w:r>
    </w:p>
    <w:p>
      <w:pPr>
        <w:pStyle w:val="ListBullet"/>
      </w:pPr>
      <w:r>
        <w:t>Obsolete hardware and successor models.</w:t>
      </w:r>
    </w:p>
    <w:p>
      <w:pPr>
        <w:pStyle w:val="ListBullet"/>
      </w:pPr>
      <w:r>
        <w:t>Recovery documentation and change control.</w:t>
      </w:r>
    </w:p>
    <w:p>
      <w:pPr>
        <w:pStyle w:val="ListBullet"/>
      </w:pPr>
      <w:r>
        <w:t>Common mistakes and practical maintenance checklists.</w:t>
      </w:r>
    </w:p>
    <w:p>
      <w:pPr>
        <w:pStyle w:val="Heading2"/>
      </w:pPr>
      <w:r>
        <w:t>2. Why Hardware Replacement Requires Controlled Recovery</w:t>
      </w:r>
    </w:p>
    <w:p>
      <w:r>
        <w:t>A failed component may be only one part of a larger system. Its configuration, connections, dependencies, and interaction with other equipment must be understood before replacement.</w:t>
      </w:r>
    </w:p>
    <w:p>
      <w:r>
        <w:t>For example, a failed analog input module may have been configured for 4–20 mA signals. A physically compatible replacement with different channel configuration or input ranges could produce incorrect measurements if the settings are not restored correctly.</w:t>
      </w:r>
    </w:p>
    <w:p>
      <w:r>
        <w:t>Hardware replacement therefore has four distinct objectives:</w:t>
      </w:r>
    </w:p>
    <w:p>
      <w:pPr>
        <w:tabs>
          <w:tab w:pos="403" w:val="left"/>
        </w:tabs>
        <w:spacing w:after="40" w:line="276" w:lineRule="auto"/>
        <w:ind w:left="403" w:hanging="403"/>
        <w:jc w:val="left"/>
      </w:pPr>
      <w:r>
        <w:rPr>
          <w:color w:val="1A2E4A"/>
        </w:rPr>
        <w:t>1.</w:t>
        <w:tab/>
      </w:r>
      <w:r>
        <w:t>Restore the required physical hardware.</w:t>
      </w:r>
    </w:p>
    <w:p>
      <w:pPr>
        <w:tabs>
          <w:tab w:pos="403" w:val="left"/>
        </w:tabs>
        <w:spacing w:after="40" w:line="276" w:lineRule="auto"/>
        <w:ind w:left="403" w:hanging="403"/>
        <w:jc w:val="left"/>
      </w:pPr>
      <w:r>
        <w:rPr>
          <w:color w:val="1A2E4A"/>
        </w:rPr>
        <w:t>2.</w:t>
        <w:tab/>
      </w:r>
      <w:r>
        <w:t>Restore the correct configuration and application dependencies.</w:t>
      </w:r>
    </w:p>
    <w:p>
      <w:pPr>
        <w:tabs>
          <w:tab w:pos="403" w:val="left"/>
        </w:tabs>
        <w:spacing w:after="40" w:line="276" w:lineRule="auto"/>
        <w:ind w:left="403" w:hanging="403"/>
        <w:jc w:val="left"/>
      </w:pPr>
      <w:r>
        <w:rPr>
          <w:color w:val="1A2E4A"/>
        </w:rPr>
        <w:t>3.</w:t>
        <w:tab/>
      </w:r>
      <w:r>
        <w:t>Verify that the machine functions as intended.</w:t>
      </w:r>
    </w:p>
    <w:p>
      <w:pPr>
        <w:tabs>
          <w:tab w:pos="403" w:val="left"/>
        </w:tabs>
        <w:spacing w:after="40" w:line="276" w:lineRule="auto"/>
        <w:ind w:left="403" w:hanging="403"/>
        <w:jc w:val="left"/>
      </w:pPr>
      <w:r>
        <w:rPr>
          <w:color w:val="1A2E4A"/>
        </w:rPr>
        <w:t>4.</w:t>
        <w:tab/>
      </w:r>
      <w:r>
        <w:t>Establish evidence that the replacement is safe and ready for its intended use.</w:t>
      </w:r>
    </w:p>
    <w:p>
      <w:r>
        <w:t>A component that powers up successfully is not necessarily a correctly commissioned component.</w:t>
      </w:r>
    </w:p>
    <w:p>
      <w:pPr>
        <w:pStyle w:val="Heading2"/>
      </w:pPr>
      <w:r>
        <w:t>3. Hardware Replacement vs. Related Maintenance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Hardware replacement</w:t>
            </w:r>
          </w:p>
        </w:tc>
        <w:tc>
          <w:tcPr>
            <w:tcW w:type="dxa" w:w="3600"/>
          </w:tcPr>
          <w:p>
            <w:pPr>
              <w:spacing w:after="0" w:before="0" w:line="240" w:lineRule="auto"/>
              <w:jc w:val="left"/>
            </w:pPr>
            <w:r>
              <w:t>Replace a physical component</w:t>
            </w:r>
          </w:p>
        </w:tc>
        <w:tc>
          <w:tcPr>
            <w:tcW w:type="dxa" w:w="3600"/>
          </w:tcPr>
          <w:p>
            <w:pPr>
              <w:spacing w:after="0" w:before="0" w:line="240" w:lineRule="auto"/>
              <w:jc w:val="left"/>
            </w:pPr>
            <w:r>
              <w:t>Replace failed PLC power supply</w:t>
            </w:r>
          </w:p>
        </w:tc>
      </w:tr>
      <w:tr>
        <w:tc>
          <w:tcPr>
            <w:tcW w:type="dxa" w:w="3600"/>
          </w:tcPr>
          <w:p>
            <w:pPr>
              <w:spacing w:after="0" w:before="0" w:line="240" w:lineRule="auto"/>
              <w:jc w:val="left"/>
            </w:pPr>
            <w:r>
              <w:t>Program restoration</w:t>
            </w:r>
          </w:p>
        </w:tc>
        <w:tc>
          <w:tcPr>
            <w:tcW w:type="dxa" w:w="3600"/>
          </w:tcPr>
          <w:p>
            <w:pPr>
              <w:spacing w:after="0" w:before="0" w:line="240" w:lineRule="auto"/>
              <w:jc w:val="left"/>
            </w:pPr>
            <w:r>
              <w:t>Restore application logic</w:t>
            </w:r>
          </w:p>
        </w:tc>
        <w:tc>
          <w:tcPr>
            <w:tcW w:type="dxa" w:w="3600"/>
          </w:tcPr>
          <w:p>
            <w:pPr>
              <w:spacing w:after="0" w:before="0" w:line="240" w:lineRule="auto"/>
              <w:jc w:val="left"/>
            </w:pPr>
            <w:r>
              <w:t>Load approved PLC project</w:t>
            </w:r>
          </w:p>
        </w:tc>
      </w:tr>
      <w:tr>
        <w:tc>
          <w:tcPr>
            <w:tcW w:type="dxa" w:w="3600"/>
          </w:tcPr>
          <w:p>
            <w:pPr>
              <w:spacing w:after="0" w:before="0" w:line="240" w:lineRule="auto"/>
              <w:jc w:val="left"/>
            </w:pPr>
            <w:r>
              <w:t>Parameter restoration</w:t>
            </w:r>
          </w:p>
        </w:tc>
        <w:tc>
          <w:tcPr>
            <w:tcW w:type="dxa" w:w="3600"/>
          </w:tcPr>
          <w:p>
            <w:pPr>
              <w:spacing w:after="0" w:before="0" w:line="240" w:lineRule="auto"/>
              <w:jc w:val="left"/>
            </w:pPr>
            <w:r>
              <w:t>Restore device settings</w:t>
            </w:r>
          </w:p>
        </w:tc>
        <w:tc>
          <w:tcPr>
            <w:tcW w:type="dxa" w:w="3600"/>
          </w:tcPr>
          <w:p>
            <w:pPr>
              <w:spacing w:after="0" w:before="0" w:line="240" w:lineRule="auto"/>
              <w:jc w:val="left"/>
            </w:pPr>
            <w:r>
              <w:t>Restore VFD parameter set</w:t>
            </w:r>
          </w:p>
        </w:tc>
      </w:tr>
      <w:tr>
        <w:tc>
          <w:tcPr>
            <w:tcW w:type="dxa" w:w="3600"/>
          </w:tcPr>
          <w:p>
            <w:pPr>
              <w:spacing w:after="0" w:before="0" w:line="240" w:lineRule="auto"/>
              <w:jc w:val="left"/>
            </w:pPr>
            <w:r>
              <w:t>Hardware migration</w:t>
            </w:r>
          </w:p>
        </w:tc>
        <w:tc>
          <w:tcPr>
            <w:tcW w:type="dxa" w:w="3600"/>
          </w:tcPr>
          <w:p>
            <w:pPr>
              <w:spacing w:after="0" w:before="0" w:line="240" w:lineRule="auto"/>
              <w:jc w:val="left"/>
            </w:pPr>
            <w:r>
              <w:t>Move to a different or successor platform</w:t>
            </w:r>
          </w:p>
        </w:tc>
        <w:tc>
          <w:tcPr>
            <w:tcW w:type="dxa" w:w="3600"/>
          </w:tcPr>
          <w:p>
            <w:pPr>
              <w:spacing w:after="0" w:before="0" w:line="240" w:lineRule="auto"/>
              <w:jc w:val="left"/>
            </w:pPr>
            <w:r>
              <w:t>Replace an obsolete PLC family</w:t>
            </w:r>
          </w:p>
        </w:tc>
      </w:tr>
      <w:tr>
        <w:tc>
          <w:tcPr>
            <w:tcW w:type="dxa" w:w="3600"/>
          </w:tcPr>
          <w:p>
            <w:pPr>
              <w:spacing w:after="0" w:before="0" w:line="240" w:lineRule="auto"/>
              <w:jc w:val="left"/>
            </w:pPr>
            <w:r>
              <w:t>Firmware upgrade</w:t>
            </w:r>
          </w:p>
        </w:tc>
        <w:tc>
          <w:tcPr>
            <w:tcW w:type="dxa" w:w="3600"/>
          </w:tcPr>
          <w:p>
            <w:pPr>
              <w:spacing w:after="0" w:before="0" w:line="240" w:lineRule="auto"/>
              <w:jc w:val="left"/>
            </w:pPr>
            <w:r>
              <w:t>Change embedded software version</w:t>
            </w:r>
          </w:p>
        </w:tc>
        <w:tc>
          <w:tcPr>
            <w:tcW w:type="dxa" w:w="3600"/>
          </w:tcPr>
          <w:p>
            <w:pPr>
              <w:spacing w:after="0" w:before="0" w:line="240" w:lineRule="auto"/>
              <w:jc w:val="left"/>
            </w:pPr>
            <w:r>
              <w:t>Update drive firmware under an approved plan</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Reduce failure likelihood</w:t>
            </w:r>
          </w:p>
        </w:tc>
        <w:tc>
          <w:tcPr>
            <w:tcW w:type="dxa" w:w="3600"/>
          </w:tcPr>
          <w:p>
            <w:pPr>
              <w:spacing w:after="0" w:before="0" w:line="240" w:lineRule="auto"/>
              <w:jc w:val="left"/>
            </w:pPr>
            <w:r>
              <w:t>Inspect terminal tightness according to procedure</w:t>
            </w:r>
          </w:p>
        </w:tc>
      </w:tr>
      <w:tr>
        <w:tc>
          <w:tcPr>
            <w:tcW w:type="dxa" w:w="3600"/>
          </w:tcPr>
          <w:p>
            <w:pPr>
              <w:spacing w:after="0" w:before="0" w:line="240" w:lineRule="auto"/>
              <w:jc w:val="left"/>
            </w:pPr>
            <w:r>
              <w:t>Corrective maintenance</w:t>
            </w:r>
          </w:p>
        </w:tc>
        <w:tc>
          <w:tcPr>
            <w:tcW w:type="dxa" w:w="3600"/>
          </w:tcPr>
          <w:p>
            <w:pPr>
              <w:spacing w:after="0" w:before="0" w:line="240" w:lineRule="auto"/>
              <w:jc w:val="left"/>
            </w:pPr>
            <w:r>
              <w:t>Correct an identified fault</w:t>
            </w:r>
          </w:p>
        </w:tc>
        <w:tc>
          <w:tcPr>
            <w:tcW w:type="dxa" w:w="3600"/>
          </w:tcPr>
          <w:p>
            <w:pPr>
              <w:spacing w:after="0" w:before="0" w:line="240" w:lineRule="auto"/>
              <w:jc w:val="left"/>
            </w:pPr>
            <w:r>
              <w:t>Replace a failed sensor</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Verify readiness for intended operation</w:t>
            </w:r>
          </w:p>
        </w:tc>
        <w:tc>
          <w:tcPr>
            <w:tcW w:type="dxa" w:w="3600"/>
          </w:tcPr>
          <w:p>
            <w:pPr>
              <w:spacing w:after="0" w:before="0" w:line="240" w:lineRule="auto"/>
              <w:jc w:val="left"/>
            </w:pPr>
            <w:r>
              <w:t>Test I/O and machine sequence</w:t>
            </w:r>
          </w:p>
        </w:tc>
      </w:tr>
      <w:tr>
        <w:tc>
          <w:tcPr>
            <w:tcW w:type="dxa" w:w="3600"/>
          </w:tcPr>
          <w:p>
            <w:pPr>
              <w:spacing w:after="0" w:before="0" w:line="240" w:lineRule="auto"/>
              <w:jc w:val="left"/>
            </w:pPr>
            <w:r>
              <w:t>Disaster recovery</w:t>
            </w:r>
          </w:p>
        </w:tc>
        <w:tc>
          <w:tcPr>
            <w:tcW w:type="dxa" w:w="3600"/>
          </w:tcPr>
          <w:p>
            <w:pPr>
              <w:spacing w:after="0" w:before="0" w:line="240" w:lineRule="auto"/>
              <w:jc w:val="left"/>
            </w:pPr>
            <w:r>
              <w:t>Restore a system after major disruption</w:t>
            </w:r>
          </w:p>
        </w:tc>
        <w:tc>
          <w:tcPr>
            <w:tcW w:type="dxa" w:w="3600"/>
          </w:tcPr>
          <w:p>
            <w:pPr>
              <w:spacing w:after="0" w:before="0" w:line="240" w:lineRule="auto"/>
              <w:jc w:val="left"/>
            </w:pPr>
            <w:r>
              <w:t>Rebuild an automation station from controlled backups</w:t>
            </w:r>
          </w:p>
        </w:tc>
      </w:tr>
    </w:tbl>
    <w:p/>
    <w:p>
      <w:r>
        <w:t>Hardware replacement may require several of these activities, but they should remain identifiable in the maintenance records.</w:t>
      </w:r>
    </w:p>
    <w:p>
      <w:pPr>
        <w:pStyle w:val="Heading2"/>
      </w:pPr>
      <w:r>
        <w:t>4. Types of Hardware Replacement</w:t>
      </w:r>
    </w:p>
    <w:p>
      <w:pPr>
        <w:pStyle w:val="Heading3"/>
      </w:pPr>
      <w:r>
        <w:t>4.1 Like-for-Like Replacement</w:t>
      </w:r>
    </w:p>
    <w:p>
      <w:r>
        <w:t>A like-for-like replacement uses the same approved hardware model and compatible revision.</w:t>
      </w:r>
    </w:p>
    <w:p>
      <w:r>
        <w:t>Examples:</w:t>
      </w:r>
    </w:p>
    <w:p>
      <w:pPr>
        <w:pStyle w:val="ListBullet"/>
      </w:pPr>
      <w:r>
        <w:t>Replacing a failed sensor with the same model.</w:t>
      </w:r>
    </w:p>
    <w:p>
      <w:pPr>
        <w:pStyle w:val="ListBullet"/>
      </w:pPr>
      <w:r>
        <w:t>Replacing a PLC power supply with the approved identical part.</w:t>
      </w:r>
    </w:p>
    <w:p>
      <w:pPr>
        <w:pStyle w:val="ListBullet"/>
      </w:pPr>
      <w:r>
        <w:t>Replacing an HMI with the same model and display configuration.</w:t>
      </w:r>
    </w:p>
    <w:p>
      <w:r>
        <w:t>Even a like-for-like replacement requires verification of wiring, configuration, device identity, and correct operation.</w:t>
      </w:r>
    </w:p>
    <w:p>
      <w:pPr>
        <w:pStyle w:val="Heading3"/>
      </w:pPr>
      <w:r>
        <w:t>4.2 Approved Equivalent Replacement</w:t>
      </w:r>
    </w:p>
    <w:p>
      <w:r>
        <w:t>An approved equivalent is a different model that has been assessed and accepted as suitable for the application.</w:t>
      </w:r>
    </w:p>
    <w:p>
      <w:r>
        <w:t>Examples:</w:t>
      </w:r>
    </w:p>
    <w:p>
      <w:pPr>
        <w:pStyle w:val="ListBullet"/>
      </w:pPr>
      <w:r>
        <w:t>Replacing a discontinued sensor with an approved successor.</w:t>
      </w:r>
    </w:p>
    <w:p>
      <w:pPr>
        <w:pStyle w:val="ListBullet"/>
      </w:pPr>
      <w:r>
        <w:t>Replacing a network switch with an equivalent industrial model.</w:t>
      </w:r>
    </w:p>
    <w:p>
      <w:pPr>
        <w:pStyle w:val="ListBullet"/>
      </w:pPr>
      <w:r>
        <w:t>Replacing an obsolete I/O module with an approved alternative.</w:t>
      </w:r>
    </w:p>
    <w:p>
      <w:r>
        <w:t>Electrical ratings, communication behavior, environmental limits, timing, diagnostics, and software compatibility must be assessed.</w:t>
      </w:r>
    </w:p>
    <w:p>
      <w:pPr>
        <w:pStyle w:val="Heading3"/>
      </w:pPr>
      <w:r>
        <w:t>4.3 Migration to a Different Platform</w:t>
      </w:r>
    </w:p>
    <w:p>
      <w:r>
        <w:t>Migration involves changing the hardware platform or architecture.</w:t>
      </w:r>
    </w:p>
    <w:p>
      <w:r>
        <w:t>Examples:</w:t>
      </w:r>
    </w:p>
    <w:p>
      <w:pPr>
        <w:pStyle w:val="ListBullet"/>
      </w:pPr>
      <w:r>
        <w:t>Replacing an obsolete PLC family with a newer family.</w:t>
      </w:r>
    </w:p>
    <w:p>
      <w:pPr>
        <w:pStyle w:val="ListBullet"/>
      </w:pPr>
      <w:r>
        <w:t>Migrating an HMI application to a different engineering platform.</w:t>
      </w:r>
    </w:p>
    <w:p>
      <w:pPr>
        <w:pStyle w:val="ListBullet"/>
      </w:pPr>
      <w:r>
        <w:t>Replacing an older CNC control with a newer control system.</w:t>
      </w:r>
    </w:p>
    <w:p>
      <w:r>
        <w:t>Migration may require program conversion, hardware redesign, wiring changes, software redevelopment, and full application validation. It is not merely a spare-part substitution.</w:t>
      </w:r>
    </w:p>
    <w:p>
      <w:pPr>
        <w:pStyle w:val="Heading2"/>
      </w:pPr>
      <w:r>
        <w:t>5. Replacement Decision Process</w:t>
      </w:r>
    </w:p>
    <w:p>
      <w:r>
        <w:t>Before removing the component, confirm that replacement is the appropriate corrective action.</w:t>
      </w:r>
    </w:p>
    <w:p>
      <w:pPr>
        <w:shd w:val="clear" w:color="auto" w:fill="F4F4F4"/>
        <w:spacing w:before="0" w:after="0" w:line="240" w:lineRule="auto"/>
        <w:ind w:left="216" w:right="216"/>
        <w:jc w:val="left"/>
      </w:pPr>
      <w:r>
        <w:rPr>
          <w:rFonts w:ascii="Consolas" w:hAnsi="Consolas"/>
          <w:color w:val="202020"/>
          <w:sz w:val="18"/>
        </w:rPr>
        <w:t>Reported Machine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Make the Machine Safe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Diagnose and Confirm the Failed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Power, Wiring, Connections, and External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Replace, or Escalate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Replacement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Preserve Existing Configuration and Recovery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Replace Hardware Under Approved Procedures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Configuration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Commission and Validate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Maintenance and Asset Records</w:t>
      </w:r>
    </w:p>
    <w:p/>
    <w:p>
      <w:r>
        <w:t>The sequence may differ according to the equipment and the fault. For example, a short-circuit or grounding fault should be corrected before installing a replacement that could be damaged by the same underlying condition.</w:t>
      </w:r>
    </w:p>
    <w:p>
      <w:pPr>
        <w:pStyle w:val="Heading2"/>
      </w:pPr>
      <w:r>
        <w:t>6. Fault Confirmation Before Replacement</w:t>
      </w:r>
    </w:p>
    <w:p>
      <w:r>
        <w:t>A component should not be declared faulty solely because an alarm identifies it.</w:t>
      </w:r>
    </w:p>
    <w:p>
      <w:r>
        <w:t>A PLC communication fault, for example, could be caused by a failed communication module, damaged Ethernet cable, incorrect IP address, switch failure, power supply problem, or configuration mismatch.</w:t>
      </w:r>
    </w:p>
    <w:p>
      <w:pPr>
        <w:pStyle w:val="Heading3"/>
      </w:pPr>
      <w:r>
        <w:t>6.1 Diagnostic Checks</w:t>
      </w:r>
    </w:p>
    <w:p>
      <w:r>
        <w:t>Check the following where relevant:</w:t>
      </w:r>
    </w:p>
    <w:p>
      <w:pPr>
        <w:pStyle w:val="ListBullet"/>
      </w:pPr>
      <w:r>
        <w:t>Device status indicators.</w:t>
      </w:r>
    </w:p>
    <w:p>
      <w:pPr>
        <w:pStyle w:val="ListBullet"/>
      </w:pPr>
      <w:r>
        <w:t>Fault codes and diagnostic buffers.</w:t>
      </w:r>
    </w:p>
    <w:p>
      <w:pPr>
        <w:pStyle w:val="ListBullet"/>
      </w:pPr>
      <w:r>
        <w:t>Incoming supply and control voltages.</w:t>
      </w:r>
    </w:p>
    <w:p>
      <w:pPr>
        <w:pStyle w:val="ListBullet"/>
      </w:pPr>
      <w:r>
        <w:t>Fuses, circuit breakers, and protective devices.</w:t>
      </w:r>
    </w:p>
    <w:p>
      <w:pPr>
        <w:pStyle w:val="ListBullet"/>
      </w:pPr>
      <w:r>
        <w:t>Terminal condition and connector seating.</w:t>
      </w:r>
    </w:p>
    <w:p>
      <w:pPr>
        <w:pStyle w:val="ListBullet"/>
      </w:pPr>
      <w:r>
        <w:t>Cable continuity and shielding.</w:t>
      </w:r>
    </w:p>
    <w:p>
      <w:pPr>
        <w:pStyle w:val="ListBullet"/>
      </w:pPr>
      <w:r>
        <w:t>Communication status and network diagnostics.</w:t>
      </w:r>
    </w:p>
    <w:p>
      <w:pPr>
        <w:pStyle w:val="ListBullet"/>
      </w:pPr>
      <w:r>
        <w:t>Environmental conditions, including temperature and contamination.</w:t>
      </w:r>
    </w:p>
    <w:p>
      <w:pPr>
        <w:pStyle w:val="ListBullet"/>
      </w:pPr>
      <w:r>
        <w:t>Relevant upstream and downstream equipment.</w:t>
      </w:r>
    </w:p>
    <w:p>
      <w:pPr>
        <w:pStyle w:val="ListBullet"/>
      </w:pPr>
      <w:r>
        <w:t>Recent program, parameter, firmware, or wiring changes.</w:t>
      </w:r>
    </w:p>
    <w:p>
      <w:pPr>
        <w:pStyle w:val="ListBullet"/>
      </w:pPr>
      <w:r>
        <w:t>Known repeat failures and maintenance history.</w:t>
      </w:r>
    </w:p>
    <w:p>
      <w:r>
        <w:t>Use manufacturer-approved diagnostic methods and suitable test equipment.</w:t>
      </w:r>
    </w:p>
    <w:p>
      <w:pPr>
        <w:pStyle w:val="Heading3"/>
      </w:pPr>
      <w:r>
        <w:t>6.2 Evidence-Based Replacement</w:t>
      </w:r>
    </w:p>
    <w:p>
      <w:r>
        <w:t>Record:</w:t>
      </w:r>
    </w:p>
    <w:p>
      <w:pPr>
        <w:pStyle w:val="ListBullet"/>
      </w:pPr>
      <w:r>
        <w:t>Reported symptom.</w:t>
      </w:r>
    </w:p>
    <w:p>
      <w:pPr>
        <w:pStyle w:val="ListBullet"/>
      </w:pPr>
      <w:r>
        <w:t>Actual diagnostic findings.</w:t>
      </w:r>
    </w:p>
    <w:p>
      <w:pPr>
        <w:pStyle w:val="ListBullet"/>
      </w:pPr>
      <w:r>
        <w:t>Suspected failure mechanism.</w:t>
      </w:r>
    </w:p>
    <w:p>
      <w:pPr>
        <w:pStyle w:val="ListBullet"/>
      </w:pPr>
      <w:r>
        <w:t>Tests performed.</w:t>
      </w:r>
    </w:p>
    <w:p>
      <w:pPr>
        <w:pStyle w:val="ListBullet"/>
      </w:pPr>
      <w:r>
        <w:t>Reason for replacement.</w:t>
      </w:r>
    </w:p>
    <w:p>
      <w:pPr>
        <w:pStyle w:val="ListBullet"/>
      </w:pPr>
      <w:r>
        <w:t>Removed component identity.</w:t>
      </w:r>
    </w:p>
    <w:p>
      <w:pPr>
        <w:pStyle w:val="ListBullet"/>
      </w:pPr>
      <w:r>
        <w:t>Replacement component identity.</w:t>
      </w:r>
    </w:p>
    <w:p>
      <w:r>
        <w:t>This information supports failure analysis and helps prevent repeated replacement of healthy components.</w:t>
      </w:r>
    </w:p>
    <w:p>
      <w:pPr>
        <w:pStyle w:val="Heading2"/>
      </w:pPr>
      <w:r>
        <w:t>7. Compatibility Verification</w:t>
      </w:r>
    </w:p>
    <w:p>
      <w:r>
        <w:t>Compatibility must be evaluated before installation.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Compatibility area</w:t>
            </w:r>
          </w:p>
        </w:tc>
        <w:tc>
          <w:tcPr>
            <w:tcW w:type="dxa" w:w="5400"/>
            <w:shd w:val="clear" w:color="auto" w:fill="EEF2F7"/>
          </w:tcPr>
          <w:p>
            <w:pPr>
              <w:spacing w:after="0" w:before="0" w:line="240" w:lineRule="auto"/>
              <w:jc w:val="left"/>
            </w:pPr>
            <w:r>
              <w:rPr>
                <w:b/>
                <w:color w:val="1A2E4A"/>
              </w:rPr>
              <w:t>Verification requirement</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Confirm approved manufacturer or accepted alternative</w:t>
            </w:r>
          </w:p>
        </w:tc>
      </w:tr>
      <w:tr>
        <w:tc>
          <w:tcPr>
            <w:tcW w:type="dxa" w:w="5400"/>
          </w:tcPr>
          <w:p>
            <w:pPr>
              <w:spacing w:after="0" w:before="0" w:line="240" w:lineRule="auto"/>
              <w:jc w:val="left"/>
            </w:pPr>
            <w:r>
              <w:t>Catalog or part number</w:t>
            </w:r>
          </w:p>
        </w:tc>
        <w:tc>
          <w:tcPr>
            <w:tcW w:type="dxa" w:w="5400"/>
          </w:tcPr>
          <w:p>
            <w:pPr>
              <w:spacing w:after="0" w:before="0" w:line="240" w:lineRule="auto"/>
              <w:jc w:val="left"/>
            </w:pPr>
            <w:r>
              <w:t>Verify exact ordering code</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Confirm compatibility with the application</w:t>
            </w:r>
          </w:p>
        </w:tc>
      </w:tr>
      <w:tr>
        <w:tc>
          <w:tcPr>
            <w:tcW w:type="dxa" w:w="5400"/>
          </w:tcPr>
          <w:p>
            <w:pPr>
              <w:spacing w:after="0" w:before="0" w:line="240" w:lineRule="auto"/>
              <w:jc w:val="left"/>
            </w:pPr>
            <w:r>
              <w:t>Electrical ratings</w:t>
            </w:r>
          </w:p>
        </w:tc>
        <w:tc>
          <w:tcPr>
            <w:tcW w:type="dxa" w:w="5400"/>
          </w:tcPr>
          <w:p>
            <w:pPr>
              <w:spacing w:after="0" w:before="0" w:line="240" w:lineRule="auto"/>
              <w:jc w:val="left"/>
            </w:pPr>
            <w:r>
              <w:t>Check supply voltage, current, signal levels, and protection</w:t>
            </w:r>
          </w:p>
        </w:tc>
      </w:tr>
      <w:tr>
        <w:tc>
          <w:tcPr>
            <w:tcW w:type="dxa" w:w="5400"/>
          </w:tcPr>
          <w:p>
            <w:pPr>
              <w:spacing w:after="0" w:before="0" w:line="240" w:lineRule="auto"/>
              <w:jc w:val="left"/>
            </w:pPr>
            <w:r>
              <w:t>Mechanical fit</w:t>
            </w:r>
          </w:p>
        </w:tc>
        <w:tc>
          <w:tcPr>
            <w:tcW w:type="dxa" w:w="5400"/>
          </w:tcPr>
          <w:p>
            <w:pPr>
              <w:spacing w:after="0" w:before="0" w:line="240" w:lineRule="auto"/>
              <w:jc w:val="left"/>
            </w:pPr>
            <w:r>
              <w:t>Check mounting, dimensions, connectors, and terminal arrangement</w:t>
            </w:r>
          </w:p>
        </w:tc>
      </w:tr>
      <w:tr>
        <w:tc>
          <w:tcPr>
            <w:tcW w:type="dxa" w:w="5400"/>
          </w:tcPr>
          <w:p>
            <w:pPr>
              <w:spacing w:after="0" w:before="0" w:line="240" w:lineRule="auto"/>
              <w:jc w:val="left"/>
            </w:pPr>
            <w:r>
              <w:t>I/O compatibility</w:t>
            </w:r>
          </w:p>
        </w:tc>
        <w:tc>
          <w:tcPr>
            <w:tcW w:type="dxa" w:w="5400"/>
          </w:tcPr>
          <w:p>
            <w:pPr>
              <w:spacing w:after="0" w:before="0" w:line="240" w:lineRule="auto"/>
              <w:jc w:val="left"/>
            </w:pPr>
            <w:r>
              <w:t>Verify channel types, ranges, and electrical characteristics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Verify protocols, interfaces, addressing, and supported features</w:t>
            </w:r>
          </w:p>
        </w:tc>
      </w:tr>
      <w:tr>
        <w:tc>
          <w:tcPr>
            <w:tcW w:type="dxa" w:w="5400"/>
          </w:tcPr>
          <w:p>
            <w:pPr>
              <w:spacing w:after="0" w:before="0" w:line="240" w:lineRule="auto"/>
              <w:jc w:val="left"/>
            </w:pPr>
            <w:r>
              <w:t>Firmware</w:t>
            </w:r>
          </w:p>
        </w:tc>
        <w:tc>
          <w:tcPr>
            <w:tcW w:type="dxa" w:w="5400"/>
          </w:tcPr>
          <w:p>
            <w:pPr>
              <w:spacing w:after="0" w:before="0" w:line="240" w:lineRule="auto"/>
              <w:jc w:val="left"/>
            </w:pPr>
            <w:r>
              <w:t>Confirm required firmware and compatibility</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Confirm that the project can be managed with the available tool</w:t>
            </w:r>
          </w:p>
        </w:tc>
      </w:tr>
      <w:tr>
        <w:tc>
          <w:tcPr>
            <w:tcW w:type="dxa" w:w="5400"/>
          </w:tcPr>
          <w:p>
            <w:pPr>
              <w:spacing w:after="0" w:before="0" w:line="240" w:lineRule="auto"/>
              <w:jc w:val="left"/>
            </w:pPr>
            <w:r>
              <w:t>Application compatibility</w:t>
            </w:r>
          </w:p>
        </w:tc>
        <w:tc>
          <w:tcPr>
            <w:tcW w:type="dxa" w:w="5400"/>
          </w:tcPr>
          <w:p>
            <w:pPr>
              <w:spacing w:after="0" w:before="0" w:line="240" w:lineRule="auto"/>
              <w:jc w:val="left"/>
            </w:pPr>
            <w:r>
              <w:t>Verify required logic, functions, and device dependencies</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Check temperature, vibration, ingress protection, and installation conditions</w:t>
            </w:r>
          </w:p>
        </w:tc>
      </w:tr>
      <w:tr>
        <w:tc>
          <w:tcPr>
            <w:tcW w:type="dxa" w:w="5400"/>
          </w:tcPr>
          <w:p>
            <w:pPr>
              <w:spacing w:after="0" w:before="0" w:line="240" w:lineRule="auto"/>
              <w:jc w:val="left"/>
            </w:pPr>
            <w:r>
              <w:t>Safety rating</w:t>
            </w:r>
          </w:p>
        </w:tc>
        <w:tc>
          <w:tcPr>
            <w:tcW w:type="dxa" w:w="5400"/>
          </w:tcPr>
          <w:p>
            <w:pPr>
              <w:spacing w:after="0" w:before="0" w:line="240" w:lineRule="auto"/>
              <w:jc w:val="left"/>
            </w:pPr>
            <w:r>
              <w:t>Verify suitability for the required safety function</w:t>
            </w:r>
          </w:p>
        </w:tc>
      </w:tr>
      <w:tr>
        <w:tc>
          <w:tcPr>
            <w:tcW w:type="dxa" w:w="5400"/>
          </w:tcPr>
          <w:p>
            <w:pPr>
              <w:spacing w:after="0" w:before="0" w:line="240" w:lineRule="auto"/>
              <w:jc w:val="left"/>
            </w:pPr>
            <w:r>
              <w:t>Certifications</w:t>
            </w:r>
          </w:p>
        </w:tc>
        <w:tc>
          <w:tcPr>
            <w:tcW w:type="dxa" w:w="5400"/>
          </w:tcPr>
          <w:p>
            <w:pPr>
              <w:spacing w:after="0" w:before="0" w:line="240" w:lineRule="auto"/>
              <w:jc w:val="left"/>
            </w:pPr>
            <w:r>
              <w:t>Confirm applicable approvals and standards</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Check whether the component is active, discontinued, or restricted</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Confirm the replacement and future support strategy</w:t>
            </w:r>
          </w:p>
        </w:tc>
      </w:tr>
    </w:tbl>
    <w:p/>
    <w:p>
      <w:r>
        <w:t>A matching voltage rating does not establish complete compatibility.</w:t>
      </w:r>
    </w:p>
    <w:p>
      <w:pPr>
        <w:pStyle w:val="Heading2"/>
      </w:pPr>
      <w:r>
        <w:t>8. Hardware Replacement Record</w:t>
      </w:r>
    </w:p>
    <w:p>
      <w:r>
        <w:t>Every replacement should have a traceable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Machine ID</w:t>
            </w:r>
          </w:p>
        </w:tc>
        <w:tc>
          <w:tcPr>
            <w:tcW w:type="dxa" w:w="5400"/>
          </w:tcPr>
          <w:p>
            <w:pPr>
              <w:spacing w:after="0" w:before="0" w:line="240" w:lineRule="auto"/>
              <w:jc w:val="left"/>
            </w:pPr>
            <w:r>
              <w:rPr>
                <w:rFonts w:ascii="Consolas" w:hAnsi="Consolas"/>
                <w:color w:val="333333"/>
                <w:sz w:val="19"/>
                <w:shd w:val="clear" w:color="auto" w:fill="EFEFEF"/>
              </w:rPr>
              <w:t>TB-014</w:t>
            </w:r>
          </w:p>
        </w:tc>
      </w:tr>
      <w:tr>
        <w:tc>
          <w:tcPr>
            <w:tcW w:type="dxa" w:w="5400"/>
          </w:tcPr>
          <w:p>
            <w:pPr>
              <w:spacing w:after="0" w:before="0" w:line="240" w:lineRule="auto"/>
              <w:jc w:val="left"/>
            </w:pPr>
            <w:r>
              <w:t>Device ID</w:t>
            </w:r>
          </w:p>
        </w:tc>
        <w:tc>
          <w:tcPr>
            <w:tcW w:type="dxa" w:w="5400"/>
          </w:tcPr>
          <w:p>
            <w:pPr>
              <w:spacing w:after="0" w:before="0" w:line="240" w:lineRule="auto"/>
              <w:jc w:val="left"/>
            </w:pPr>
            <w:r>
              <w:rPr>
                <w:rFonts w:ascii="Consolas" w:hAnsi="Consolas"/>
                <w:color w:val="333333"/>
                <w:sz w:val="19"/>
                <w:shd w:val="clear" w:color="auto" w:fill="EFEFEF"/>
              </w:rPr>
              <w:t>PLC-TB014-PSU01</w:t>
            </w:r>
          </w:p>
        </w:tc>
      </w:tr>
      <w:tr>
        <w:tc>
          <w:tcPr>
            <w:tcW w:type="dxa" w:w="5400"/>
          </w:tcPr>
          <w:p>
            <w:pPr>
              <w:spacing w:after="0" w:before="0" w:line="240" w:lineRule="auto"/>
              <w:jc w:val="left"/>
            </w:pPr>
            <w:r>
              <w:t>Work order</w:t>
            </w:r>
          </w:p>
        </w:tc>
        <w:tc>
          <w:tcPr>
            <w:tcW w:type="dxa" w:w="5400"/>
          </w:tcPr>
          <w:p>
            <w:pPr>
              <w:spacing w:after="0" w:before="0" w:line="240" w:lineRule="auto"/>
              <w:jc w:val="left"/>
            </w:pPr>
            <w:r>
              <w:t>Actual maintenance work-order ID</w:t>
            </w:r>
          </w:p>
        </w:tc>
      </w:tr>
      <w:tr>
        <w:tc>
          <w:tcPr>
            <w:tcW w:type="dxa" w:w="5400"/>
          </w:tcPr>
          <w:p>
            <w:pPr>
              <w:spacing w:after="0" w:before="0" w:line="240" w:lineRule="auto"/>
              <w:jc w:val="left"/>
            </w:pPr>
            <w:r>
              <w:t>Failure date</w:t>
            </w:r>
          </w:p>
        </w:tc>
        <w:tc>
          <w:tcPr>
            <w:tcW w:type="dxa" w:w="5400"/>
          </w:tcPr>
          <w:p>
            <w:pPr>
              <w:spacing w:after="0" w:before="0" w:line="240" w:lineRule="auto"/>
              <w:jc w:val="left"/>
            </w:pPr>
            <w:r>
              <w:t>Actual date and time</w:t>
            </w:r>
          </w:p>
        </w:tc>
      </w:tr>
      <w:tr>
        <w:tc>
          <w:tcPr>
            <w:tcW w:type="dxa" w:w="5400"/>
          </w:tcPr>
          <w:p>
            <w:pPr>
              <w:spacing w:after="0" w:before="0" w:line="240" w:lineRule="auto"/>
              <w:jc w:val="left"/>
            </w:pPr>
            <w:r>
              <w:t>Removed part number</w:t>
            </w:r>
          </w:p>
        </w:tc>
        <w:tc>
          <w:tcPr>
            <w:tcW w:type="dxa" w:w="5400"/>
          </w:tcPr>
          <w:p>
            <w:pPr>
              <w:spacing w:after="0" w:before="0" w:line="240" w:lineRule="auto"/>
              <w:jc w:val="left"/>
            </w:pPr>
            <w:r>
              <w:t>Exact catalog number</w:t>
            </w:r>
          </w:p>
        </w:tc>
      </w:tr>
      <w:tr>
        <w:tc>
          <w:tcPr>
            <w:tcW w:type="dxa" w:w="5400"/>
          </w:tcPr>
          <w:p>
            <w:pPr>
              <w:spacing w:after="0" w:before="0" w:line="240" w:lineRule="auto"/>
              <w:jc w:val="left"/>
            </w:pPr>
            <w:r>
              <w:t>Removed serial number</w:t>
            </w:r>
          </w:p>
        </w:tc>
        <w:tc>
          <w:tcPr>
            <w:tcW w:type="dxa" w:w="5400"/>
          </w:tcPr>
          <w:p>
            <w:pPr>
              <w:spacing w:after="0" w:before="0" w:line="240" w:lineRule="auto"/>
              <w:jc w:val="left"/>
            </w:pPr>
            <w:r>
              <w:t>Actual serial number</w:t>
            </w:r>
          </w:p>
        </w:tc>
      </w:tr>
      <w:tr>
        <w:tc>
          <w:tcPr>
            <w:tcW w:type="dxa" w:w="5400"/>
          </w:tcPr>
          <w:p>
            <w:pPr>
              <w:spacing w:after="0" w:before="0" w:line="240" w:lineRule="auto"/>
              <w:jc w:val="left"/>
            </w:pPr>
            <w:r>
              <w:t>Replacement part number</w:t>
            </w:r>
          </w:p>
        </w:tc>
        <w:tc>
          <w:tcPr>
            <w:tcW w:type="dxa" w:w="5400"/>
          </w:tcPr>
          <w:p>
            <w:pPr>
              <w:spacing w:after="0" w:before="0" w:line="240" w:lineRule="auto"/>
              <w:jc w:val="left"/>
            </w:pPr>
            <w:r>
              <w:t>Exact catalog number</w:t>
            </w:r>
          </w:p>
        </w:tc>
      </w:tr>
      <w:tr>
        <w:tc>
          <w:tcPr>
            <w:tcW w:type="dxa" w:w="5400"/>
          </w:tcPr>
          <w:p>
            <w:pPr>
              <w:spacing w:after="0" w:before="0" w:line="240" w:lineRule="auto"/>
              <w:jc w:val="left"/>
            </w:pPr>
            <w:r>
              <w:t>Replacement serial number</w:t>
            </w:r>
          </w:p>
        </w:tc>
        <w:tc>
          <w:tcPr>
            <w:tcW w:type="dxa" w:w="5400"/>
          </w:tcPr>
          <w:p>
            <w:pPr>
              <w:spacing w:after="0" w:before="0" w:line="240" w:lineRule="auto"/>
              <w:jc w:val="left"/>
            </w:pPr>
            <w:r>
              <w:t>Actual serial number</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Actual revision</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Actual version, where applicable</w:t>
            </w:r>
          </w:p>
        </w:tc>
      </w:tr>
      <w:tr>
        <w:tc>
          <w:tcPr>
            <w:tcW w:type="dxa" w:w="5400"/>
          </w:tcPr>
          <w:p>
            <w:pPr>
              <w:spacing w:after="0" w:before="0" w:line="240" w:lineRule="auto"/>
              <w:jc w:val="left"/>
            </w:pPr>
            <w:r>
              <w:t>Replacement category</w:t>
            </w:r>
          </w:p>
        </w:tc>
        <w:tc>
          <w:tcPr>
            <w:tcW w:type="dxa" w:w="5400"/>
          </w:tcPr>
          <w:p>
            <w:pPr>
              <w:spacing w:after="0" w:before="0" w:line="240" w:lineRule="auto"/>
              <w:jc w:val="left"/>
            </w:pPr>
            <w:r>
              <w:t>Like-for-like or approved equivalent</w:t>
            </w:r>
          </w:p>
        </w:tc>
      </w:tr>
      <w:tr>
        <w:tc>
          <w:tcPr>
            <w:tcW w:type="dxa" w:w="5400"/>
          </w:tcPr>
          <w:p>
            <w:pPr>
              <w:spacing w:after="0" w:before="0" w:line="240" w:lineRule="auto"/>
              <w:jc w:val="left"/>
            </w:pPr>
            <w:r>
              <w:t>Failure diagnosis</w:t>
            </w:r>
          </w:p>
        </w:tc>
        <w:tc>
          <w:tcPr>
            <w:tcW w:type="dxa" w:w="5400"/>
          </w:tcPr>
          <w:p>
            <w:pPr>
              <w:spacing w:after="0" w:before="0" w:line="240" w:lineRule="auto"/>
              <w:jc w:val="left"/>
            </w:pPr>
            <w:r>
              <w:t>Confirmed findings</w:t>
            </w:r>
          </w:p>
        </w:tc>
      </w:tr>
      <w:tr>
        <w:tc>
          <w:tcPr>
            <w:tcW w:type="dxa" w:w="5400"/>
          </w:tcPr>
          <w:p>
            <w:pPr>
              <w:spacing w:after="0" w:before="0" w:line="240" w:lineRule="auto"/>
              <w:jc w:val="left"/>
            </w:pPr>
            <w:r>
              <w:t>Configuration restored</w:t>
            </w:r>
          </w:p>
        </w:tc>
        <w:tc>
          <w:tcPr>
            <w:tcW w:type="dxa" w:w="5400"/>
          </w:tcPr>
          <w:p>
            <w:pPr>
              <w:spacing w:after="0" w:before="0" w:line="240" w:lineRule="auto"/>
              <w:jc w:val="left"/>
            </w:pPr>
            <w:r>
              <w:t>Applicable program or parameter references</w:t>
            </w:r>
          </w:p>
        </w:tc>
      </w:tr>
      <w:tr>
        <w:tc>
          <w:tcPr>
            <w:tcW w:type="dxa" w:w="5400"/>
          </w:tcPr>
          <w:p>
            <w:pPr>
              <w:spacing w:after="0" w:before="0" w:line="240" w:lineRule="auto"/>
              <w:jc w:val="left"/>
            </w:pPr>
            <w:r>
              <w:t>Commissioning result</w:t>
            </w:r>
          </w:p>
        </w:tc>
        <w:tc>
          <w:tcPr>
            <w:tcW w:type="dxa" w:w="5400"/>
          </w:tcPr>
          <w:p>
            <w:pPr>
              <w:spacing w:after="0" w:before="0" w:line="240" w:lineRule="auto"/>
              <w:jc w:val="left"/>
            </w:pPr>
            <w:r>
              <w:t>Actual test outcome</w:t>
            </w:r>
          </w:p>
        </w:tc>
      </w:tr>
      <w:tr>
        <w:tc>
          <w:tcPr>
            <w:tcW w:type="dxa" w:w="5400"/>
          </w:tcPr>
          <w:p>
            <w:pPr>
              <w:spacing w:after="0" w:before="0" w:line="240" w:lineRule="auto"/>
              <w:jc w:val="left"/>
            </w:pPr>
            <w:r>
              <w:t>Technician</w:t>
            </w:r>
          </w:p>
        </w:tc>
        <w:tc>
          <w:tcPr>
            <w:tcW w:type="dxa" w:w="5400"/>
          </w:tcPr>
          <w:p>
            <w:pPr>
              <w:spacing w:after="0" w:before="0" w:line="240" w:lineRule="auto"/>
              <w:jc w:val="left"/>
            </w:pPr>
            <w:r>
              <w:t>Responsible personnel</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authorization</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Released, restricted, or awaiting verification</w:t>
            </w:r>
          </w:p>
        </w:tc>
      </w:tr>
    </w:tbl>
    <w:p/>
    <w:p>
      <w:r>
        <w:t>These fields can be linked to the equipment master, spare-parts register, change log, and backup repository.</w:t>
      </w:r>
    </w:p>
    <w:p>
      <w:pPr>
        <w:pStyle w:val="Heading2"/>
      </w:pPr>
      <w:r>
        <w:t>9. Pre-Replacement Preparation</w:t>
      </w:r>
    </w:p>
    <w:p>
      <w:r>
        <w:t>Preparation reduces recovery time and prevents avoidable errors.</w:t>
      </w:r>
    </w:p>
    <w:p>
      <w:pPr>
        <w:pStyle w:val="Heading3"/>
      </w:pPr>
      <w:r>
        <w:t>9.1 Identify the Exact Device</w:t>
      </w:r>
    </w:p>
    <w:p>
      <w:r>
        <w:t>Record the complete model and ordering code, including relevant suffixes and hardware revisions.</w:t>
      </w:r>
    </w:p>
    <w:p>
      <w:r>
        <w:t>Do not identify a component only by its product family or front-panel appearance. Two models may look identical while supporting different electrical interfaces or functions.</w:t>
      </w:r>
    </w:p>
    <w:p>
      <w:pPr>
        <w:pStyle w:val="Heading3"/>
      </w:pPr>
      <w:r>
        <w:t>9.2 Capture the Existing Configuration</w:t>
      </w:r>
    </w:p>
    <w:p>
      <w:r>
        <w:t>Where applicable, preserve:</w:t>
      </w:r>
    </w:p>
    <w:p>
      <w:pPr>
        <w:pStyle w:val="ListBullet"/>
      </w:pPr>
      <w:r>
        <w:t>PLC application and hardware configuration.</w:t>
      </w:r>
    </w:p>
    <w:p>
      <w:pPr>
        <w:pStyle w:val="ListBullet"/>
      </w:pPr>
      <w:r>
        <w:t>HMI project.</w:t>
      </w:r>
    </w:p>
    <w:p>
      <w:pPr>
        <w:pStyle w:val="ListBullet"/>
      </w:pPr>
      <w:r>
        <w:t>Drive or servo parameters.</w:t>
      </w:r>
    </w:p>
    <w:p>
      <w:pPr>
        <w:pStyle w:val="ListBullet"/>
      </w:pPr>
      <w:r>
        <w:t>CNC program and relevant configuration.</w:t>
      </w:r>
    </w:p>
    <w:p>
      <w:pPr>
        <w:pStyle w:val="ListBullet"/>
      </w:pPr>
      <w:r>
        <w:t>Robot programs and required application data.</w:t>
      </w:r>
    </w:p>
    <w:p>
      <w:pPr>
        <w:pStyle w:val="ListBullet"/>
      </w:pPr>
      <w:r>
        <w:t>Vision inspection jobs.</w:t>
      </w:r>
    </w:p>
    <w:p>
      <w:pPr>
        <w:pStyle w:val="ListBullet"/>
      </w:pPr>
      <w:r>
        <w:t>Network settings.</w:t>
      </w:r>
    </w:p>
    <w:p>
      <w:pPr>
        <w:pStyle w:val="ListBullet"/>
      </w:pPr>
      <w:r>
        <w:t>Device-specific calibration data.</w:t>
      </w:r>
    </w:p>
    <w:p>
      <w:pPr>
        <w:pStyle w:val="ListBullet"/>
      </w:pPr>
      <w:r>
        <w:t>Retentive values or recipes where authorized and necessary.</w:t>
      </w:r>
    </w:p>
    <w:p>
      <w:pPr>
        <w:pStyle w:val="ListBullet"/>
      </w:pPr>
      <w:r>
        <w:t>Firmware and engineering software versions.</w:t>
      </w:r>
    </w:p>
    <w:p>
      <w:pPr>
        <w:pStyle w:val="ListBullet"/>
      </w:pPr>
      <w:r>
        <w:t>Relevant safety configuration and validation records.</w:t>
      </w:r>
    </w:p>
    <w:p>
      <w:r>
        <w:t>An uploaded project may not contain every required source file or configuration item. Confirm what the device and engineering tool can actually export.</w:t>
      </w:r>
    </w:p>
    <w:p>
      <w:pPr>
        <w:pStyle w:val="Heading3"/>
      </w:pPr>
      <w:r>
        <w:t>9.3 Check the Replacement</w:t>
      </w:r>
    </w:p>
    <w:p>
      <w:r>
        <w:t>Before installation:</w:t>
      </w:r>
    </w:p>
    <w:p>
      <w:pPr>
        <w:pStyle w:val="ListBullet"/>
      </w:pPr>
      <w:r>
        <w:t>Verify the catalog number and revision.</w:t>
      </w:r>
    </w:p>
    <w:p>
      <w:pPr>
        <w:pStyle w:val="ListBullet"/>
      </w:pPr>
      <w:r>
        <w:t>Inspect for shipping damage.</w:t>
      </w:r>
    </w:p>
    <w:p>
      <w:pPr>
        <w:pStyle w:val="ListBullet"/>
      </w:pPr>
      <w:r>
        <w:t>Check the required accessories and connectors.</w:t>
      </w:r>
    </w:p>
    <w:p>
      <w:pPr>
        <w:pStyle w:val="ListBullet"/>
      </w:pPr>
      <w:r>
        <w:t>Confirm the supply and environmental requirements.</w:t>
      </w:r>
    </w:p>
    <w:p>
      <w:pPr>
        <w:pStyle w:val="ListBullet"/>
      </w:pPr>
      <w:r>
        <w:t>Verify that the part is approved for the intended application.</w:t>
      </w:r>
    </w:p>
    <w:p>
      <w:pPr>
        <w:pStyle w:val="ListBullet"/>
      </w:pPr>
      <w:r>
        <w:t>Check the configuration and software prerequisites.</w:t>
      </w:r>
    </w:p>
    <w:p>
      <w:pPr>
        <w:pStyle w:val="Heading3"/>
      </w:pPr>
      <w:r>
        <w:t>9.4 Prepare the Work Area</w:t>
      </w:r>
    </w:p>
    <w:p>
      <w:pPr>
        <w:pStyle w:val="ListBullet"/>
      </w:pPr>
      <w:r>
        <w:t>Obtain the required work authorization.</w:t>
      </w:r>
    </w:p>
    <w:p>
      <w:pPr>
        <w:pStyle w:val="ListBullet"/>
      </w:pPr>
      <w:r>
        <w:t>Inform production and affected personnel.</w:t>
      </w:r>
    </w:p>
    <w:p>
      <w:pPr>
        <w:pStyle w:val="ListBullet"/>
      </w:pPr>
      <w:r>
        <w:t>Follow the applicable lockout/tagout and energy-isolation procedure.</w:t>
      </w:r>
    </w:p>
    <w:p>
      <w:pPr>
        <w:pStyle w:val="ListBullet"/>
      </w:pPr>
      <w:r>
        <w:t>Identify electrical, pneumatic, hydraulic, gravitational, thermal, and other hazardous energy sources.</w:t>
      </w:r>
    </w:p>
    <w:p>
      <w:pPr>
        <w:pStyle w:val="ListBullet"/>
      </w:pPr>
      <w:r>
        <w:t>Verify isolation using the approved method.</w:t>
      </w:r>
    </w:p>
    <w:p>
      <w:pPr>
        <w:pStyle w:val="ListBullet"/>
      </w:pPr>
      <w:r>
        <w:t>Confirm that stored energy has been safely discharged or restrained.</w:t>
      </w:r>
    </w:p>
    <w:p>
      <w:pPr>
        <w:pStyle w:val="ListBullet"/>
      </w:pPr>
      <w:r>
        <w:t>Use required personal protective equipment and ESD controls.</w:t>
      </w:r>
    </w:p>
    <w:p>
      <w:r>
        <w:t>Never remove or install industrial control hardware while energized unless the equipment, task, personnel authorization, and formal procedure explicitly permit that operation.</w:t>
      </w:r>
    </w:p>
    <w:p>
      <w:pPr>
        <w:pStyle w:val="Heading2"/>
      </w:pPr>
      <w:r>
        <w:t>10. Safe Removal and Installation</w:t>
      </w:r>
    </w:p>
    <w:p>
      <w:r>
        <w:t>The actual procedure depends on the device and manufacturer instructions.</w:t>
      </w:r>
    </w:p>
    <w:p>
      <w:r>
        <w:t>General principles include:</w:t>
      </w:r>
    </w:p>
    <w:p>
      <w:pPr>
        <w:tabs>
          <w:tab w:pos="403" w:val="left"/>
        </w:tabs>
        <w:spacing w:after="40" w:line="276" w:lineRule="auto"/>
        <w:ind w:left="403" w:hanging="403"/>
        <w:jc w:val="left"/>
      </w:pPr>
      <w:r>
        <w:rPr>
          <w:color w:val="1A2E4A"/>
        </w:rPr>
        <w:t>1.</w:t>
        <w:tab/>
      </w:r>
      <w:r>
        <w:t>Confirm the correct equipment and work authorization.</w:t>
      </w:r>
    </w:p>
    <w:p>
      <w:pPr>
        <w:tabs>
          <w:tab w:pos="403" w:val="left"/>
        </w:tabs>
        <w:spacing w:after="40" w:line="276" w:lineRule="auto"/>
        <w:ind w:left="403" w:hanging="403"/>
        <w:jc w:val="left"/>
      </w:pPr>
      <w:r>
        <w:rPr>
          <w:color w:val="1A2E4A"/>
        </w:rPr>
        <w:t>2.</w:t>
        <w:tab/>
      </w:r>
      <w:r>
        <w:t>Place the machine in the required safe state.</w:t>
      </w:r>
    </w:p>
    <w:p>
      <w:pPr>
        <w:tabs>
          <w:tab w:pos="403" w:val="left"/>
        </w:tabs>
        <w:spacing w:after="40" w:line="276" w:lineRule="auto"/>
        <w:ind w:left="403" w:hanging="403"/>
        <w:jc w:val="left"/>
      </w:pPr>
      <w:r>
        <w:rPr>
          <w:color w:val="1A2E4A"/>
        </w:rPr>
        <w:t>3.</w:t>
        <w:tab/>
      </w:r>
      <w:r>
        <w:t>Isolate hazardous energy according to the approved procedure.</w:t>
      </w:r>
    </w:p>
    <w:p>
      <w:pPr>
        <w:tabs>
          <w:tab w:pos="403" w:val="left"/>
        </w:tabs>
        <w:spacing w:after="40" w:line="276" w:lineRule="auto"/>
        <w:ind w:left="403" w:hanging="403"/>
        <w:jc w:val="left"/>
      </w:pPr>
      <w:r>
        <w:rPr>
          <w:color w:val="1A2E4A"/>
        </w:rPr>
        <w:t>4.</w:t>
        <w:tab/>
      </w:r>
      <w:r>
        <w:t>Verify the required isolation.</w:t>
      </w:r>
    </w:p>
    <w:p>
      <w:pPr>
        <w:tabs>
          <w:tab w:pos="403" w:val="left"/>
        </w:tabs>
        <w:spacing w:after="40" w:line="276" w:lineRule="auto"/>
        <w:ind w:left="403" w:hanging="403"/>
        <w:jc w:val="left"/>
      </w:pPr>
      <w:r>
        <w:rPr>
          <w:color w:val="1A2E4A"/>
        </w:rPr>
        <w:t>5.</w:t>
        <w:tab/>
      </w:r>
      <w:r>
        <w:t>Label wires, connectors, modules, and relevant positions before removal.</w:t>
      </w:r>
    </w:p>
    <w:p>
      <w:pPr>
        <w:tabs>
          <w:tab w:pos="403" w:val="left"/>
        </w:tabs>
        <w:spacing w:after="40" w:line="276" w:lineRule="auto"/>
        <w:ind w:left="403" w:hanging="403"/>
        <w:jc w:val="left"/>
      </w:pPr>
      <w:r>
        <w:rPr>
          <w:color w:val="1A2E4A"/>
        </w:rPr>
        <w:t>6.</w:t>
        <w:tab/>
      </w:r>
      <w:r>
        <w:t>Record the original module order and terminal assignments.</w:t>
      </w:r>
    </w:p>
    <w:p>
      <w:pPr>
        <w:tabs>
          <w:tab w:pos="403" w:val="left"/>
        </w:tabs>
        <w:spacing w:after="40" w:line="276" w:lineRule="auto"/>
        <w:ind w:left="403" w:hanging="403"/>
        <w:jc w:val="left"/>
      </w:pPr>
      <w:r>
        <w:rPr>
          <w:color w:val="1A2E4A"/>
        </w:rPr>
        <w:t>7.</w:t>
        <w:tab/>
      </w:r>
      <w:r>
        <w:t>Protect electronic components from electrostatic discharge.</w:t>
      </w:r>
    </w:p>
    <w:p>
      <w:pPr>
        <w:tabs>
          <w:tab w:pos="403" w:val="left"/>
        </w:tabs>
        <w:spacing w:after="40" w:line="276" w:lineRule="auto"/>
        <w:ind w:left="403" w:hanging="403"/>
        <w:jc w:val="left"/>
      </w:pPr>
      <w:r>
        <w:rPr>
          <w:color w:val="1A2E4A"/>
        </w:rPr>
        <w:t>8.</w:t>
        <w:tab/>
      </w:r>
      <w:r>
        <w:t>Remove the failed component using the correct procedure.</w:t>
      </w:r>
    </w:p>
    <w:p>
      <w:pPr>
        <w:tabs>
          <w:tab w:pos="403" w:val="left"/>
        </w:tabs>
        <w:spacing w:after="40" w:line="276" w:lineRule="auto"/>
        <w:ind w:left="403" w:hanging="403"/>
        <w:jc w:val="left"/>
      </w:pPr>
      <w:r>
        <w:rPr>
          <w:color w:val="1A2E4A"/>
        </w:rPr>
        <w:t>9.</w:t>
        <w:tab/>
      </w:r>
      <w:r>
        <w:t>Inspect connectors, terminals, mounting points, and surrounding equipment.</w:t>
      </w:r>
    </w:p>
    <w:p>
      <w:pPr>
        <w:tabs>
          <w:tab w:pos="403" w:val="left"/>
        </w:tabs>
        <w:spacing w:after="40" w:line="276" w:lineRule="auto"/>
        <w:ind w:left="403" w:hanging="403"/>
        <w:jc w:val="left"/>
      </w:pPr>
      <w:r>
        <w:rPr>
          <w:color w:val="1A2E4A"/>
        </w:rPr>
        <w:t>10.</w:t>
        <w:tab/>
      </w:r>
      <w:r>
        <w:t>Install the approved replacement.</w:t>
      </w:r>
    </w:p>
    <w:p>
      <w:pPr>
        <w:tabs>
          <w:tab w:pos="403" w:val="left"/>
        </w:tabs>
        <w:spacing w:after="40" w:line="276" w:lineRule="auto"/>
        <w:ind w:left="403" w:hanging="403"/>
        <w:jc w:val="left"/>
      </w:pPr>
      <w:r>
        <w:rPr>
          <w:color w:val="1A2E4A"/>
        </w:rPr>
        <w:t>11.</w:t>
        <w:tab/>
      </w:r>
      <w:r>
        <w:t>Restore wiring and connections according to verified drawings and manufacturer instructions.</w:t>
      </w:r>
    </w:p>
    <w:p>
      <w:pPr>
        <w:tabs>
          <w:tab w:pos="403" w:val="left"/>
        </w:tabs>
        <w:spacing w:after="40" w:line="276" w:lineRule="auto"/>
        <w:ind w:left="403" w:hanging="403"/>
        <w:jc w:val="left"/>
      </w:pPr>
      <w:r>
        <w:rPr>
          <w:color w:val="1A2E4A"/>
        </w:rPr>
        <w:t>12.</w:t>
        <w:tab/>
      </w:r>
      <w:r>
        <w:t>Check polarity, protective earthing, terminal torque requirements, and connector seating as applicable.</w:t>
      </w:r>
    </w:p>
    <w:p>
      <w:pPr>
        <w:tabs>
          <w:tab w:pos="403" w:val="left"/>
        </w:tabs>
        <w:spacing w:after="40" w:line="276" w:lineRule="auto"/>
        <w:ind w:left="403" w:hanging="403"/>
        <w:jc w:val="left"/>
      </w:pPr>
      <w:r>
        <w:rPr>
          <w:color w:val="1A2E4A"/>
        </w:rPr>
        <w:t>13.</w:t>
        <w:tab/>
      </w:r>
      <w:r>
        <w:t>Complete the required inspection before re-energization.</w:t>
      </w:r>
    </w:p>
    <w:p>
      <w:r>
        <w:t>Do not rely solely on photographs or memory for complex wiring. Photographs support the record, but verified drawings and terminal identification remain important.</w:t>
      </w:r>
    </w:p>
    <w:p>
      <w:pPr>
        <w:pStyle w:val="Heading2"/>
      </w:pPr>
      <w:r>
        <w:t>11. PLC Hardware Replacement</w:t>
      </w:r>
    </w:p>
    <w:p>
      <w:r>
        <w:t>PLC replacement requires special attention because the controller is part of the machine's control architecture.</w:t>
      </w:r>
    </w:p>
    <w:p>
      <w:pPr>
        <w:pStyle w:val="Heading3"/>
      </w:pPr>
      <w:r>
        <w:t>11.1 Information to Record</w:t>
      </w:r>
    </w:p>
    <w:p>
      <w:pPr>
        <w:pStyle w:val="ListBullet"/>
      </w:pPr>
      <w:r>
        <w:t>CPU catalog number and serial number.</w:t>
      </w:r>
    </w:p>
    <w:p>
      <w:pPr>
        <w:pStyle w:val="ListBullet"/>
      </w:pPr>
      <w:r>
        <w:t>Hardware revision.</w:t>
      </w:r>
    </w:p>
    <w:p>
      <w:pPr>
        <w:pStyle w:val="ListBullet"/>
      </w:pPr>
      <w:r>
        <w:t>Firmware version.</w:t>
      </w:r>
    </w:p>
    <w:p>
      <w:pPr>
        <w:pStyle w:val="ListBullet"/>
      </w:pPr>
      <w:r>
        <w:t>Memory and storage requirements.</w:t>
      </w:r>
    </w:p>
    <w:p>
      <w:pPr>
        <w:pStyle w:val="ListBullet"/>
      </w:pPr>
      <w:r>
        <w:t>Rack or backplane configuration.</w:t>
      </w:r>
    </w:p>
    <w:p>
      <w:pPr>
        <w:pStyle w:val="ListBullet"/>
      </w:pPr>
      <w:r>
        <w:t>I/O module arrangement.</w:t>
      </w:r>
    </w:p>
    <w:p>
      <w:pPr>
        <w:pStyle w:val="ListBullet"/>
      </w:pPr>
      <w:r>
        <w:t>Communication modules and network settings.</w:t>
      </w:r>
    </w:p>
    <w:p>
      <w:pPr>
        <w:pStyle w:val="ListBullet"/>
      </w:pPr>
      <w:r>
        <w:t>Program revision.</w:t>
      </w:r>
    </w:p>
    <w:p>
      <w:pPr>
        <w:pStyle w:val="ListBullet"/>
      </w:pPr>
      <w:r>
        <w:t>Hardware configuration.</w:t>
      </w:r>
    </w:p>
    <w:p>
      <w:pPr>
        <w:pStyle w:val="ListBullet"/>
      </w:pPr>
      <w:r>
        <w:t>Retentive data requirements.</w:t>
      </w:r>
    </w:p>
    <w:p>
      <w:pPr>
        <w:pStyle w:val="ListBullet"/>
      </w:pPr>
      <w:r>
        <w:t>Required libraries and engineering software.</w:t>
      </w:r>
    </w:p>
    <w:p>
      <w:pPr>
        <w:pStyle w:val="ListBullet"/>
      </w:pPr>
      <w:r>
        <w:t>Safety configuration, if applicable.</w:t>
      </w:r>
    </w:p>
    <w:p>
      <w:pPr>
        <w:pStyle w:val="Heading3"/>
      </w:pPr>
      <w:r>
        <w:t>11.2 Replacement Considerations</w:t>
      </w:r>
    </w:p>
    <w:p>
      <w:r>
        <w:t>A replacement CPU may require a compatible firmware version, a supported project format, suitable memory, correct communication configuration, and an approved download procedure.</w:t>
      </w:r>
    </w:p>
    <w:p>
      <w:r>
        <w:t>Also determine how the controller obtains its configuration. Depending on the platform, it may be stored in internal memory, removable media, an engineering project, or another supported source.</w:t>
      </w:r>
    </w:p>
    <w:p>
      <w:r>
        <w:t>Do not assume that moving a memory card or restoring a project will reproduce every aspect of the original system.</w:t>
      </w:r>
    </w:p>
    <w:p>
      <w:pPr>
        <w:pStyle w:val="Heading3"/>
      </w:pPr>
      <w:r>
        <w:t>11.3 PLC Recovery Verification</w:t>
      </w:r>
    </w:p>
    <w:p>
      <w:r>
        <w:t>Check:</w:t>
      </w:r>
    </w:p>
    <w:p>
      <w:pPr>
        <w:pStyle w:val="ListBullet"/>
      </w:pPr>
      <w:r>
        <w:t>Correct CPU and module identities.</w:t>
      </w:r>
    </w:p>
    <w:p>
      <w:pPr>
        <w:pStyle w:val="ListBullet"/>
      </w:pPr>
      <w:r>
        <w:t>Expected hardware configuration.</w:t>
      </w:r>
    </w:p>
    <w:p>
      <w:pPr>
        <w:pStyle w:val="ListBullet"/>
      </w:pPr>
      <w:r>
        <w:t>No unexplained configuration faults.</w:t>
      </w:r>
    </w:p>
    <w:p>
      <w:pPr>
        <w:pStyle w:val="ListBullet"/>
      </w:pPr>
      <w:r>
        <w:t>Correct communication with remote I/O and other devices.</w:t>
      </w:r>
    </w:p>
    <w:p>
      <w:pPr>
        <w:pStyle w:val="ListBullet"/>
      </w:pPr>
      <w:r>
        <w:t>Correct input and output mapping.</w:t>
      </w:r>
    </w:p>
    <w:p>
      <w:pPr>
        <w:pStyle w:val="ListBullet"/>
      </w:pPr>
      <w:r>
        <w:t>Correct program revision.</w:t>
      </w:r>
    </w:p>
    <w:p>
      <w:pPr>
        <w:pStyle w:val="ListBullet"/>
      </w:pPr>
      <w:r>
        <w:t>Expected retentive-data behavior.</w:t>
      </w:r>
    </w:p>
    <w:p>
      <w:pPr>
        <w:pStyle w:val="ListBullet"/>
      </w:pPr>
      <w:r>
        <w:t>Correct operating mode.</w:t>
      </w:r>
    </w:p>
    <w:p>
      <w:pPr>
        <w:pStyle w:val="ListBullet"/>
      </w:pPr>
      <w:r>
        <w:t>Correct interlock and permissive behavior.</w:t>
      </w:r>
    </w:p>
    <w:p>
      <w:pPr>
        <w:pStyle w:val="ListBullet"/>
      </w:pPr>
      <w:r>
        <w:t>Required safety validation.</w:t>
      </w:r>
    </w:p>
    <w:p>
      <w:pPr>
        <w:pStyle w:val="ListBullet"/>
      </w:pPr>
      <w:r>
        <w:t>Successful operation under the approved commissioning procedure.</w:t>
      </w:r>
    </w:p>
    <w:p>
      <w:r>
        <w:t>Output testing must be controlled to prevent unexpected machine movement.</w:t>
      </w:r>
    </w:p>
    <w:p>
      <w:pPr>
        <w:pStyle w:val="Heading2"/>
      </w:pPr>
      <w:r>
        <w:t>12. I/O Module Replacement</w:t>
      </w:r>
    </w:p>
    <w:p>
      <w:r>
        <w:t>I/O modules interface the PLC with physical sensors and actuators. A replacement must match the required electrical characteristics and module configuration.</w:t>
      </w:r>
    </w:p>
    <w:p>
      <w:r>
        <w:t>Verify:</w:t>
      </w:r>
    </w:p>
    <w:p>
      <w:pPr>
        <w:pStyle w:val="ListBullet"/>
      </w:pPr>
      <w:r>
        <w:t>Digital input or output type.</w:t>
      </w:r>
    </w:p>
    <w:p>
      <w:pPr>
        <w:pStyle w:val="ListBullet"/>
      </w:pPr>
      <w:r>
        <w:t>Analog input or output type.</w:t>
      </w:r>
    </w:p>
    <w:p>
      <w:pPr>
        <w:pStyle w:val="ListBullet"/>
      </w:pPr>
      <w:r>
        <w:t>Voltage and current range.</w:t>
      </w:r>
    </w:p>
    <w:p>
      <w:pPr>
        <w:pStyle w:val="ListBullet"/>
      </w:pPr>
      <w:r>
        <w:t>Channel count.</w:t>
      </w:r>
    </w:p>
    <w:p>
      <w:pPr>
        <w:pStyle w:val="ListBullet"/>
      </w:pPr>
      <w:r>
        <w:t>Isolation and common-terminal arrangement.</w:t>
      </w:r>
    </w:p>
    <w:p>
      <w:pPr>
        <w:pStyle w:val="ListBullet"/>
      </w:pPr>
      <w:r>
        <w:t>Sink/source compatibility where applicable.</w:t>
      </w:r>
    </w:p>
    <w:p>
      <w:pPr>
        <w:pStyle w:val="ListBullet"/>
      </w:pPr>
      <w:r>
        <w:t>Input filtering and response characteristics.</w:t>
      </w:r>
    </w:p>
    <w:p>
      <w:pPr>
        <w:pStyle w:val="ListBullet"/>
      </w:pPr>
      <w:r>
        <w:t>Diagnostic behavior.</w:t>
      </w:r>
    </w:p>
    <w:p>
      <w:pPr>
        <w:pStyle w:val="ListBullet"/>
      </w:pPr>
      <w:r>
        <w:t>Channel configuration.</w:t>
      </w:r>
    </w:p>
    <w:p>
      <w:pPr>
        <w:pStyle w:val="ListBullet"/>
      </w:pPr>
      <w:r>
        <w:t>Terminal assignments.</w:t>
      </w:r>
    </w:p>
    <w:p>
      <w:pPr>
        <w:pStyle w:val="ListBullet"/>
      </w:pPr>
      <w:r>
        <w:t>Addressing and module identity.</w:t>
      </w:r>
    </w:p>
    <w:p>
      <w:r>
        <w:t>For example, a replacement analog input module must be configured for the actual signal type. A 4–20 mA transmitter connected to a channel configured for a different range may produce invalid readings or diagnostic faults.</w:t>
      </w:r>
    </w:p>
    <w:p>
      <w:r>
        <w:t>After replacement, test the signal path from the field device through the I/O module to the application. For outputs, verify the controlled load and interlocks using the approved safe procedure.</w:t>
      </w:r>
    </w:p>
    <w:p>
      <w:pPr>
        <w:pStyle w:val="Heading2"/>
      </w:pPr>
      <w:r>
        <w:t>13. HMI Replacement</w:t>
      </w:r>
    </w:p>
    <w:p>
      <w:r>
        <w:t>HMI replacement may involve display hardware, project restoration, communication settings, and operator-interface validation.</w:t>
      </w:r>
    </w:p>
    <w:p>
      <w:r>
        <w:t>Check:</w:t>
      </w:r>
    </w:p>
    <w:p>
      <w:pPr>
        <w:pStyle w:val="ListBullet"/>
      </w:pPr>
      <w:r>
        <w:t>Exact model and display specifications.</w:t>
      </w:r>
    </w:p>
    <w:p>
      <w:pPr>
        <w:pStyle w:val="ListBullet"/>
      </w:pPr>
      <w:r>
        <w:t>Power supply requirements.</w:t>
      </w:r>
    </w:p>
    <w:p>
      <w:pPr>
        <w:pStyle w:val="ListBullet"/>
      </w:pPr>
      <w:r>
        <w:t>Communication ports and protocols.</w:t>
      </w:r>
    </w:p>
    <w:p>
      <w:pPr>
        <w:pStyle w:val="ListBullet"/>
      </w:pPr>
      <w:r>
        <w:t>Firmware and engineering software compatibility.</w:t>
      </w:r>
    </w:p>
    <w:p>
      <w:pPr>
        <w:pStyle w:val="ListBullet"/>
      </w:pPr>
      <w:r>
        <w:t>Project revision.</w:t>
      </w:r>
    </w:p>
    <w:p>
      <w:pPr>
        <w:pStyle w:val="ListBullet"/>
      </w:pPr>
      <w:r>
        <w:t>PLC tag mapping.</w:t>
      </w:r>
    </w:p>
    <w:p>
      <w:pPr>
        <w:pStyle w:val="ListBullet"/>
      </w:pPr>
      <w:r>
        <w:t>Alarm definitions.</w:t>
      </w:r>
    </w:p>
    <w:p>
      <w:pPr>
        <w:pStyle w:val="ListBullet"/>
      </w:pPr>
      <w:r>
        <w:t>User roles and access permissions.</w:t>
      </w:r>
    </w:p>
    <w:p>
      <w:pPr>
        <w:pStyle w:val="ListBullet"/>
      </w:pPr>
      <w:r>
        <w:t>Recipes and local data.</w:t>
      </w:r>
    </w:p>
    <w:p>
      <w:pPr>
        <w:pStyle w:val="ListBullet"/>
      </w:pPr>
      <w:r>
        <w:t>Runtime licensing.</w:t>
      </w:r>
    </w:p>
    <w:p>
      <w:pPr>
        <w:pStyle w:val="ListBullet"/>
      </w:pPr>
      <w:r>
        <w:t>Touchscreen or keypad operation.</w:t>
      </w:r>
    </w:p>
    <w:p>
      <w:r>
        <w:t>After installation, verify that screens load correctly, alarms display accurately, operator commands act on the intended tags, and communication loss is handled appropriately.</w:t>
      </w:r>
    </w:p>
    <w:p>
      <w:r>
        <w:t>Do not assume that a project that opens successfully will operate correctly on the replacement panel.</w:t>
      </w:r>
    </w:p>
    <w:p>
      <w:pPr>
        <w:pStyle w:val="Heading2"/>
      </w:pPr>
      <w:r>
        <w:t>14. VFD and Servo Drive Replacement</w:t>
      </w:r>
    </w:p>
    <w:p>
      <w:r>
        <w:t>Drive replacement requires careful configuration and motor compatibility checks.</w:t>
      </w:r>
    </w:p>
    <w:p>
      <w:r>
        <w:t>Record and verify:</w:t>
      </w:r>
    </w:p>
    <w:p>
      <w:pPr>
        <w:pStyle w:val="ListBullet"/>
      </w:pPr>
      <w:r>
        <w:t>Drive model and rating.</w:t>
      </w:r>
    </w:p>
    <w:p>
      <w:pPr>
        <w:pStyle w:val="ListBullet"/>
      </w:pPr>
      <w:r>
        <w:t>Supply voltage and phase.</w:t>
      </w:r>
    </w:p>
    <w:p>
      <w:pPr>
        <w:pStyle w:val="ListBullet"/>
      </w:pPr>
      <w:r>
        <w:t>Motor nameplate data.</w:t>
      </w:r>
    </w:p>
    <w:p>
      <w:pPr>
        <w:pStyle w:val="ListBullet"/>
      </w:pPr>
      <w:r>
        <w:t>Motor type and rated current.</w:t>
      </w:r>
    </w:p>
    <w:p>
      <w:pPr>
        <w:pStyle w:val="ListBullet"/>
      </w:pPr>
      <w:r>
        <w:t>Control mode.</w:t>
      </w:r>
    </w:p>
    <w:p>
      <w:pPr>
        <w:pStyle w:val="ListBullet"/>
      </w:pPr>
      <w:r>
        <w:t>Acceleration and deceleration settings.</w:t>
      </w:r>
    </w:p>
    <w:p>
      <w:pPr>
        <w:pStyle w:val="ListBullet"/>
      </w:pPr>
      <w:r>
        <w:t>Minimum and maximum speed.</w:t>
      </w:r>
    </w:p>
    <w:p>
      <w:pPr>
        <w:pStyle w:val="ListBullet"/>
      </w:pPr>
      <w:r>
        <w:t>Current and torque limits.</w:t>
      </w:r>
    </w:p>
    <w:p>
      <w:pPr>
        <w:pStyle w:val="ListBullet"/>
      </w:pPr>
      <w:r>
        <w:t>Digital and analog I/O assignments.</w:t>
      </w:r>
    </w:p>
    <w:p>
      <w:pPr>
        <w:pStyle w:val="ListBullet"/>
      </w:pPr>
      <w:r>
        <w:t>Communication settings.</w:t>
      </w:r>
    </w:p>
    <w:p>
      <w:pPr>
        <w:pStyle w:val="ListBullet"/>
      </w:pPr>
      <w:r>
        <w:t>Encoder or feedback configuration.</w:t>
      </w:r>
    </w:p>
    <w:p>
      <w:pPr>
        <w:pStyle w:val="ListBullet"/>
      </w:pPr>
      <w:r>
        <w:t>Braking components and associated settings.</w:t>
      </w:r>
    </w:p>
    <w:p>
      <w:pPr>
        <w:pStyle w:val="ListBullet"/>
      </w:pPr>
      <w:r>
        <w:t>Firmware and parameter-set compatibility.</w:t>
      </w:r>
    </w:p>
    <w:p>
      <w:r>
        <w:t>For servo systems, also verify the motor and encoder combination, feedback direction, tuning requirements, motion limits, homing procedure, and associated safety functions.</w:t>
      </w:r>
    </w:p>
    <w:p>
      <w:r>
        <w:t>Do not blindly load parameters from a different drive. Even similar drive models may differ in parameter numbering, scaling, firmware behavior, or supported functions.</w:t>
      </w:r>
    </w:p>
    <w:p>
      <w:r>
        <w:t>After replacement, carry out the manufacturer-approved commissioning procedure. Motion testing should begin under controlled conditions with the required safeguards in place.</w:t>
      </w:r>
    </w:p>
    <w:p>
      <w:pPr>
        <w:pStyle w:val="Heading2"/>
      </w:pPr>
      <w:r>
        <w:t>15. CNC Hardware Replacement</w:t>
      </w:r>
    </w:p>
    <w:p>
      <w:r>
        <w:t>CNC replacement may involve the control unit, drives, I/O modules, encoders, spindle components, or operator panel.</w:t>
      </w:r>
    </w:p>
    <w:p>
      <w:r>
        <w:t>Important considerations include:</w:t>
      </w:r>
    </w:p>
    <w:p>
      <w:pPr>
        <w:pStyle w:val="ListBullet"/>
      </w:pPr>
      <w:r>
        <w:t>CNC control model and configuration.</w:t>
      </w:r>
    </w:p>
    <w:p>
      <w:pPr>
        <w:pStyle w:val="ListBullet"/>
      </w:pPr>
      <w:r>
        <w:t>Machine-builder software and configuration.</w:t>
      </w:r>
    </w:p>
    <w:p>
      <w:pPr>
        <w:pStyle w:val="ListBullet"/>
      </w:pPr>
      <w:r>
        <w:t>CNC programs and subprograms.</w:t>
      </w:r>
    </w:p>
    <w:p>
      <w:pPr>
        <w:pStyle w:val="ListBullet"/>
      </w:pPr>
      <w:r>
        <w:t>Tool data and offsets.</w:t>
      </w:r>
    </w:p>
    <w:p>
      <w:pPr>
        <w:pStyle w:val="ListBullet"/>
      </w:pPr>
      <w:r>
        <w:t>Axis configuration and feedback.</w:t>
      </w:r>
    </w:p>
    <w:p>
      <w:pPr>
        <w:pStyle w:val="ListBullet"/>
      </w:pPr>
      <w:r>
        <w:t>Servo and spindle drive compatibility.</w:t>
      </w:r>
    </w:p>
    <w:p>
      <w:pPr>
        <w:pStyle w:val="ListBullet"/>
      </w:pPr>
      <w:r>
        <w:t>PLC or PMC logic associated with the machine.</w:t>
      </w:r>
    </w:p>
    <w:p>
      <w:pPr>
        <w:pStyle w:val="ListBullet"/>
      </w:pPr>
      <w:r>
        <w:t>Communication and fieldbus settings.</w:t>
      </w:r>
    </w:p>
    <w:p>
      <w:pPr>
        <w:pStyle w:val="ListBullet"/>
      </w:pPr>
      <w:r>
        <w:t>Calibration and compensation data.</w:t>
      </w:r>
    </w:p>
    <w:p>
      <w:pPr>
        <w:pStyle w:val="ListBullet"/>
      </w:pPr>
      <w:r>
        <w:t>Safety-related configuration.</w:t>
      </w:r>
    </w:p>
    <w:p>
      <w:pPr>
        <w:pStyle w:val="ListBullet"/>
      </w:pPr>
      <w:r>
        <w:t>Required licensing and machine-builder support.</w:t>
      </w:r>
    </w:p>
    <w:p>
      <w:r>
        <w:t>A generic CNC backup may not include all machine-builder data. Obtain and verify the specific files and configuration required for the machine.</w:t>
      </w:r>
    </w:p>
    <w:p>
      <w:r>
        <w:t>After replacement, verify axis references, spindle behavior, tool-change sequences, machine interlocks, and other functions using the approved commissioning process. Follow machine-builder instructions for homing, reference return, and calibration.</w:t>
      </w:r>
    </w:p>
    <w:p>
      <w:pPr>
        <w:pStyle w:val="Heading2"/>
      </w:pPr>
      <w:r>
        <w:t>16. Robot Controller and Robot Hardware Replacement</w:t>
      </w:r>
    </w:p>
    <w:p>
      <w:r>
        <w:t>Robot replacement requires more than transferring the motion program.</w:t>
      </w:r>
    </w:p>
    <w:p>
      <w:r>
        <w:t>Check:</w:t>
      </w:r>
    </w:p>
    <w:p>
      <w:pPr>
        <w:pStyle w:val="ListBullet"/>
      </w:pPr>
      <w:r>
        <w:t>Controller model and revision.</w:t>
      </w:r>
    </w:p>
    <w:p>
      <w:pPr>
        <w:pStyle w:val="ListBullet"/>
      </w:pPr>
      <w:r>
        <w:t>Robot model and serial number.</w:t>
      </w:r>
    </w:p>
    <w:p>
      <w:pPr>
        <w:pStyle w:val="ListBullet"/>
      </w:pPr>
      <w:r>
        <w:t>Axis configuration.</w:t>
      </w:r>
    </w:p>
    <w:p>
      <w:pPr>
        <w:pStyle w:val="ListBullet"/>
      </w:pPr>
      <w:r>
        <w:t>Robot application and system software.</w:t>
      </w:r>
    </w:p>
    <w:p>
      <w:pPr>
        <w:pStyle w:val="ListBullet"/>
      </w:pPr>
      <w:r>
        <w:t>Tool and work frames.</w:t>
      </w:r>
    </w:p>
    <w:p>
      <w:pPr>
        <w:pStyle w:val="ListBullet"/>
      </w:pPr>
      <w:r>
        <w:t>Payload and inertia settings.</w:t>
      </w:r>
    </w:p>
    <w:p>
      <w:pPr>
        <w:pStyle w:val="ListBullet"/>
      </w:pPr>
      <w:r>
        <w:t>External axes and associated configuration.</w:t>
      </w:r>
    </w:p>
    <w:p>
      <w:pPr>
        <w:pStyle w:val="ListBullet"/>
      </w:pPr>
      <w:r>
        <w:t>Fieldbus and communication settings.</w:t>
      </w:r>
    </w:p>
    <w:p>
      <w:pPr>
        <w:pStyle w:val="ListBullet"/>
      </w:pPr>
      <w:r>
        <w:t>Calibration and mastering data.</w:t>
      </w:r>
    </w:p>
    <w:p>
      <w:pPr>
        <w:pStyle w:val="ListBullet"/>
      </w:pPr>
      <w:r>
        <w:t>Safety zones and protective functions.</w:t>
      </w:r>
    </w:p>
    <w:p>
      <w:pPr>
        <w:pStyle w:val="ListBullet"/>
      </w:pPr>
      <w:r>
        <w:t>Required options and software licenses.</w:t>
      </w:r>
    </w:p>
    <w:p>
      <w:r>
        <w:t>Robot mastering and calibration data are particularly important. An incorrect configuration may cause the robot to interpret positions differently from the original system.</w:t>
      </w:r>
    </w:p>
    <w:p>
      <w:r>
        <w:t>After replacement or recovery, perform the manufacturer-required mastering, calibration, safety, and motion verification steps. Initial motion checks must use the authorized commissioning mode and appropriate safeguards.</w:t>
      </w:r>
    </w:p>
    <w:p>
      <w:pPr>
        <w:pStyle w:val="Heading2"/>
      </w:pPr>
      <w:r>
        <w:t>17. Industrial PC and Network Hardware Replacement</w:t>
      </w:r>
    </w:p>
    <w:p>
      <w:r>
        <w:t>Industrial PCs and network devices introduce additional operating-system and infrastructure dependencies.</w:t>
      </w:r>
    </w:p>
    <w:p>
      <w:pPr>
        <w:pStyle w:val="Heading3"/>
      </w:pPr>
      <w:r>
        <w:t>17.1 Industrial PC</w:t>
      </w:r>
    </w:p>
    <w:p>
      <w:r>
        <w:t>Record:</w:t>
      </w:r>
    </w:p>
    <w:p>
      <w:pPr>
        <w:pStyle w:val="ListBullet"/>
      </w:pPr>
      <w:r>
        <w:t>PC model and hardware configuration.</w:t>
      </w:r>
    </w:p>
    <w:p>
      <w:pPr>
        <w:pStyle w:val="ListBullet"/>
      </w:pPr>
      <w:r>
        <w:t>Operating system edition and build.</w:t>
      </w:r>
    </w:p>
    <w:p>
      <w:pPr>
        <w:pStyle w:val="ListBullet"/>
      </w:pPr>
      <w:r>
        <w:t>BIOS or UEFI settings where relevant.</w:t>
      </w:r>
    </w:p>
    <w:p>
      <w:pPr>
        <w:pStyle w:val="ListBullet"/>
      </w:pPr>
      <w:r>
        <w:t>Storage layout and required images.</w:t>
      </w:r>
    </w:p>
    <w:p>
      <w:pPr>
        <w:pStyle w:val="ListBullet"/>
      </w:pPr>
      <w:r>
        <w:t>Application versions.</w:t>
      </w:r>
    </w:p>
    <w:p>
      <w:pPr>
        <w:pStyle w:val="ListBullet"/>
      </w:pPr>
      <w:r>
        <w:t>Database dependencies.</w:t>
      </w:r>
    </w:p>
    <w:p>
      <w:pPr>
        <w:pStyle w:val="ListBullet"/>
      </w:pPr>
      <w:r>
        <w:t>Drivers and communication interfaces.</w:t>
      </w:r>
    </w:p>
    <w:p>
      <w:pPr>
        <w:pStyle w:val="ListBullet"/>
      </w:pPr>
      <w:r>
        <w:t>Licensing and activation requirements.</w:t>
      </w:r>
    </w:p>
    <w:p>
      <w:pPr>
        <w:pStyle w:val="ListBullet"/>
      </w:pPr>
      <w:r>
        <w:t>Network configuration.</w:t>
      </w:r>
    </w:p>
    <w:p>
      <w:pPr>
        <w:pStyle w:val="ListBullet"/>
      </w:pPr>
      <w:r>
        <w:t>Backup and recovery media.</w:t>
      </w:r>
    </w:p>
    <w:p>
      <w:r>
        <w:t>A disk image may not be sufficient if the replacement has different hardware, storage controllers, network adapters, or licensing constraints.</w:t>
      </w:r>
    </w:p>
    <w:p>
      <w:pPr>
        <w:pStyle w:val="Heading3"/>
      </w:pPr>
      <w:r>
        <w:t>17.2 Industrial Network Switch or Communication Module</w:t>
      </w:r>
    </w:p>
    <w:p>
      <w:r>
        <w:t>Verify:</w:t>
      </w:r>
    </w:p>
    <w:p>
      <w:pPr>
        <w:pStyle w:val="ListBullet"/>
      </w:pPr>
      <w:r>
        <w:t>Port count and port capabilities.</w:t>
      </w:r>
    </w:p>
    <w:p>
      <w:pPr>
        <w:pStyle w:val="ListBullet"/>
      </w:pPr>
      <w:r>
        <w:t>Supported Ethernet speeds.</w:t>
      </w:r>
    </w:p>
    <w:p>
      <w:pPr>
        <w:pStyle w:val="ListBullet"/>
      </w:pPr>
      <w:r>
        <w:t>Industrial protocol requirements.</w:t>
      </w:r>
    </w:p>
    <w:p>
      <w:pPr>
        <w:pStyle w:val="ListBullet"/>
      </w:pPr>
      <w:r>
        <w:t>VLAN and network segmentation configuration.</w:t>
      </w:r>
    </w:p>
    <w:p>
      <w:pPr>
        <w:pStyle w:val="ListBullet"/>
      </w:pPr>
      <w:r>
        <w:t>IP addresses and management access.</w:t>
      </w:r>
    </w:p>
    <w:p>
      <w:pPr>
        <w:pStyle w:val="ListBullet"/>
      </w:pPr>
      <w:r>
        <w:t>Redundancy and ring configuration.</w:t>
      </w:r>
    </w:p>
    <w:p>
      <w:pPr>
        <w:pStyle w:val="ListBullet"/>
      </w:pPr>
      <w:r>
        <w:t>Port security and access controls.</w:t>
      </w:r>
    </w:p>
    <w:p>
      <w:pPr>
        <w:pStyle w:val="ListBullet"/>
      </w:pPr>
      <w:r>
        <w:t>Firmware compatibility.</w:t>
      </w:r>
    </w:p>
    <w:p>
      <w:pPr>
        <w:pStyle w:val="ListBullet"/>
      </w:pPr>
      <w:r>
        <w:t>Fiber or copper interface requirements.</w:t>
      </w:r>
    </w:p>
    <w:p>
      <w:pPr>
        <w:pStyle w:val="ListBullet"/>
      </w:pPr>
      <w:r>
        <w:t>Network topology and port mapping.</w:t>
      </w:r>
    </w:p>
    <w:p>
      <w:r>
        <w:t>After replacement, test communication to the intended devices and verify that segmentation, redundancy, and access controls behave as designed.</w:t>
      </w:r>
    </w:p>
    <w:p>
      <w:pPr>
        <w:pStyle w:val="Heading2"/>
      </w:pPr>
      <w:r>
        <w:t>18. Sensor and Instrument Replacement</w:t>
      </w:r>
    </w:p>
    <w:p>
      <w:r>
        <w:t>Sensors often appear simple to replace, but their electrical and mechanical characteristics affect the control system.</w:t>
      </w:r>
    </w:p>
    <w:p>
      <w:r>
        <w:t>Verify:</w:t>
      </w:r>
    </w:p>
    <w:p>
      <w:pPr>
        <w:pStyle w:val="ListBullet"/>
      </w:pPr>
      <w:r>
        <w:t>Sensing principle.</w:t>
      </w:r>
    </w:p>
    <w:p>
      <w:pPr>
        <w:pStyle w:val="ListBullet"/>
      </w:pPr>
      <w:r>
        <w:t>Detection range.</w:t>
      </w:r>
    </w:p>
    <w:p>
      <w:pPr>
        <w:pStyle w:val="ListBullet"/>
      </w:pPr>
      <w:r>
        <w:t>Supply voltage.</w:t>
      </w:r>
    </w:p>
    <w:p>
      <w:pPr>
        <w:pStyle w:val="ListBullet"/>
      </w:pPr>
      <w:r>
        <w:t>Output type and polarity.</w:t>
      </w:r>
    </w:p>
    <w:p>
      <w:pPr>
        <w:pStyle w:val="ListBullet"/>
      </w:pPr>
      <w:r>
        <w:t>PNP or NPN compatibility where relevant.</w:t>
      </w:r>
    </w:p>
    <w:p>
      <w:pPr>
        <w:pStyle w:val="ListBullet"/>
      </w:pPr>
      <w:r>
        <w:t>Normally open or normally closed behavior.</w:t>
      </w:r>
    </w:p>
    <w:p>
      <w:pPr>
        <w:pStyle w:val="ListBullet"/>
      </w:pPr>
      <w:r>
        <w:t>Connector pinout.</w:t>
      </w:r>
    </w:p>
    <w:p>
      <w:pPr>
        <w:pStyle w:val="ListBullet"/>
      </w:pPr>
      <w:r>
        <w:t>Switching frequency.</w:t>
      </w:r>
    </w:p>
    <w:p>
      <w:pPr>
        <w:pStyle w:val="ListBullet"/>
      </w:pPr>
      <w:r>
        <w:t>Response time.</w:t>
      </w:r>
    </w:p>
    <w:p>
      <w:pPr>
        <w:pStyle w:val="ListBullet"/>
      </w:pPr>
      <w:r>
        <w:t>Mounting dimensions and sensing geometry.</w:t>
      </w:r>
    </w:p>
    <w:p>
      <w:pPr>
        <w:pStyle w:val="ListBullet"/>
      </w:pPr>
      <w:r>
        <w:t>Environmental protection.</w:t>
      </w:r>
    </w:p>
    <w:p>
      <w:pPr>
        <w:pStyle w:val="ListBullet"/>
      </w:pPr>
      <w:r>
        <w:t>Calibration and measurement requirements.</w:t>
      </w:r>
    </w:p>
    <w:p>
      <w:r>
        <w:t>For analog instruments, verify the signal range, scaling, engineering units, zero and span behavior, and calibration requirements.</w:t>
      </w:r>
    </w:p>
    <w:p>
      <w:r>
        <w:t>For safety-related sensors, confirm that the replacement meets the required safety characteristics and that the complete safety function is validated as required.</w:t>
      </w:r>
    </w:p>
    <w:p>
      <w:pPr>
        <w:pStyle w:val="Heading2"/>
      </w:pPr>
      <w:r>
        <w:t>19. Like-for-Like Replacement vs. Successor Hardware</w:t>
      </w:r>
    </w:p>
    <w:p>
      <w:r>
        <w:t>A discontinued component may require a replacement model from the same manufacturer or a different platform.</w:t>
      </w:r>
    </w:p>
    <w:p>
      <w:r>
        <w:t>Do not assume that a manufacturer's suggested successor is automatically compatible with the installed application.</w:t>
      </w:r>
    </w:p>
    <w:p>
      <w:r>
        <w:t>Assess:</w:t>
      </w:r>
    </w:p>
    <w:p>
      <w:pPr>
        <w:pStyle w:val="ListBullet"/>
      </w:pPr>
      <w:r>
        <w:t>Electrical compatibility.</w:t>
      </w:r>
    </w:p>
    <w:p>
      <w:pPr>
        <w:pStyle w:val="ListBullet"/>
      </w:pPr>
      <w:r>
        <w:t>Mechanical and dimensional fit.</w:t>
      </w:r>
    </w:p>
    <w:p>
      <w:pPr>
        <w:pStyle w:val="ListBullet"/>
      </w:pPr>
      <w:r>
        <w:t>Pinout and terminal assignments.</w:t>
      </w:r>
    </w:p>
    <w:p>
      <w:pPr>
        <w:pStyle w:val="ListBullet"/>
      </w:pPr>
      <w:r>
        <w:t>Communication protocol.</w:t>
      </w:r>
    </w:p>
    <w:p>
      <w:pPr>
        <w:pStyle w:val="ListBullet"/>
      </w:pPr>
      <w:r>
        <w:t>Firmware support.</w:t>
      </w:r>
    </w:p>
    <w:p>
      <w:pPr>
        <w:pStyle w:val="ListBullet"/>
      </w:pPr>
      <w:r>
        <w:t>Engineering software support.</w:t>
      </w:r>
    </w:p>
    <w:p>
      <w:pPr>
        <w:pStyle w:val="ListBullet"/>
      </w:pPr>
      <w:r>
        <w:t>Program conversion requirements.</w:t>
      </w:r>
    </w:p>
    <w:p>
      <w:pPr>
        <w:pStyle w:val="ListBullet"/>
      </w:pPr>
      <w:r>
        <w:t>Parameter migration requirements.</w:t>
      </w:r>
    </w:p>
    <w:p>
      <w:pPr>
        <w:pStyle w:val="ListBullet"/>
      </w:pPr>
      <w:r>
        <w:t>Safety certification and application suitability.</w:t>
      </w:r>
    </w:p>
    <w:p>
      <w:pPr>
        <w:pStyle w:val="ListBullet"/>
      </w:pPr>
      <w:r>
        <w:t>Availability of accessories and spare parts.</w:t>
      </w:r>
    </w:p>
    <w:p>
      <w:pPr>
        <w:pStyle w:val="ListBullet"/>
      </w:pPr>
      <w:r>
        <w:t>Long-term support and lifecycle implications.</w:t>
      </w:r>
    </w:p>
    <w:p>
      <w:r>
        <w:t>A successor part may be suitable for the same application but still require changes to wiring, configuration, software, or validation procedures.</w:t>
      </w:r>
    </w:p>
    <w:p>
      <w:r>
        <w:t>For a major migration, treat the work as a controlled engineering project rather than a routine component exchange.</w:t>
      </w:r>
    </w:p>
    <w:p>
      <w:pPr>
        <w:pStyle w:val="Heading2"/>
      </w:pPr>
      <w:r>
        <w:t>20. Program and Parameter Preservation During Replacement</w:t>
      </w:r>
    </w:p>
    <w:p>
      <w:r>
        <w:t>Hardware replacement and configuration restoration are closely connected, but they are separate tasks.</w:t>
      </w:r>
    </w:p>
    <w:p>
      <w:r>
        <w:t>Before replacement, determine what data must be preserved and what can safely be reconstructed.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type</w:t>
            </w:r>
          </w:p>
        </w:tc>
        <w:tc>
          <w:tcPr>
            <w:tcW w:type="dxa" w:w="5400"/>
            <w:shd w:val="clear" w:color="auto" w:fill="EEF2F7"/>
          </w:tcPr>
          <w:p>
            <w:pPr>
              <w:spacing w:after="0" w:before="0" w:line="240" w:lineRule="auto"/>
              <w:jc w:val="left"/>
            </w:pPr>
            <w:r>
              <w:rPr>
                <w:b/>
                <w:color w:val="1A2E4A"/>
              </w:rPr>
              <w:t>Preservation concern</w:t>
            </w:r>
          </w:p>
        </w:tc>
      </w:tr>
      <w:tr>
        <w:tc>
          <w:tcPr>
            <w:tcW w:type="dxa" w:w="5400"/>
          </w:tcPr>
          <w:p>
            <w:pPr>
              <w:spacing w:after="0" w:before="0" w:line="240" w:lineRule="auto"/>
              <w:jc w:val="left"/>
            </w:pPr>
            <w:r>
              <w:t>PLC program</w:t>
            </w:r>
          </w:p>
        </w:tc>
        <w:tc>
          <w:tcPr>
            <w:tcW w:type="dxa" w:w="5400"/>
          </w:tcPr>
          <w:p>
            <w:pPr>
              <w:spacing w:after="0" w:before="0" w:line="240" w:lineRule="auto"/>
              <w:jc w:val="left"/>
            </w:pPr>
            <w:r>
              <w:t>Application logic and project compatibility</w:t>
            </w:r>
          </w:p>
        </w:tc>
      </w:tr>
      <w:tr>
        <w:tc>
          <w:tcPr>
            <w:tcW w:type="dxa" w:w="5400"/>
          </w:tcPr>
          <w:p>
            <w:pPr>
              <w:spacing w:after="0" w:before="0" w:line="240" w:lineRule="auto"/>
              <w:jc w:val="left"/>
            </w:pPr>
            <w:r>
              <w:t>PLC hardware configuration</w:t>
            </w:r>
          </w:p>
        </w:tc>
        <w:tc>
          <w:tcPr>
            <w:tcW w:type="dxa" w:w="5400"/>
          </w:tcPr>
          <w:p>
            <w:pPr>
              <w:spacing w:after="0" w:before="0" w:line="240" w:lineRule="auto"/>
              <w:jc w:val="left"/>
            </w:pPr>
            <w:r>
              <w:t>CPU, modules, addressing, and communication</w:t>
            </w:r>
          </w:p>
        </w:tc>
      </w:tr>
      <w:tr>
        <w:tc>
          <w:tcPr>
            <w:tcW w:type="dxa" w:w="5400"/>
          </w:tcPr>
          <w:p>
            <w:pPr>
              <w:spacing w:after="0" w:before="0" w:line="240" w:lineRule="auto"/>
              <w:jc w:val="left"/>
            </w:pPr>
            <w:r>
              <w:t>Retentive data</w:t>
            </w:r>
          </w:p>
        </w:tc>
        <w:tc>
          <w:tcPr>
            <w:tcW w:type="dxa" w:w="5400"/>
          </w:tcPr>
          <w:p>
            <w:pPr>
              <w:spacing w:after="0" w:before="0" w:line="240" w:lineRule="auto"/>
              <w:jc w:val="left"/>
            </w:pPr>
            <w:r>
              <w:t>Values that must persist across replacement</w:t>
            </w:r>
          </w:p>
        </w:tc>
      </w:tr>
      <w:tr>
        <w:tc>
          <w:tcPr>
            <w:tcW w:type="dxa" w:w="5400"/>
          </w:tcPr>
          <w:p>
            <w:pPr>
              <w:spacing w:after="0" w:before="0" w:line="240" w:lineRule="auto"/>
              <w:jc w:val="left"/>
            </w:pPr>
            <w:r>
              <w:t>Drive parameters</w:t>
            </w:r>
          </w:p>
        </w:tc>
        <w:tc>
          <w:tcPr>
            <w:tcW w:type="dxa" w:w="5400"/>
          </w:tcPr>
          <w:p>
            <w:pPr>
              <w:spacing w:after="0" w:before="0" w:line="240" w:lineRule="auto"/>
              <w:jc w:val="left"/>
            </w:pPr>
            <w:r>
              <w:t>Motor and control configuration</w:t>
            </w:r>
          </w:p>
        </w:tc>
      </w:tr>
      <w:tr>
        <w:tc>
          <w:tcPr>
            <w:tcW w:type="dxa" w:w="5400"/>
          </w:tcPr>
          <w:p>
            <w:pPr>
              <w:spacing w:after="0" w:before="0" w:line="240" w:lineRule="auto"/>
              <w:jc w:val="left"/>
            </w:pPr>
            <w:r>
              <w:t>Servo configuration</w:t>
            </w:r>
          </w:p>
        </w:tc>
        <w:tc>
          <w:tcPr>
            <w:tcW w:type="dxa" w:w="5400"/>
          </w:tcPr>
          <w:p>
            <w:pPr>
              <w:spacing w:after="0" w:before="0" w:line="240" w:lineRule="auto"/>
              <w:jc w:val="left"/>
            </w:pPr>
            <w:r>
              <w:t>Feedback, motion, tuning, and limits</w:t>
            </w:r>
          </w:p>
        </w:tc>
      </w:tr>
      <w:tr>
        <w:tc>
          <w:tcPr>
            <w:tcW w:type="dxa" w:w="5400"/>
          </w:tcPr>
          <w:p>
            <w:pPr>
              <w:spacing w:after="0" w:before="0" w:line="240" w:lineRule="auto"/>
              <w:jc w:val="left"/>
            </w:pPr>
            <w:r>
              <w:t>CNC configuration</w:t>
            </w:r>
          </w:p>
        </w:tc>
        <w:tc>
          <w:tcPr>
            <w:tcW w:type="dxa" w:w="5400"/>
          </w:tcPr>
          <w:p>
            <w:pPr>
              <w:spacing w:after="0" w:before="0" w:line="240" w:lineRule="auto"/>
              <w:jc w:val="left"/>
            </w:pPr>
            <w:r>
              <w:t>Machine-builder settings, compensation, and machine data</w:t>
            </w:r>
          </w:p>
        </w:tc>
      </w:tr>
      <w:tr>
        <w:tc>
          <w:tcPr>
            <w:tcW w:type="dxa" w:w="5400"/>
          </w:tcPr>
          <w:p>
            <w:pPr>
              <w:spacing w:after="0" w:before="0" w:line="240" w:lineRule="auto"/>
              <w:jc w:val="left"/>
            </w:pPr>
            <w:r>
              <w:t>Robot data</w:t>
            </w:r>
          </w:p>
        </w:tc>
        <w:tc>
          <w:tcPr>
            <w:tcW w:type="dxa" w:w="5400"/>
          </w:tcPr>
          <w:p>
            <w:pPr>
              <w:spacing w:after="0" w:before="0" w:line="240" w:lineRule="auto"/>
              <w:jc w:val="left"/>
            </w:pPr>
            <w:r>
              <w:t>Frames, payloads, calibration, and mastering</w:t>
            </w:r>
          </w:p>
        </w:tc>
      </w:tr>
      <w:tr>
        <w:tc>
          <w:tcPr>
            <w:tcW w:type="dxa" w:w="5400"/>
          </w:tcPr>
          <w:p>
            <w:pPr>
              <w:spacing w:after="0" w:before="0" w:line="240" w:lineRule="auto"/>
              <w:jc w:val="left"/>
            </w:pPr>
            <w:r>
              <w:t>HMI project</w:t>
            </w:r>
          </w:p>
        </w:tc>
        <w:tc>
          <w:tcPr>
            <w:tcW w:type="dxa" w:w="5400"/>
          </w:tcPr>
          <w:p>
            <w:pPr>
              <w:spacing w:after="0" w:before="0" w:line="240" w:lineRule="auto"/>
              <w:jc w:val="left"/>
            </w:pPr>
            <w:r>
              <w:t>Screens, tags, alarms, and local data</w:t>
            </w:r>
          </w:p>
        </w:tc>
      </w:tr>
      <w:tr>
        <w:tc>
          <w:tcPr>
            <w:tcW w:type="dxa" w:w="5400"/>
          </w:tcPr>
          <w:p>
            <w:pPr>
              <w:spacing w:after="0" w:before="0" w:line="240" w:lineRule="auto"/>
              <w:jc w:val="left"/>
            </w:pPr>
            <w:r>
              <w:t>Vision job</w:t>
            </w:r>
          </w:p>
        </w:tc>
        <w:tc>
          <w:tcPr>
            <w:tcW w:type="dxa" w:w="5400"/>
          </w:tcPr>
          <w:p>
            <w:pPr>
              <w:spacing w:after="0" w:before="0" w:line="240" w:lineRule="auto"/>
              <w:jc w:val="left"/>
            </w:pPr>
            <w:r>
              <w:t>Inspection logic, calibration, and thresholds</w:t>
            </w:r>
          </w:p>
        </w:tc>
      </w:tr>
      <w:tr>
        <w:tc>
          <w:tcPr>
            <w:tcW w:type="dxa" w:w="5400"/>
          </w:tcPr>
          <w:p>
            <w:pPr>
              <w:spacing w:after="0" w:before="0" w:line="240" w:lineRule="auto"/>
              <w:jc w:val="left"/>
            </w:pPr>
            <w:r>
              <w:t>Industrial PC image</w:t>
            </w:r>
          </w:p>
        </w:tc>
        <w:tc>
          <w:tcPr>
            <w:tcW w:type="dxa" w:w="5400"/>
          </w:tcPr>
          <w:p>
            <w:pPr>
              <w:spacing w:after="0" w:before="0" w:line="240" w:lineRule="auto"/>
              <w:jc w:val="left"/>
            </w:pPr>
            <w:r>
              <w:t>Operating system, applications, drivers, and dependencies</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Addresses, segmentation, redundancy, and access</w:t>
            </w:r>
          </w:p>
        </w:tc>
      </w:tr>
      <w:tr>
        <w:tc>
          <w:tcPr>
            <w:tcW w:type="dxa" w:w="5400"/>
          </w:tcPr>
          <w:p>
            <w:pPr>
              <w:spacing w:after="0" w:before="0" w:line="240" w:lineRule="auto"/>
              <w:jc w:val="left"/>
            </w:pPr>
            <w:r>
              <w:t>Licensing</w:t>
            </w:r>
          </w:p>
        </w:tc>
        <w:tc>
          <w:tcPr>
            <w:tcW w:type="dxa" w:w="5400"/>
          </w:tcPr>
          <w:p>
            <w:pPr>
              <w:spacing w:after="0" w:before="0" w:line="240" w:lineRule="auto"/>
              <w:jc w:val="left"/>
            </w:pPr>
            <w:r>
              <w:t>Software activation and authorized use</w:t>
            </w:r>
          </w:p>
        </w:tc>
      </w:tr>
    </w:tbl>
    <w:p/>
    <w:p>
      <w:r>
        <w:t>Do not assume that all machine data should be copied unchanged. Some data is device-specific, some is generated during commissioning, and some may be unsafe or invalid on replacement hardware.</w:t>
      </w:r>
    </w:p>
    <w:p>
      <w:r>
        <w:t>The next study topic, program and parameter restoration, will address these restoration activities in detail.</w:t>
      </w:r>
    </w:p>
    <w:p>
      <w:pPr>
        <w:pStyle w:val="Heading2"/>
      </w:pPr>
      <w:r>
        <w:t>21. Retentive Data and Device Identity</w:t>
      </w:r>
    </w:p>
    <w:p>
      <w:r>
        <w:t>Some industrial devices retain values across a power cycle, while others depend on batteries, memory cards, external storage, or controller-specific mechanisms.</w:t>
      </w:r>
    </w:p>
    <w:p>
      <w:r>
        <w:t>Examples include:</w:t>
      </w:r>
    </w:p>
    <w:p>
      <w:pPr>
        <w:pStyle w:val="ListBullet"/>
      </w:pPr>
      <w:r>
        <w:t>PLC counters and retained values.</w:t>
      </w:r>
    </w:p>
    <w:p>
      <w:pPr>
        <w:pStyle w:val="ListBullet"/>
      </w:pPr>
      <w:r>
        <w:t>Recipe and production data.</w:t>
      </w:r>
    </w:p>
    <w:p>
      <w:pPr>
        <w:pStyle w:val="ListBullet"/>
      </w:pPr>
      <w:r>
        <w:t>Drive configuration.</w:t>
      </w:r>
    </w:p>
    <w:p>
      <w:pPr>
        <w:pStyle w:val="ListBullet"/>
      </w:pPr>
      <w:r>
        <w:t>Robot mastering data.</w:t>
      </w:r>
    </w:p>
    <w:p>
      <w:pPr>
        <w:pStyle w:val="ListBullet"/>
      </w:pPr>
      <w:r>
        <w:t>CNC compensation data.</w:t>
      </w:r>
    </w:p>
    <w:p>
      <w:pPr>
        <w:pStyle w:val="ListBullet"/>
      </w:pPr>
      <w:r>
        <w:t>HMI local settings.</w:t>
      </w:r>
    </w:p>
    <w:p>
      <w:r>
        <w:t>Before replacement, identify which values must be preserved and the approved method for doing so.</w:t>
      </w:r>
    </w:p>
    <w:p>
      <w:r>
        <w:t>Also distinguish between the device's physical identity and its logical identity. A replacement device may have a new serial number while retaining a required network address or logical station name.</w:t>
      </w:r>
    </w:p>
    <w:p>
      <w:r>
        <w:t>Never copy device identities, safety credentials, or network settings blindly. Follow the manufacturer's and plant's approved procedures to avoid address conflicts, invalid safety configurations, or unauthorized access.</w:t>
      </w:r>
    </w:p>
    <w:p>
      <w:pPr>
        <w:pStyle w:val="Heading2"/>
      </w:pPr>
      <w:r>
        <w:t>22. Commissioning After Hardware Replacement</w:t>
      </w:r>
    </w:p>
    <w:p>
      <w:r>
        <w:t>Commissioning establishes whether the replacement is ready for its intended operation.</w:t>
      </w:r>
    </w:p>
    <w:p>
      <w:r>
        <w:t>The scope depends on the device, risk assessment, and approved commissioning procedure.</w:t>
      </w:r>
    </w:p>
    <w:p>
      <w:pPr>
        <w:pStyle w:val="Heading3"/>
      </w:pPr>
      <w:r>
        <w:t>22.1 Initial Checks</w:t>
      </w:r>
    </w:p>
    <w:p>
      <w:pPr>
        <w:pStyle w:val="ListBullet"/>
      </w:pPr>
      <w:r>
        <w:t>Verify installation and mounting.</w:t>
      </w:r>
    </w:p>
    <w:p>
      <w:pPr>
        <w:pStyle w:val="ListBullet"/>
      </w:pPr>
      <w:r>
        <w:t>Inspect wiring and terminal assignments.</w:t>
      </w:r>
    </w:p>
    <w:p>
      <w:pPr>
        <w:pStyle w:val="ListBullet"/>
      </w:pPr>
      <w:r>
        <w:t>Confirm protective earthing and required protection.</w:t>
      </w:r>
    </w:p>
    <w:p>
      <w:pPr>
        <w:pStyle w:val="ListBullet"/>
      </w:pPr>
      <w:r>
        <w:t>Verify supply voltage and polarity.</w:t>
      </w:r>
    </w:p>
    <w:p>
      <w:pPr>
        <w:pStyle w:val="ListBullet"/>
      </w:pPr>
      <w:r>
        <w:t>Check device identification.</w:t>
      </w:r>
    </w:p>
    <w:p>
      <w:pPr>
        <w:pStyle w:val="ListBullet"/>
      </w:pPr>
      <w:r>
        <w:t>Confirm that there are no unexplained diagnostic faults.</w:t>
      </w:r>
    </w:p>
    <w:p>
      <w:pPr>
        <w:pStyle w:val="ListBullet"/>
      </w:pPr>
      <w:r>
        <w:t>Verify firmware and configuration compatibility.</w:t>
      </w:r>
    </w:p>
    <w:p>
      <w:pPr>
        <w:pStyle w:val="Heading3"/>
      </w:pPr>
      <w:r>
        <w:t>22.2 Functional Checks</w:t>
      </w:r>
    </w:p>
    <w:p>
      <w:pPr>
        <w:pStyle w:val="ListBullet"/>
      </w:pPr>
      <w:r>
        <w:t>Verify device communication.</w:t>
      </w:r>
    </w:p>
    <w:p>
      <w:pPr>
        <w:pStyle w:val="ListBullet"/>
      </w:pPr>
      <w:r>
        <w:t>Check input signals and output response.</w:t>
      </w:r>
    </w:p>
    <w:p>
      <w:pPr>
        <w:pStyle w:val="ListBullet"/>
      </w:pPr>
      <w:r>
        <w:t>Confirm the correct program and parameter versions.</w:t>
      </w:r>
    </w:p>
    <w:p>
      <w:pPr>
        <w:pStyle w:val="ListBullet"/>
      </w:pPr>
      <w:r>
        <w:t>Test relevant alarms and diagnostics.</w:t>
      </w:r>
    </w:p>
    <w:p>
      <w:pPr>
        <w:pStyle w:val="ListBullet"/>
      </w:pPr>
      <w:r>
        <w:t>Check operating modes and interlocks.</w:t>
      </w:r>
    </w:p>
    <w:p>
      <w:pPr>
        <w:pStyle w:val="ListBullet"/>
      </w:pPr>
      <w:r>
        <w:t>Verify the intended sequence of operation.</w:t>
      </w:r>
    </w:p>
    <w:p>
      <w:pPr>
        <w:pStyle w:val="ListBullet"/>
      </w:pPr>
      <w:r>
        <w:t>Confirm that required protective functions behave correctly.</w:t>
      </w:r>
    </w:p>
    <w:p>
      <w:pPr>
        <w:pStyle w:val="ListBullet"/>
      </w:pPr>
      <w:r>
        <w:t>Test failure recovery where required.</w:t>
      </w:r>
    </w:p>
    <w:p>
      <w:pPr>
        <w:pStyle w:val="ListBullet"/>
      </w:pPr>
      <w:r>
        <w:t>Confirm product or process quality using the applicable acceptance criteria.</w:t>
      </w:r>
    </w:p>
    <w:p>
      <w:pPr>
        <w:pStyle w:val="Heading3"/>
      </w:pPr>
      <w:r>
        <w:t>22.3 Release to Production</w:t>
      </w:r>
    </w:p>
    <w:p>
      <w:r>
        <w:t>The equipment should be released only when the required checks have passed, deviations have been resolved or formally accepted, and the authorized personnel have approved the return to service.</w:t>
      </w:r>
    </w:p>
    <w:p>
      <w:r>
        <w:t>A component may be physically installed but remain in a restricted or commissioning status until verification is complete.</w:t>
      </w:r>
    </w:p>
    <w:p>
      <w:pPr>
        <w:pStyle w:val="Heading2"/>
      </w:pPr>
      <w:r>
        <w:t>23. Failure Analysis of the Removed Component</w:t>
      </w:r>
    </w:p>
    <w:p>
      <w:r>
        <w:t>Do not automatically discard the removed component after replacement.</w:t>
      </w:r>
    </w:p>
    <w:p>
      <w:r>
        <w:t>Depending on the asset and organizational policy, retain it for investigation or send it for repair and evaluation.</w:t>
      </w:r>
    </w:p>
    <w:p>
      <w:r>
        <w:t>Record:</w:t>
      </w:r>
    </w:p>
    <w:p>
      <w:pPr>
        <w:pStyle w:val="ListBullet"/>
      </w:pPr>
      <w:r>
        <w:t>Removed component identity.</w:t>
      </w:r>
    </w:p>
    <w:p>
      <w:pPr>
        <w:pStyle w:val="ListBullet"/>
      </w:pPr>
      <w:r>
        <w:t>Failure symptoms.</w:t>
      </w:r>
    </w:p>
    <w:p>
      <w:pPr>
        <w:pStyle w:val="ListBullet"/>
      </w:pPr>
      <w:r>
        <w:t>Diagnostic codes.</w:t>
      </w:r>
    </w:p>
    <w:p>
      <w:pPr>
        <w:pStyle w:val="ListBullet"/>
      </w:pPr>
      <w:r>
        <w:t>Environmental or electrical evidence.</w:t>
      </w:r>
    </w:p>
    <w:p>
      <w:pPr>
        <w:pStyle w:val="ListBullet"/>
      </w:pPr>
      <w:r>
        <w:t>Repairability.</w:t>
      </w:r>
    </w:p>
    <w:p>
      <w:pPr>
        <w:pStyle w:val="ListBullet"/>
      </w:pPr>
      <w:r>
        <w:t>Vendor evaluation result.</w:t>
      </w:r>
    </w:p>
    <w:p>
      <w:pPr>
        <w:pStyle w:val="ListBullet"/>
      </w:pPr>
      <w:r>
        <w:t>Root cause, if established.</w:t>
      </w:r>
    </w:p>
    <w:p>
      <w:pPr>
        <w:pStyle w:val="ListBullet"/>
      </w:pPr>
      <w:r>
        <w:t>Warranty or repair reference.</w:t>
      </w:r>
    </w:p>
    <w:p>
      <w:pPr>
        <w:pStyle w:val="ListBullet"/>
      </w:pPr>
      <w:r>
        <w:t>Final disposition.</w:t>
      </w:r>
    </w:p>
    <w:p>
      <w:r>
        <w:t>A failed component may reveal a wider issue, such as excessive temperature, vibration, contamination, incorrect supply voltage, poor grounding, or repeated electrical stress.</w:t>
      </w:r>
    </w:p>
    <w:p>
      <w:r>
        <w:t>Replacing the component without addressing the underlying cause can lead to another failure.</w:t>
      </w:r>
    </w:p>
    <w:p>
      <w:pPr>
        <w:pStyle w:val="Heading2"/>
      </w:pPr>
      <w:r>
        <w:t>24. Hardware Replacement and Spare Management</w:t>
      </w:r>
    </w:p>
    <w:p>
      <w:r>
        <w:t>Replacement work should update the plant's spare-parts information when the installed component or standard replacement changes.</w:t>
      </w:r>
    </w:p>
    <w:p>
      <w:r>
        <w:t>Record:</w:t>
      </w:r>
    </w:p>
    <w:p>
      <w:pPr>
        <w:pStyle w:val="ListBullet"/>
      </w:pPr>
      <w:r>
        <w:t>Installed part number.</w:t>
      </w:r>
    </w:p>
    <w:p>
      <w:pPr>
        <w:pStyle w:val="ListBullet"/>
      </w:pPr>
      <w:r>
        <w:t>Approved spare part number.</w:t>
      </w:r>
    </w:p>
    <w:p>
      <w:pPr>
        <w:pStyle w:val="ListBullet"/>
      </w:pPr>
      <w:r>
        <w:t>Manufacturer and supplier.</w:t>
      </w:r>
    </w:p>
    <w:p>
      <w:pPr>
        <w:pStyle w:val="ListBullet"/>
      </w:pPr>
      <w:r>
        <w:t>Storage location.</w:t>
      </w:r>
    </w:p>
    <w:p>
      <w:pPr>
        <w:pStyle w:val="ListBullet"/>
      </w:pPr>
      <w:r>
        <w:t>Quantity available.</w:t>
      </w:r>
    </w:p>
    <w:p>
      <w:pPr>
        <w:pStyle w:val="ListBullet"/>
      </w:pPr>
      <w:r>
        <w:t>Lead time.</w:t>
      </w:r>
    </w:p>
    <w:p>
      <w:pPr>
        <w:pStyle w:val="ListBullet"/>
      </w:pPr>
      <w:r>
        <w:t>Repair or replacement status.</w:t>
      </w:r>
    </w:p>
    <w:p>
      <w:pPr>
        <w:pStyle w:val="ListBullet"/>
      </w:pPr>
      <w:r>
        <w:t>Obsolescence status.</w:t>
      </w:r>
    </w:p>
    <w:p>
      <w:pPr>
        <w:pStyle w:val="ListBullet"/>
      </w:pPr>
      <w:r>
        <w:t>Approved successor model.</w:t>
      </w:r>
    </w:p>
    <w:p>
      <w:pPr>
        <w:pStyle w:val="ListBullet"/>
      </w:pPr>
      <w:r>
        <w:t>Compatibility notes.</w:t>
      </w:r>
    </w:p>
    <w:p>
      <w:pPr>
        <w:pStyle w:val="ListBullet"/>
      </w:pPr>
      <w:r>
        <w:t>Required accessories.</w:t>
      </w:r>
    </w:p>
    <w:p>
      <w:pPr>
        <w:pStyle w:val="ListBullet"/>
      </w:pPr>
      <w:r>
        <w:t>Applicable firmware or software dependencies.</w:t>
      </w:r>
    </w:p>
    <w:p>
      <w:r>
        <w:t>For critical automation assets, consider the impact of lead time, repairability, vendor support, and the consequences of a spare being unavailable.</w:t>
      </w:r>
    </w:p>
    <w:p>
      <w:r>
        <w:t>A spare-part list should identify approved replacements rather than merely listing parts that physically fit.</w:t>
      </w:r>
    </w:p>
    <w:p>
      <w:pPr>
        <w:pStyle w:val="Heading2"/>
      </w:pPr>
      <w:r>
        <w:t>25. Common Hardware Replacement Mistakes</w:t>
      </w:r>
    </w:p>
    <w:p>
      <w:pPr>
        <w:tabs>
          <w:tab w:pos="403" w:val="left"/>
        </w:tabs>
        <w:spacing w:after="40" w:line="276" w:lineRule="auto"/>
        <w:ind w:left="403" w:hanging="403"/>
        <w:jc w:val="left"/>
      </w:pPr>
      <w:r>
        <w:rPr>
          <w:color w:val="1A2E4A"/>
        </w:rPr>
        <w:t>1.</w:t>
        <w:tab/>
      </w:r>
      <w:r>
        <w:t>Replacing a component before confirming the actual failure.</w:t>
      </w:r>
    </w:p>
    <w:p>
      <w:pPr>
        <w:tabs>
          <w:tab w:pos="403" w:val="left"/>
        </w:tabs>
        <w:spacing w:after="40" w:line="276" w:lineRule="auto"/>
        <w:ind w:left="403" w:hanging="403"/>
        <w:jc w:val="left"/>
      </w:pPr>
      <w:r>
        <w:rPr>
          <w:color w:val="1A2E4A"/>
        </w:rPr>
        <w:t>2.</w:t>
        <w:tab/>
      </w:r>
      <w:r>
        <w:t>Selecting a part based only on appearance.</w:t>
      </w:r>
    </w:p>
    <w:p>
      <w:pPr>
        <w:tabs>
          <w:tab w:pos="403" w:val="left"/>
        </w:tabs>
        <w:spacing w:after="40" w:line="276" w:lineRule="auto"/>
        <w:ind w:left="403" w:hanging="403"/>
        <w:jc w:val="left"/>
      </w:pPr>
      <w:r>
        <w:rPr>
          <w:color w:val="1A2E4A"/>
        </w:rPr>
        <w:t>3.</w:t>
        <w:tab/>
      </w:r>
      <w:r>
        <w:t>Ignoring catalog-number suffixes or hardware revisions.</w:t>
      </w:r>
    </w:p>
    <w:p>
      <w:pPr>
        <w:tabs>
          <w:tab w:pos="403" w:val="left"/>
        </w:tabs>
        <w:spacing w:after="40" w:line="276" w:lineRule="auto"/>
        <w:ind w:left="403" w:hanging="403"/>
        <w:jc w:val="left"/>
      </w:pPr>
      <w:r>
        <w:rPr>
          <w:color w:val="1A2E4A"/>
        </w:rPr>
        <w:t>4.</w:t>
        <w:tab/>
      </w:r>
      <w:r>
        <w:t>Failing to isolate hazardous energy.</w:t>
      </w:r>
    </w:p>
    <w:p>
      <w:pPr>
        <w:tabs>
          <w:tab w:pos="403" w:val="left"/>
        </w:tabs>
        <w:spacing w:after="40" w:line="276" w:lineRule="auto"/>
        <w:ind w:left="403" w:hanging="403"/>
        <w:jc w:val="left"/>
      </w:pPr>
      <w:r>
        <w:rPr>
          <w:color w:val="1A2E4A"/>
        </w:rPr>
        <w:t>5.</w:t>
        <w:tab/>
      </w:r>
      <w:r>
        <w:t>Removing hardware before recording terminal assignments.</w:t>
      </w:r>
    </w:p>
    <w:p>
      <w:pPr>
        <w:tabs>
          <w:tab w:pos="403" w:val="left"/>
        </w:tabs>
        <w:spacing w:after="40" w:line="276" w:lineRule="auto"/>
        <w:ind w:left="403" w:hanging="403"/>
        <w:jc w:val="left"/>
      </w:pPr>
      <w:r>
        <w:rPr>
          <w:color w:val="1A2E4A"/>
        </w:rPr>
        <w:t>6.</w:t>
        <w:tab/>
      </w:r>
      <w:r>
        <w:t>Assuming a new CPU contains the original program.</w:t>
      </w:r>
    </w:p>
    <w:p>
      <w:pPr>
        <w:tabs>
          <w:tab w:pos="403" w:val="left"/>
        </w:tabs>
        <w:spacing w:after="40" w:line="276" w:lineRule="auto"/>
        <w:ind w:left="403" w:hanging="403"/>
        <w:jc w:val="left"/>
      </w:pPr>
      <w:r>
        <w:rPr>
          <w:color w:val="1A2E4A"/>
        </w:rPr>
        <w:t>7.</w:t>
        <w:tab/>
      </w:r>
      <w:r>
        <w:t>Restoring a parameter set from an incompatible device.</w:t>
      </w:r>
    </w:p>
    <w:p>
      <w:pPr>
        <w:tabs>
          <w:tab w:pos="403" w:val="left"/>
        </w:tabs>
        <w:spacing w:after="40" w:line="276" w:lineRule="auto"/>
        <w:ind w:left="403" w:hanging="403"/>
        <w:jc w:val="left"/>
      </w:pPr>
      <w:r>
        <w:rPr>
          <w:color w:val="1A2E4A"/>
        </w:rPr>
        <w:t>8.</w:t>
        <w:tab/>
      </w:r>
      <w:r>
        <w:t>Ignoring firmware and engineering software compatibility.</w:t>
      </w:r>
    </w:p>
    <w:p>
      <w:pPr>
        <w:tabs>
          <w:tab w:pos="403" w:val="left"/>
        </w:tabs>
        <w:spacing w:after="40" w:line="276" w:lineRule="auto"/>
        <w:ind w:left="403" w:hanging="403"/>
        <w:jc w:val="left"/>
      </w:pPr>
      <w:r>
        <w:rPr>
          <w:color w:val="1A2E4A"/>
        </w:rPr>
        <w:t>9.</w:t>
        <w:tab/>
      </w:r>
      <w:r>
        <w:t>Forgetting calibration, mastering, or retentive data.</w:t>
      </w:r>
    </w:p>
    <w:p>
      <w:pPr>
        <w:tabs>
          <w:tab w:pos="403" w:val="left"/>
        </w:tabs>
        <w:spacing w:after="40" w:line="276" w:lineRule="auto"/>
        <w:ind w:left="403" w:hanging="403"/>
        <w:jc w:val="left"/>
      </w:pPr>
      <w:r>
        <w:rPr>
          <w:color w:val="1A2E4A"/>
        </w:rPr>
        <w:t>10.</w:t>
        <w:tab/>
      </w:r>
      <w:r>
        <w:t>Downloading a program before verifying the target controller.</w:t>
      </w:r>
    </w:p>
    <w:p>
      <w:pPr>
        <w:tabs>
          <w:tab w:pos="403" w:val="left"/>
        </w:tabs>
        <w:spacing w:after="40" w:line="276" w:lineRule="auto"/>
        <w:ind w:left="403" w:hanging="403"/>
        <w:jc w:val="left"/>
      </w:pPr>
      <w:r>
        <w:rPr>
          <w:color w:val="1A2E4A"/>
        </w:rPr>
        <w:t>11.</w:t>
        <w:tab/>
      </w:r>
      <w:r>
        <w:t>Failing to check wiring, polarity, or signal type.</w:t>
      </w:r>
    </w:p>
    <w:p>
      <w:pPr>
        <w:tabs>
          <w:tab w:pos="403" w:val="left"/>
        </w:tabs>
        <w:spacing w:after="40" w:line="276" w:lineRule="auto"/>
        <w:ind w:left="403" w:hanging="403"/>
        <w:jc w:val="left"/>
      </w:pPr>
      <w:r>
        <w:rPr>
          <w:color w:val="1A2E4A"/>
        </w:rPr>
        <w:t>12.</w:t>
        <w:tab/>
      </w:r>
      <w:r>
        <w:t>Returning the machine to production without functional verification.</w:t>
      </w:r>
    </w:p>
    <w:p>
      <w:pPr>
        <w:tabs>
          <w:tab w:pos="403" w:val="left"/>
        </w:tabs>
        <w:spacing w:after="40" w:line="276" w:lineRule="auto"/>
        <w:ind w:left="403" w:hanging="403"/>
        <w:jc w:val="left"/>
      </w:pPr>
      <w:r>
        <w:rPr>
          <w:color w:val="1A2E4A"/>
        </w:rPr>
        <w:t>13.</w:t>
        <w:tab/>
      </w:r>
      <w:r>
        <w:t>Ignoring the original failure mechanism.</w:t>
      </w:r>
    </w:p>
    <w:p>
      <w:pPr>
        <w:tabs>
          <w:tab w:pos="403" w:val="left"/>
        </w:tabs>
        <w:spacing w:after="40" w:line="276" w:lineRule="auto"/>
        <w:ind w:left="403" w:hanging="403"/>
        <w:jc w:val="left"/>
      </w:pPr>
      <w:r>
        <w:rPr>
          <w:color w:val="1A2E4A"/>
        </w:rPr>
        <w:t>14.</w:t>
        <w:tab/>
      </w:r>
      <w:r>
        <w:t>Failing to update the backup repository and change log.</w:t>
      </w:r>
    </w:p>
    <w:p>
      <w:pPr>
        <w:tabs>
          <w:tab w:pos="403" w:val="left"/>
        </w:tabs>
        <w:spacing w:after="40" w:line="276" w:lineRule="auto"/>
        <w:ind w:left="403" w:hanging="403"/>
        <w:jc w:val="left"/>
      </w:pPr>
      <w:r>
        <w:rPr>
          <w:color w:val="1A2E4A"/>
        </w:rPr>
        <w:t>15.</w:t>
        <w:tab/>
      </w:r>
      <w:r>
        <w:t>Treating a successful power-up as proof of successful recovery.</w:t>
      </w:r>
    </w:p>
    <w:p>
      <w:pPr>
        <w:tabs>
          <w:tab w:pos="403" w:val="left"/>
        </w:tabs>
        <w:spacing w:after="40" w:line="276" w:lineRule="auto"/>
        <w:ind w:left="403" w:hanging="403"/>
        <w:jc w:val="left"/>
      </w:pPr>
      <w:r>
        <w:rPr>
          <w:color w:val="1A2E4A"/>
        </w:rPr>
        <w:t>16.</w:t>
        <w:tab/>
      </w:r>
      <w:r>
        <w:t>Replacing a safety component without the required safety validation.</w:t>
      </w:r>
    </w:p>
    <w:p>
      <w:pPr>
        <w:tabs>
          <w:tab w:pos="403" w:val="left"/>
        </w:tabs>
        <w:spacing w:after="40" w:line="276" w:lineRule="auto"/>
        <w:ind w:left="403" w:hanging="403"/>
        <w:jc w:val="left"/>
      </w:pPr>
      <w:r>
        <w:rPr>
          <w:color w:val="1A2E4A"/>
        </w:rPr>
        <w:t>17.</w:t>
        <w:tab/>
      </w:r>
      <w:r>
        <w:t>Discarding the failed part before collecting necessary diagnostic evidence.</w:t>
      </w:r>
    </w:p>
    <w:p>
      <w:pPr>
        <w:tabs>
          <w:tab w:pos="403" w:val="left"/>
        </w:tabs>
        <w:spacing w:after="40" w:line="276" w:lineRule="auto"/>
        <w:ind w:left="403" w:hanging="403"/>
        <w:jc w:val="left"/>
      </w:pPr>
      <w:r>
        <w:rPr>
          <w:color w:val="1A2E4A"/>
        </w:rPr>
        <w:t>18.</w:t>
        <w:tab/>
      </w:r>
      <w:r>
        <w:t>Failing to record the installed replacement's serial number and revision.</w:t>
      </w:r>
    </w:p>
    <w:p>
      <w:pPr>
        <w:pStyle w:val="Heading2"/>
      </w:pPr>
      <w:r>
        <w:t>26. Practical Hardware Replacement Checklist</w:t>
      </w:r>
    </w:p>
    <w:p>
      <w:pPr>
        <w:pStyle w:val="Heading3"/>
      </w:pPr>
      <w:r>
        <w:t>Before Replacement</w:t>
      </w:r>
    </w:p>
    <w:p>
      <w:pPr>
        <w:pStyle w:val="ListBullet"/>
      </w:pPr>
      <w:r>
        <w:t>Confirm the reported fault and diagnostic evidence.</w:t>
      </w:r>
    </w:p>
    <w:p>
      <w:pPr>
        <w:pStyle w:val="ListBullet"/>
      </w:pPr>
      <w:r>
        <w:t>Verify the exact failed component.</w:t>
      </w:r>
    </w:p>
    <w:p>
      <w:pPr>
        <w:pStyle w:val="ListBullet"/>
      </w:pPr>
      <w:r>
        <w:t>Obtain required work authorization.</w:t>
      </w:r>
    </w:p>
    <w:p>
      <w:pPr>
        <w:pStyle w:val="ListBullet"/>
      </w:pPr>
      <w:r>
        <w:t>Review electrical and other hazardous energy sources.</w:t>
      </w:r>
    </w:p>
    <w:p>
      <w:pPr>
        <w:pStyle w:val="ListBullet"/>
      </w:pPr>
      <w:r>
        <w:t>Confirm the replacement part is approved and compatible.</w:t>
      </w:r>
    </w:p>
    <w:p>
      <w:pPr>
        <w:pStyle w:val="ListBullet"/>
      </w:pPr>
      <w:r>
        <w:t>Capture required programs, parameters, and configurations.</w:t>
      </w:r>
    </w:p>
    <w:p>
      <w:pPr>
        <w:pStyle w:val="ListBullet"/>
      </w:pPr>
      <w:r>
        <w:t>Record device identities and existing settings.</w:t>
      </w:r>
    </w:p>
    <w:p>
      <w:pPr>
        <w:pStyle w:val="ListBullet"/>
      </w:pPr>
      <w:r>
        <w:t>Review relevant drawings and manufacturer instructions.</w:t>
      </w:r>
    </w:p>
    <w:p>
      <w:pPr>
        <w:pStyle w:val="ListBullet"/>
      </w:pPr>
      <w:r>
        <w:t>Prepare the work area and required test equipment.</w:t>
      </w:r>
    </w:p>
    <w:p>
      <w:pPr>
        <w:pStyle w:val="ListBullet"/>
      </w:pPr>
      <w:r>
        <w:t>Confirm the recovery and rollback plan.</w:t>
      </w:r>
    </w:p>
    <w:p>
      <w:pPr>
        <w:pStyle w:val="Heading3"/>
      </w:pPr>
      <w:r>
        <w:t>During Replacement</w:t>
      </w:r>
    </w:p>
    <w:p>
      <w:pPr>
        <w:pStyle w:val="ListBullet"/>
      </w:pPr>
      <w:r>
        <w:t>Apply the approved isolation procedure.</w:t>
      </w:r>
    </w:p>
    <w:p>
      <w:pPr>
        <w:pStyle w:val="ListBullet"/>
      </w:pPr>
      <w:r>
        <w:t>Verify the required safe state.</w:t>
      </w:r>
    </w:p>
    <w:p>
      <w:pPr>
        <w:pStyle w:val="ListBullet"/>
      </w:pPr>
      <w:r>
        <w:t>Label and record relevant wiring and connectors.</w:t>
      </w:r>
    </w:p>
    <w:p>
      <w:pPr>
        <w:pStyle w:val="ListBullet"/>
      </w:pPr>
      <w:r>
        <w:t>Use appropriate ESD protection.</w:t>
      </w:r>
    </w:p>
    <w:p>
      <w:pPr>
        <w:pStyle w:val="ListBullet"/>
      </w:pPr>
      <w:r>
        <w:t>Inspect the mounting, terminals, and surrounding equipment.</w:t>
      </w:r>
    </w:p>
    <w:p>
      <w:pPr>
        <w:pStyle w:val="ListBullet"/>
      </w:pPr>
      <w:r>
        <w:t>Install the correct replacement.</w:t>
      </w:r>
    </w:p>
    <w:p>
      <w:pPr>
        <w:pStyle w:val="ListBullet"/>
      </w:pPr>
      <w:r>
        <w:t>Verify wiring, polarity, and terminal assignments.</w:t>
      </w:r>
    </w:p>
    <w:p>
      <w:pPr>
        <w:pStyle w:val="ListBullet"/>
      </w:pPr>
      <w:r>
        <w:t>Complete required inspections before re-energization.</w:t>
      </w:r>
    </w:p>
    <w:p>
      <w:pPr>
        <w:pStyle w:val="Heading3"/>
      </w:pPr>
      <w:r>
        <w:t>After Replacement</w:t>
      </w:r>
    </w:p>
    <w:p>
      <w:pPr>
        <w:pStyle w:val="ListBullet"/>
      </w:pPr>
      <w:r>
        <w:t>Verify hardware identity and configuration.</w:t>
      </w:r>
    </w:p>
    <w:p>
      <w:pPr>
        <w:pStyle w:val="ListBullet"/>
      </w:pPr>
      <w:r>
        <w:t>Restore only compatible and approved data.</w:t>
      </w:r>
    </w:p>
    <w:p>
      <w:pPr>
        <w:pStyle w:val="ListBullet"/>
      </w:pPr>
      <w:r>
        <w:t>Confirm the correct firmware and software context.</w:t>
      </w:r>
    </w:p>
    <w:p>
      <w:pPr>
        <w:pStyle w:val="ListBullet"/>
      </w:pPr>
      <w:r>
        <w:t>Check communication and diagnostics.</w:t>
      </w:r>
    </w:p>
    <w:p>
      <w:pPr>
        <w:pStyle w:val="ListBullet"/>
      </w:pPr>
      <w:r>
        <w:t>Verify inputs, outputs, and relevant interlocks.</w:t>
      </w:r>
    </w:p>
    <w:p>
      <w:pPr>
        <w:pStyle w:val="ListBullet"/>
      </w:pPr>
      <w:r>
        <w:t>Complete required functional and safety validation.</w:t>
      </w:r>
    </w:p>
    <w:p>
      <w:pPr>
        <w:pStyle w:val="ListBullet"/>
      </w:pPr>
      <w:r>
        <w:t>Confirm process and product acceptance where applicable.</w:t>
      </w:r>
    </w:p>
    <w:p>
      <w:pPr>
        <w:pStyle w:val="ListBullet"/>
      </w:pPr>
      <w:r>
        <w:t>Record the installed component and its serial number.</w:t>
      </w:r>
    </w:p>
    <w:p>
      <w:pPr>
        <w:pStyle w:val="ListBullet"/>
      </w:pPr>
      <w:r>
        <w:t>Update backups, change logs, and asset records.</w:t>
      </w:r>
    </w:p>
    <w:p>
      <w:pPr>
        <w:pStyle w:val="ListBullet"/>
      </w:pPr>
      <w:r>
        <w:t>Document the failure and removed-component disposition.</w:t>
      </w:r>
    </w:p>
    <w:p>
      <w:pPr>
        <w:pStyle w:val="ListBullet"/>
      </w:pPr>
      <w:r>
        <w:t>Obtain authorization before releasing the machine to production.</w:t>
      </w:r>
    </w:p>
    <w:p>
      <w:pPr>
        <w:pStyle w:val="Heading2"/>
      </w:pPr>
      <w:r>
        <w:t>27. Interview Questions and Answers</w:t>
      </w:r>
    </w:p>
    <w:p>
      <w:r>
        <w:t>Q1. What is hardware replacement in industrial maintenance?</w:t>
      </w:r>
    </w:p>
    <w:p>
      <w:r>
        <w:t>It is the controlled removal of a failed or unsuitable component and installation of a compatible replacement, followed by the necessary configuration restoration and verification.</w:t>
      </w:r>
    </w:p>
    <w:p>
      <w:r>
        <w:t>Q2. Why is hardware compatibility important?</w:t>
      </w:r>
    </w:p>
    <w:p>
      <w:r>
        <w:t>An incompatible replacement can cause electrical faults, communication problems, incorrect measurements, unexpected behavior, or safety issues even if it physically fits.</w:t>
      </w:r>
    </w:p>
    <w:p>
      <w:r>
        <w:t>Q3. What should be done before replacing a PLC CPU?</w:t>
      </w:r>
    </w:p>
    <w:p>
      <w:r>
        <w:t>Confirm the fault, identify the exact CPU, preserve the required program and configuration, record firmware and hardware details, verify compatibility, and follow the approved isolation and replacement procedure.</w:t>
      </w:r>
    </w:p>
    <w:p>
      <w:r>
        <w:t>Q4. Why is a pre-replacement backup necessary?</w:t>
      </w:r>
    </w:p>
    <w:p>
      <w:r>
        <w:t>It preserves the existing configuration and supports recovery, comparison, and investigation if the replacement or subsequent commissioning fails.</w:t>
      </w:r>
    </w:p>
    <w:p>
      <w:r>
        <w:t>Q5. What is the difference between like-for-like replacement and migration?</w:t>
      </w:r>
    </w:p>
    <w:p>
      <w:r>
        <w:t>Like-for-like replacement uses the same approved hardware model or equivalent configuration. Migration involves moving to a different platform or architecture and may require engineering changes and more extensive validation.</w:t>
      </w:r>
    </w:p>
    <w:p>
      <w:r>
        <w:t>Q6. Can the original parameters always be copied to a replacement drive?</w:t>
      </w:r>
    </w:p>
    <w:p>
      <w:r>
        <w:t>No. The replacement's model, firmware, motor configuration, and parameter definitions must be checked before restoring settings.</w:t>
      </w:r>
    </w:p>
    <w:p>
      <w:r>
        <w:t>Q7. Why must robot mastering data be considered?</w:t>
      </w:r>
    </w:p>
    <w:p>
      <w:r>
        <w:t>Robot positions depend on the correct mechanical reference and calibration data. Incorrect mastering can make programmed positions inaccurate and create collision or process risks.</w:t>
      </w:r>
    </w:p>
    <w:p>
      <w:r>
        <w:t>Q8. What is the purpose of post-replacement commissioning?</w:t>
      </w:r>
    </w:p>
    <w:p>
      <w:r>
        <w:t>It verifies that the replacement hardware, restored configuration, communication, protective functions, and application behavior satisfy the required acceptance criteria.</w:t>
      </w:r>
    </w:p>
    <w:p>
      <w:r>
        <w:t>Q9. Why should the failed component sometimes be retained?</w:t>
      </w:r>
    </w:p>
    <w:p>
      <w:r>
        <w:t>It may be needed for root cause analysis, warranty evaluation, repair, or evidence of a wider electrical or environmental problem.</w:t>
      </w:r>
    </w:p>
    <w:p>
      <w:r>
        <w:t>Q10. What records should be updated after replacement?</w:t>
      </w:r>
    </w:p>
    <w:p>
      <w:r>
        <w:t>The work order, hardware inventory, spare-parts register, backup repository, program or parameter register, change log, and commissioning records as applicable.</w:t>
      </w:r>
    </w:p>
    <w:p>
      <w:r>
        <w:t>Q11. Is a successful power-up sufficient to release a machine?</w:t>
      </w:r>
    </w:p>
    <w:p>
      <w:r>
        <w:t>No. The required diagnostics, functional tests, safety checks, quality verification, and authorization must be completed.</w:t>
      </w:r>
    </w:p>
    <w:p>
      <w:r>
        <w:t>Q12. How does hardware replacement relate to disaster recovery?</w:t>
      </w:r>
    </w:p>
    <w:p>
      <w:r>
        <w:t>It restores the physical platform on which the machine's application operates. Full recovery may also require compatible programs, parameters, firmware, calibration data, communication settings, and commissioning evidence.</w:t>
      </w:r>
    </w:p>
    <w:p>
      <w:pPr>
        <w:pStyle w:val="Heading2"/>
      </w:pPr>
      <w:r>
        <w:t>28. Final Principles</w:t>
      </w:r>
    </w:p>
    <w:p>
      <w:pPr>
        <w:pStyle w:val="ListBullet"/>
      </w:pPr>
      <w:r>
        <w:t>Diagnose before replacing.</w:t>
      </w:r>
    </w:p>
    <w:p>
      <w:pPr>
        <w:pStyle w:val="ListBullet"/>
      </w:pPr>
      <w:r>
        <w:t>Verify the exact hardware identity and compatibility.</w:t>
      </w:r>
    </w:p>
    <w:p>
      <w:pPr>
        <w:pStyle w:val="ListBullet"/>
      </w:pPr>
      <w:r>
        <w:t>Preserve the original configuration before making changes.</w:t>
      </w:r>
    </w:p>
    <w:p>
      <w:pPr>
        <w:pStyle w:val="ListBullet"/>
      </w:pPr>
      <w:r>
        <w:t>Follow approved energy-isolation and installation procedures.</w:t>
      </w:r>
    </w:p>
    <w:p>
      <w:pPr>
        <w:pStyle w:val="ListBullet"/>
      </w:pPr>
      <w:r>
        <w:t>Restore only appropriate, compatible data.</w:t>
      </w:r>
    </w:p>
    <w:p>
      <w:pPr>
        <w:pStyle w:val="ListBullet"/>
      </w:pPr>
      <w:r>
        <w:t>Validate the complete application, not just the replaced component.</w:t>
      </w:r>
    </w:p>
    <w:p>
      <w:pPr>
        <w:pStyle w:val="ListBullet"/>
      </w:pPr>
      <w:r>
        <w:t>Treat safety-related changes with the required additional controls.</w:t>
      </w:r>
    </w:p>
    <w:p>
      <w:pPr>
        <w:pStyle w:val="ListBullet"/>
      </w:pPr>
      <w:r>
        <w:t>Record the removed and installed components.</w:t>
      </w:r>
    </w:p>
    <w:p>
      <w:pPr>
        <w:pStyle w:val="ListBullet"/>
      </w:pPr>
      <w:r>
        <w:t>Investigate the cause of failure to prevent recurrence.</w:t>
      </w:r>
    </w:p>
    <w:p>
      <w:pPr>
        <w:pStyle w:val="ListBullet"/>
      </w:pPr>
      <w:r>
        <w:t>Update backup, change-control, and spare-parts records.</w:t>
      </w:r>
    </w:p>
    <w:p>
      <w:pPr>
        <w:pStyle w:val="ListBullet"/>
      </w:pPr>
      <w:r>
        <w:t>Release the machine only after the required verification and authorization.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02_PLAN_WISE_2026\02_INDUSTRY3_0\25_Backup_DR\03_Recovery\02_Program_Param - Program/Parameter restoration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Hardware Replacement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