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Hardware Replacement in Industrial PCs (IPC)</w:t>
      </w:r>
    </w:p>
    <w:p>
      <w:pPr>
        <w:pStyle w:val="Heading2"/>
      </w:pPr>
      <w:r>
        <w:t>1. Purpose of Hardware Replacement</w:t>
      </w:r>
    </w:p>
    <w:p>
      <w:r>
        <w:t>Hardware replacement is the controlled removal of a failed, degraded, obsolete, or unsuitable hardware component and installation of a compatible replacement while preserving the required system functionality, configuration, and safety.</w:t>
      </w:r>
    </w:p>
    <w:p>
      <w:r>
        <w:t>Industrial PCs support equipment such as PLCs, CNC machines, HMIs, SCADA systems, machine-vision systems, production test benches, and industrial data-collection applications. A seemingly simple replacement, such as changing an SSD or Ethernet adapter, can affect Windows activation, device drivers, communication settings, licensing, boot configuration, and machine connectivity.</w:t>
      </w:r>
    </w:p>
    <w:p>
      <w:r>
        <w:t>The objective is not merely to install a component that fits physically. The replacement must be electrically compatible, mechanically suitable, supported by the system, correctly configured, and functionally validated.</w:t>
      </w:r>
    </w:p>
    <w:p>
      <w:r>
        <w:t>Typical reasons for replacement include:</w:t>
      </w:r>
    </w:p>
    <w:p>
      <w:pPr>
        <w:pStyle w:val="ListBullet"/>
      </w:pPr>
      <w:r>
        <w:t>Hardware failure or intermittent operation.</w:t>
      </w:r>
    </w:p>
    <w:p>
      <w:pPr>
        <w:pStyle w:val="ListBullet"/>
      </w:pPr>
      <w:r>
        <w:t>Storage degradation or failure.</w:t>
      </w:r>
    </w:p>
    <w:p>
      <w:pPr>
        <w:pStyle w:val="ListBullet"/>
      </w:pPr>
      <w:r>
        <w:t>Obsolescence or discontinued components.</w:t>
      </w:r>
    </w:p>
    <w:p>
      <w:pPr>
        <w:pStyle w:val="ListBullet"/>
      </w:pPr>
      <w:r>
        <w:t>Insufficient performance or capacity.</w:t>
      </w:r>
    </w:p>
    <w:p>
      <w:pPr>
        <w:pStyle w:val="ListBullet"/>
      </w:pPr>
      <w:r>
        <w:t>Repeated overheating or power-related problems.</w:t>
      </w:r>
    </w:p>
    <w:p>
      <w:pPr>
        <w:pStyle w:val="ListBullet"/>
      </w:pPr>
      <w:r>
        <w:t>Damaged ports, connectors, or expansion slots.</w:t>
      </w:r>
    </w:p>
    <w:p>
      <w:pPr>
        <w:pStyle w:val="ListBullet"/>
      </w:pPr>
      <w:r>
        <w:t>Unavailability of the original component.</w:t>
      </w:r>
    </w:p>
    <w:p>
      <w:pPr>
        <w:pStyle w:val="ListBullet"/>
      </w:pPr>
      <w:r>
        <w:t>Standardization or approved system migration.</w:t>
      </w:r>
    </w:p>
    <w:p>
      <w:pPr>
        <w:pStyle w:val="Heading2"/>
      </w:pPr>
      <w:r>
        <w:t>2. Hardware Categories in an Industrial PC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replacement concern</w:t>
            </w:r>
          </w:p>
        </w:tc>
      </w:tr>
      <w:tr>
        <w:tc>
          <w:tcPr>
            <w:tcW w:type="dxa" w:w="3600"/>
          </w:tcPr>
          <w:p>
            <w:pPr>
              <w:spacing w:after="0" w:before="0" w:line="240" w:lineRule="auto"/>
              <w:jc w:val="left"/>
            </w:pPr>
            <w:r>
              <w:t>Motherboard</w:t>
            </w:r>
          </w:p>
        </w:tc>
        <w:tc>
          <w:tcPr>
            <w:tcW w:type="dxa" w:w="3600"/>
          </w:tcPr>
          <w:p>
            <w:pPr>
              <w:spacing w:after="0" w:before="0" w:line="240" w:lineRule="auto"/>
              <w:jc w:val="left"/>
            </w:pPr>
            <w:r>
              <w:t>Hosts CPU, memory, storage, and interfaces</w:t>
            </w:r>
          </w:p>
        </w:tc>
        <w:tc>
          <w:tcPr>
            <w:tcW w:type="dxa" w:w="3600"/>
          </w:tcPr>
          <w:p>
            <w:pPr>
              <w:spacing w:after="0" w:before="0" w:line="240" w:lineRule="auto"/>
              <w:jc w:val="left"/>
            </w:pPr>
            <w:r>
              <w:t>Form factor, chipset, BIOS/UEFI, OS compatibility</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application and operating-system instructions</w:t>
            </w:r>
          </w:p>
        </w:tc>
        <w:tc>
          <w:tcPr>
            <w:tcW w:type="dxa" w:w="3600"/>
          </w:tcPr>
          <w:p>
            <w:pPr>
              <w:spacing w:after="0" w:before="0" w:line="240" w:lineRule="auto"/>
              <w:jc w:val="left"/>
            </w:pPr>
            <w:r>
              <w:t>Socket, chipset, architecture, thermal requirements</w:t>
            </w:r>
          </w:p>
        </w:tc>
      </w:tr>
      <w:tr>
        <w:tc>
          <w:tcPr>
            <w:tcW w:type="dxa" w:w="3600"/>
          </w:tcPr>
          <w:p>
            <w:pPr>
              <w:spacing w:after="0" w:before="0" w:line="240" w:lineRule="auto"/>
              <w:jc w:val="left"/>
            </w:pPr>
            <w:r>
              <w:t>RAM</w:t>
            </w:r>
          </w:p>
        </w:tc>
        <w:tc>
          <w:tcPr>
            <w:tcW w:type="dxa" w:w="3600"/>
          </w:tcPr>
          <w:p>
            <w:pPr>
              <w:spacing w:after="0" w:before="0" w:line="240" w:lineRule="auto"/>
              <w:jc w:val="left"/>
            </w:pPr>
            <w:r>
              <w:t>Provides working memory</w:t>
            </w:r>
          </w:p>
        </w:tc>
        <w:tc>
          <w:tcPr>
            <w:tcW w:type="dxa" w:w="3600"/>
          </w:tcPr>
          <w:p>
            <w:pPr>
              <w:spacing w:after="0" w:before="0" w:line="240" w:lineRule="auto"/>
              <w:jc w:val="left"/>
            </w:pPr>
            <w:r>
              <w:t>Memory generation, capacity, speed, ECC support</w:t>
            </w:r>
          </w:p>
        </w:tc>
      </w:tr>
      <w:tr>
        <w:tc>
          <w:tcPr>
            <w:tcW w:type="dxa" w:w="3600"/>
          </w:tcPr>
          <w:p>
            <w:pPr>
              <w:spacing w:after="0" w:before="0" w:line="240" w:lineRule="auto"/>
              <w:jc w:val="left"/>
            </w:pPr>
            <w:r>
              <w:t>SSD/HDD</w:t>
            </w:r>
          </w:p>
        </w:tc>
        <w:tc>
          <w:tcPr>
            <w:tcW w:type="dxa" w:w="3600"/>
          </w:tcPr>
          <w:p>
            <w:pPr>
              <w:spacing w:after="0" w:before="0" w:line="240" w:lineRule="auto"/>
              <w:jc w:val="left"/>
            </w:pPr>
            <w:r>
              <w:t>Stores OS, applications, configuration, and data</w:t>
            </w:r>
          </w:p>
        </w:tc>
        <w:tc>
          <w:tcPr>
            <w:tcW w:type="dxa" w:w="3600"/>
          </w:tcPr>
          <w:p>
            <w:pPr>
              <w:spacing w:after="0" w:before="0" w:line="240" w:lineRule="auto"/>
              <w:jc w:val="left"/>
            </w:pPr>
            <w:r>
              <w:t>Interface, capacity, endurance, image compatibility</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required electrical power</w:t>
            </w:r>
          </w:p>
        </w:tc>
        <w:tc>
          <w:tcPr>
            <w:tcW w:type="dxa" w:w="3600"/>
          </w:tcPr>
          <w:p>
            <w:pPr>
              <w:spacing w:after="0" w:before="0" w:line="240" w:lineRule="auto"/>
              <w:jc w:val="left"/>
            </w:pPr>
            <w:r>
              <w:t>Voltage, current, connectors, industrial power quality</w:t>
            </w:r>
          </w:p>
        </w:tc>
      </w:tr>
      <w:tr>
        <w:tc>
          <w:tcPr>
            <w:tcW w:type="dxa" w:w="3600"/>
          </w:tcPr>
          <w:p>
            <w:pPr>
              <w:spacing w:after="0" w:before="0" w:line="240" w:lineRule="auto"/>
              <w:jc w:val="left"/>
            </w:pPr>
            <w:r>
              <w:t>Ethernet adapter</w:t>
            </w:r>
          </w:p>
        </w:tc>
        <w:tc>
          <w:tcPr>
            <w:tcW w:type="dxa" w:w="3600"/>
          </w:tcPr>
          <w:p>
            <w:pPr>
              <w:spacing w:after="0" w:before="0" w:line="240" w:lineRule="auto"/>
              <w:jc w:val="left"/>
            </w:pPr>
            <w:r>
              <w:t>Provides network connectivity</w:t>
            </w:r>
          </w:p>
        </w:tc>
        <w:tc>
          <w:tcPr>
            <w:tcW w:type="dxa" w:w="3600"/>
          </w:tcPr>
          <w:p>
            <w:pPr>
              <w:spacing w:after="0" w:before="0" w:line="240" w:lineRule="auto"/>
              <w:jc w:val="left"/>
            </w:pPr>
            <w:r>
              <w:t>Driver support, interface speed, MAC address, redundancy</w:t>
            </w:r>
          </w:p>
        </w:tc>
      </w:tr>
      <w:tr>
        <w:tc>
          <w:tcPr>
            <w:tcW w:type="dxa" w:w="3600"/>
          </w:tcPr>
          <w:p>
            <w:pPr>
              <w:spacing w:after="0" w:before="0" w:line="240" w:lineRule="auto"/>
              <w:jc w:val="left"/>
            </w:pPr>
            <w:r>
              <w:t>Serial interface</w:t>
            </w:r>
          </w:p>
        </w:tc>
        <w:tc>
          <w:tcPr>
            <w:tcW w:type="dxa" w:w="3600"/>
          </w:tcPr>
          <w:p>
            <w:pPr>
              <w:spacing w:after="0" w:before="0" w:line="240" w:lineRule="auto"/>
              <w:jc w:val="left"/>
            </w:pPr>
            <w:r>
              <w:t>Supports RS-232, RS-422, or RS-485 communication</w:t>
            </w:r>
          </w:p>
        </w:tc>
        <w:tc>
          <w:tcPr>
            <w:tcW w:type="dxa" w:w="3600"/>
          </w:tcPr>
          <w:p>
            <w:pPr>
              <w:spacing w:after="0" w:before="0" w:line="240" w:lineRule="auto"/>
              <w:jc w:val="left"/>
            </w:pPr>
            <w:r>
              <w:t>Electrical standard, pinout, isolation, COM-port assignment</w:t>
            </w:r>
          </w:p>
        </w:tc>
      </w:tr>
      <w:tr>
        <w:tc>
          <w:tcPr>
            <w:tcW w:type="dxa" w:w="3600"/>
          </w:tcPr>
          <w:p>
            <w:pPr>
              <w:spacing w:after="0" w:before="0" w:line="240" w:lineRule="auto"/>
              <w:jc w:val="left"/>
            </w:pPr>
            <w:r>
              <w:t>Graphics adapter</w:t>
            </w:r>
          </w:p>
        </w:tc>
        <w:tc>
          <w:tcPr>
            <w:tcW w:type="dxa" w:w="3600"/>
          </w:tcPr>
          <w:p>
            <w:pPr>
              <w:spacing w:after="0" w:before="0" w:line="240" w:lineRule="auto"/>
              <w:jc w:val="left"/>
            </w:pPr>
            <w:r>
              <w:t>Provides display output or acceleration</w:t>
            </w:r>
          </w:p>
        </w:tc>
        <w:tc>
          <w:tcPr>
            <w:tcW w:type="dxa" w:w="3600"/>
          </w:tcPr>
          <w:p>
            <w:pPr>
              <w:spacing w:after="0" w:before="0" w:line="240" w:lineRule="auto"/>
              <w:jc w:val="left"/>
            </w:pPr>
            <w:r>
              <w:t>Driver, resolution, interface, application support</w:t>
            </w:r>
          </w:p>
        </w:tc>
      </w:tr>
      <w:tr>
        <w:tc>
          <w:tcPr>
            <w:tcW w:type="dxa" w:w="3600"/>
          </w:tcPr>
          <w:p>
            <w:pPr>
              <w:spacing w:after="0" w:before="0" w:line="240" w:lineRule="auto"/>
              <w:jc w:val="left"/>
            </w:pPr>
            <w:r>
              <w:t>PCIe card</w:t>
            </w:r>
          </w:p>
        </w:tc>
        <w:tc>
          <w:tcPr>
            <w:tcW w:type="dxa" w:w="3600"/>
          </w:tcPr>
          <w:p>
            <w:pPr>
              <w:spacing w:after="0" w:before="0" w:line="240" w:lineRule="auto"/>
              <w:jc w:val="left"/>
            </w:pPr>
            <w:r>
              <w:t>Adds specialized interfaces or processing</w:t>
            </w:r>
          </w:p>
        </w:tc>
        <w:tc>
          <w:tcPr>
            <w:tcW w:type="dxa" w:w="3600"/>
          </w:tcPr>
          <w:p>
            <w:pPr>
              <w:spacing w:after="0" w:before="0" w:line="240" w:lineRule="auto"/>
              <w:jc w:val="left"/>
            </w:pPr>
            <w:r>
              <w:t>Slot compatibility, lane requirements, driver, firmware</w:t>
            </w:r>
          </w:p>
        </w:tc>
      </w:tr>
      <w:tr>
        <w:tc>
          <w:tcPr>
            <w:tcW w:type="dxa" w:w="3600"/>
          </w:tcPr>
          <w:p>
            <w:pPr>
              <w:spacing w:after="0" w:before="0" w:line="240" w:lineRule="auto"/>
              <w:jc w:val="left"/>
            </w:pPr>
            <w:r>
              <w:t>USB interface</w:t>
            </w:r>
          </w:p>
        </w:tc>
        <w:tc>
          <w:tcPr>
            <w:tcW w:type="dxa" w:w="3600"/>
          </w:tcPr>
          <w:p>
            <w:pPr>
              <w:spacing w:after="0" w:before="0" w:line="240" w:lineRule="auto"/>
              <w:jc w:val="left"/>
            </w:pPr>
            <w:r>
              <w:t>Connects peripherals and dongles</w:t>
            </w:r>
          </w:p>
        </w:tc>
        <w:tc>
          <w:tcPr>
            <w:tcW w:type="dxa" w:w="3600"/>
          </w:tcPr>
          <w:p>
            <w:pPr>
              <w:spacing w:after="0" w:before="0" w:line="240" w:lineRule="auto"/>
              <w:jc w:val="left"/>
            </w:pPr>
            <w:r>
              <w:t>Port availability, power, controller compatibility</w:t>
            </w:r>
          </w:p>
        </w:tc>
      </w:tr>
      <w:tr>
        <w:tc>
          <w:tcPr>
            <w:tcW w:type="dxa" w:w="3600"/>
          </w:tcPr>
          <w:p>
            <w:pPr>
              <w:spacing w:after="0" w:before="0" w:line="240" w:lineRule="auto"/>
              <w:jc w:val="left"/>
            </w:pPr>
            <w:r>
              <w:t>Cooling fan</w:t>
            </w:r>
          </w:p>
        </w:tc>
        <w:tc>
          <w:tcPr>
            <w:tcW w:type="dxa" w:w="3600"/>
          </w:tcPr>
          <w:p>
            <w:pPr>
              <w:spacing w:after="0" w:before="0" w:line="240" w:lineRule="auto"/>
              <w:jc w:val="left"/>
            </w:pPr>
            <w:r>
              <w:t>Maintains airflow and temperature</w:t>
            </w:r>
          </w:p>
        </w:tc>
        <w:tc>
          <w:tcPr>
            <w:tcW w:type="dxa" w:w="3600"/>
          </w:tcPr>
          <w:p>
            <w:pPr>
              <w:spacing w:after="0" w:before="0" w:line="240" w:lineRule="auto"/>
              <w:jc w:val="left"/>
            </w:pPr>
            <w:r>
              <w:t>Dimensions, airflow, voltage, connector, monitoring</w:t>
            </w:r>
          </w:p>
        </w:tc>
      </w:tr>
      <w:tr>
        <w:tc>
          <w:tcPr>
            <w:tcW w:type="dxa" w:w="3600"/>
          </w:tcPr>
          <w:p>
            <w:pPr>
              <w:spacing w:after="0" w:before="0" w:line="240" w:lineRule="auto"/>
              <w:jc w:val="left"/>
            </w:pPr>
            <w:r>
              <w:t>CMOS/RTC battery</w:t>
            </w:r>
          </w:p>
        </w:tc>
        <w:tc>
          <w:tcPr>
            <w:tcW w:type="dxa" w:w="3600"/>
          </w:tcPr>
          <w:p>
            <w:pPr>
              <w:spacing w:after="0" w:before="0" w:line="240" w:lineRule="auto"/>
              <w:jc w:val="left"/>
            </w:pPr>
            <w:r>
              <w:t>Maintains clock and certain firmware settings</w:t>
            </w:r>
          </w:p>
        </w:tc>
        <w:tc>
          <w:tcPr>
            <w:tcW w:type="dxa" w:w="3600"/>
          </w:tcPr>
          <w:p>
            <w:pPr>
              <w:spacing w:after="0" w:before="0" w:line="240" w:lineRule="auto"/>
              <w:jc w:val="left"/>
            </w:pPr>
            <w:r>
              <w:t>Battery type, retention, time and BIOS settings</w:t>
            </w:r>
          </w:p>
        </w:tc>
      </w:tr>
      <w:tr>
        <w:tc>
          <w:tcPr>
            <w:tcW w:type="dxa" w:w="3600"/>
          </w:tcPr>
          <w:p>
            <w:pPr>
              <w:spacing w:after="0" w:before="0" w:line="240" w:lineRule="auto"/>
              <w:jc w:val="left"/>
            </w:pPr>
            <w:r>
              <w:t>Industrial display</w:t>
            </w:r>
          </w:p>
        </w:tc>
        <w:tc>
          <w:tcPr>
            <w:tcW w:type="dxa" w:w="3600"/>
          </w:tcPr>
          <w:p>
            <w:pPr>
              <w:spacing w:after="0" w:before="0" w:line="240" w:lineRule="auto"/>
              <w:jc w:val="left"/>
            </w:pPr>
            <w:r>
              <w:t>Provides operator visualization</w:t>
            </w:r>
          </w:p>
        </w:tc>
        <w:tc>
          <w:tcPr>
            <w:tcW w:type="dxa" w:w="3600"/>
          </w:tcPr>
          <w:p>
            <w:pPr>
              <w:spacing w:after="0" w:before="0" w:line="240" w:lineRule="auto"/>
              <w:jc w:val="left"/>
            </w:pPr>
            <w:r>
              <w:t>Resolution, touch technology, mounting, interface</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Connects network devices</w:t>
            </w:r>
          </w:p>
        </w:tc>
        <w:tc>
          <w:tcPr>
            <w:tcW w:type="dxa" w:w="3600"/>
          </w:tcPr>
          <w:p>
            <w:pPr>
              <w:spacing w:after="0" w:before="0" w:line="240" w:lineRule="auto"/>
              <w:jc w:val="left"/>
            </w:pPr>
            <w:r>
              <w:t>Port count, speed, VLANs, management configuration</w:t>
            </w:r>
          </w:p>
        </w:tc>
      </w:tr>
      <w:tr>
        <w:tc>
          <w:tcPr>
            <w:tcW w:type="dxa" w:w="3600"/>
          </w:tcPr>
          <w:p>
            <w:pPr>
              <w:spacing w:after="0" w:before="0" w:line="240" w:lineRule="auto"/>
              <w:jc w:val="left"/>
            </w:pPr>
            <w:r>
              <w:t>UPS</w:t>
            </w:r>
          </w:p>
        </w:tc>
        <w:tc>
          <w:tcPr>
            <w:tcW w:type="dxa" w:w="3600"/>
          </w:tcPr>
          <w:p>
            <w:pPr>
              <w:spacing w:after="0" w:before="0" w:line="240" w:lineRule="auto"/>
              <w:jc w:val="left"/>
            </w:pPr>
            <w:r>
              <w:t>Provides backup power and power conditioning</w:t>
            </w:r>
          </w:p>
        </w:tc>
        <w:tc>
          <w:tcPr>
            <w:tcW w:type="dxa" w:w="3600"/>
          </w:tcPr>
          <w:p>
            <w:pPr>
              <w:spacing w:after="0" w:before="0" w:line="240" w:lineRule="auto"/>
              <w:jc w:val="left"/>
            </w:pPr>
            <w:r>
              <w:t>Load capacity, runtime, battery, communication interface</w:t>
            </w:r>
          </w:p>
        </w:tc>
      </w:tr>
    </w:tbl>
    <w:p/>
    <w:p>
      <w:r>
        <w:t>A component may be physically interchangeable but still incompatible with the application, operating system, or industrial interface.</w:t>
      </w:r>
    </w:p>
    <w:p>
      <w:pPr>
        <w:pStyle w:val="Heading2"/>
      </w:pPr>
      <w:r>
        <w:t>3. Hardware Compatibility Assessment</w:t>
      </w:r>
    </w:p>
    <w:p>
      <w:r>
        <w:t>Before ordering or installing a replacement, evaluate compatibility across several layers.</w:t>
      </w:r>
    </w:p>
    <w:p>
      <w:pPr>
        <w:pStyle w:val="Heading3"/>
      </w:pPr>
      <w:r>
        <w:t>3.1 Mechanical compatibility</w:t>
      </w:r>
    </w:p>
    <w:p>
      <w:r>
        <w:t>Check:</w:t>
      </w:r>
    </w:p>
    <w:p>
      <w:pPr>
        <w:pStyle w:val="ListBullet"/>
      </w:pPr>
      <w:r>
        <w:t>Physical dimensions.</w:t>
      </w:r>
    </w:p>
    <w:p>
      <w:pPr>
        <w:pStyle w:val="ListBullet"/>
      </w:pPr>
      <w:r>
        <w:t>Mounting holes and brackets.</w:t>
      </w:r>
    </w:p>
    <w:p>
      <w:pPr>
        <w:pStyle w:val="ListBullet"/>
      </w:pPr>
      <w:r>
        <w:t>Connector location and clearance.</w:t>
      </w:r>
    </w:p>
    <w:p>
      <w:pPr>
        <w:pStyle w:val="ListBullet"/>
      </w:pPr>
      <w:r>
        <w:t>Cable reach and routing.</w:t>
      </w:r>
    </w:p>
    <w:p>
      <w:pPr>
        <w:pStyle w:val="ListBullet"/>
      </w:pPr>
      <w:r>
        <w:t>Cooling airflow.</w:t>
      </w:r>
    </w:p>
    <w:p>
      <w:pPr>
        <w:pStyle w:val="ListBullet"/>
      </w:pPr>
      <w:r>
        <w:t>DIN-rail, panel, or rack mounting requirements.</w:t>
      </w:r>
    </w:p>
    <w:p>
      <w:pPr>
        <w:pStyle w:val="ListBullet"/>
      </w:pPr>
      <w:r>
        <w:t>Vibration and shock suitability.</w:t>
      </w:r>
    </w:p>
    <w:p>
      <w:pPr>
        <w:pStyle w:val="ListBullet"/>
      </w:pPr>
      <w:r>
        <w:t>Environmental temperature and contamination rating.</w:t>
      </w:r>
    </w:p>
    <w:p>
      <w:r>
        <w:t>A replacement that fits the enclosure but obstructs airflow can introduce a new thermal failure.</w:t>
      </w:r>
    </w:p>
    <w:p>
      <w:pPr>
        <w:pStyle w:val="Heading3"/>
      </w:pPr>
      <w:r>
        <w:t>3.2 Electrical compatibility</w:t>
      </w:r>
    </w:p>
    <w:p>
      <w:r>
        <w:t>Verify:</w:t>
      </w:r>
    </w:p>
    <w:p>
      <w:pPr>
        <w:pStyle w:val="ListBullet"/>
      </w:pPr>
      <w:r>
        <w:t>Supply voltage and allowable range.</w:t>
      </w:r>
    </w:p>
    <w:p>
      <w:pPr>
        <w:pStyle w:val="ListBullet"/>
      </w:pPr>
      <w:r>
        <w:t>Current and power requirements.</w:t>
      </w:r>
    </w:p>
    <w:p>
      <w:pPr>
        <w:pStyle w:val="ListBullet"/>
      </w:pPr>
      <w:r>
        <w:t>Connector type and pinout.</w:t>
      </w:r>
    </w:p>
    <w:p>
      <w:pPr>
        <w:pStyle w:val="ListBullet"/>
      </w:pPr>
      <w:r>
        <w:t>Grounding and isolation requirements.</w:t>
      </w:r>
    </w:p>
    <w:p>
      <w:pPr>
        <w:pStyle w:val="ListBullet"/>
      </w:pPr>
      <w:r>
        <w:t>Signal levels and electrical standards.</w:t>
      </w:r>
    </w:p>
    <w:p>
      <w:pPr>
        <w:pStyle w:val="ListBullet"/>
      </w:pPr>
      <w:r>
        <w:t>Inrush current where applicable.</w:t>
      </w:r>
    </w:p>
    <w:p>
      <w:pPr>
        <w:pStyle w:val="ListBullet"/>
      </w:pPr>
      <w:r>
        <w:t>Fuse and protection requirements.</w:t>
      </w:r>
    </w:p>
    <w:p>
      <w:pPr>
        <w:pStyle w:val="ListBullet"/>
      </w:pPr>
      <w:r>
        <w:t>Power-supply capacity and derating.</w:t>
      </w:r>
    </w:p>
    <w:p>
      <w:r>
        <w:t>Never assume that two connectors with the same shape have the same pinout or electrical function.</w:t>
      </w:r>
    </w:p>
    <w:p>
      <w:pPr>
        <w:pStyle w:val="Heading3"/>
      </w:pPr>
      <w:r>
        <w:t>3.3 Functional compatibility</w:t>
      </w:r>
    </w:p>
    <w:p>
      <w:r>
        <w:t>Confirm:</w:t>
      </w:r>
    </w:p>
    <w:p>
      <w:pPr>
        <w:pStyle w:val="ListBullet"/>
      </w:pPr>
      <w:r>
        <w:t>Required interfaces and protocols.</w:t>
      </w:r>
    </w:p>
    <w:p>
      <w:pPr>
        <w:pStyle w:val="ListBullet"/>
      </w:pPr>
      <w:r>
        <w:t>Supported data rates.</w:t>
      </w:r>
    </w:p>
    <w:p>
      <w:pPr>
        <w:pStyle w:val="ListBullet"/>
      </w:pPr>
      <w:r>
        <w:t>Operating-system and driver support.</w:t>
      </w:r>
    </w:p>
    <w:p>
      <w:pPr>
        <w:pStyle w:val="ListBullet"/>
      </w:pPr>
      <w:r>
        <w:t>Firmware compatibility.</w:t>
      </w:r>
    </w:p>
    <w:p>
      <w:pPr>
        <w:pStyle w:val="ListBullet"/>
      </w:pPr>
      <w:r>
        <w:t>Application compatibility.</w:t>
      </w:r>
    </w:p>
    <w:p>
      <w:pPr>
        <w:pStyle w:val="ListBullet"/>
      </w:pPr>
      <w:r>
        <w:t>Required performance and capacity.</w:t>
      </w:r>
    </w:p>
    <w:p>
      <w:pPr>
        <w:pStyle w:val="ListBullet"/>
      </w:pPr>
      <w:r>
        <w:t>Vendor support status.</w:t>
      </w:r>
    </w:p>
    <w:p>
      <w:pPr>
        <w:pStyle w:val="ListBullet"/>
      </w:pPr>
      <w:r>
        <w:t>Licensing implications.</w:t>
      </w:r>
    </w:p>
    <w:p>
      <w:pPr>
        <w:pStyle w:val="ListBullet"/>
      </w:pPr>
      <w:r>
        <w:t>Availability of configuration and recovery tools.</w:t>
      </w:r>
    </w:p>
    <w:p>
      <w:pPr>
        <w:pStyle w:val="Heading3"/>
      </w:pPr>
      <w:r>
        <w:t>3.4 Environmental compatibility</w:t>
      </w:r>
    </w:p>
    <w:p>
      <w:r>
        <w:t>Industrial environments may involve heat, dust, oil mist, vibration, electrical noise, and continuous operation.</w:t>
      </w:r>
    </w:p>
    <w:p>
      <w:r>
        <w:t>Check the manufacturer's ratings for:</w:t>
      </w:r>
    </w:p>
    <w:p>
      <w:pPr>
        <w:pStyle w:val="ListBullet"/>
      </w:pPr>
      <w:r>
        <w:t>Operating temperature.</w:t>
      </w:r>
    </w:p>
    <w:p>
      <w:pPr>
        <w:pStyle w:val="ListBullet"/>
      </w:pPr>
      <w:r>
        <w:t>Humidity and condensation.</w:t>
      </w:r>
    </w:p>
    <w:p>
      <w:pPr>
        <w:pStyle w:val="ListBullet"/>
      </w:pPr>
      <w:r>
        <w:t>Vibration and shock.</w:t>
      </w:r>
    </w:p>
    <w:p>
      <w:pPr>
        <w:pStyle w:val="ListBullet"/>
      </w:pPr>
      <w:r>
        <w:t>Ingress protection where relevant.</w:t>
      </w:r>
    </w:p>
    <w:p>
      <w:pPr>
        <w:pStyle w:val="ListBullet"/>
      </w:pPr>
      <w:r>
        <w:t>EMC immunity and emissions.</w:t>
      </w:r>
    </w:p>
    <w:p>
      <w:pPr>
        <w:pStyle w:val="ListBullet"/>
      </w:pPr>
      <w:r>
        <w:t>Expected service life and endurance.</w:t>
      </w:r>
    </w:p>
    <w:p>
      <w:pPr>
        <w:pStyle w:val="ListBullet"/>
      </w:pPr>
      <w:r>
        <w:t>Fanless or forced-air cooling requirements.</w:t>
      </w:r>
    </w:p>
    <w:p>
      <w:r>
        <w:t>Commercial-grade hardware should not automatically be treated as a suitable industrial replacement.</w:t>
      </w:r>
    </w:p>
    <w:p>
      <w:pPr>
        <w:pStyle w:val="Heading2"/>
      </w:pPr>
      <w:r>
        <w:t>4. Hardware Identification Before Replacement</w:t>
      </w:r>
    </w:p>
    <w:p>
      <w:r>
        <w:t>Correct identification prevents ordering an incompatible component or replacing the wrong device.</w:t>
      </w:r>
    </w:p>
    <w:p>
      <w:r>
        <w:t>Record the following information before removal:</w:t>
      </w:r>
    </w:p>
    <w:p>
      <w:pPr>
        <w:pStyle w:val="ListBullet"/>
      </w:pPr>
      <w:r>
        <w:t>Manufacturer and exact model number.</w:t>
      </w:r>
    </w:p>
    <w:p>
      <w:pPr>
        <w:pStyle w:val="ListBullet"/>
      </w:pPr>
      <w:r>
        <w:t>Part number and revision.</w:t>
      </w:r>
    </w:p>
    <w:p>
      <w:pPr>
        <w:pStyle w:val="ListBullet"/>
      </w:pPr>
      <w:r>
        <w:t>Serial number or asset identification, where relevant.</w:t>
      </w:r>
    </w:p>
    <w:p>
      <w:pPr>
        <w:pStyle w:val="ListBullet"/>
      </w:pPr>
      <w:r>
        <w:t>Interface type and connector details.</w:t>
      </w:r>
    </w:p>
    <w:p>
      <w:pPr>
        <w:pStyle w:val="ListBullet"/>
      </w:pPr>
      <w:r>
        <w:t>Firmware version, where applicable.</w:t>
      </w:r>
    </w:p>
    <w:p>
      <w:pPr>
        <w:pStyle w:val="ListBullet"/>
      </w:pPr>
      <w:r>
        <w:t>Installed driver version.</w:t>
      </w:r>
    </w:p>
    <w:p>
      <w:pPr>
        <w:pStyle w:val="ListBullet"/>
      </w:pPr>
      <w:r>
        <w:t>Existing configuration and device address.</w:t>
      </w:r>
    </w:p>
    <w:p>
      <w:pPr>
        <w:pStyle w:val="ListBullet"/>
      </w:pPr>
      <w:r>
        <w:t>Physical dimensions and mounting requirements.</w:t>
      </w:r>
    </w:p>
    <w:p>
      <w:pPr>
        <w:pStyle w:val="ListBullet"/>
      </w:pPr>
      <w:r>
        <w:t>Current symptoms and diagnostic evidence.</w:t>
      </w:r>
    </w:p>
    <w:p>
      <w:pPr>
        <w:pStyle w:val="Heading3"/>
      </w:pPr>
      <w:r>
        <w:t>4.1 Identification methods</w:t>
      </w:r>
    </w:p>
    <w:p>
      <w:r>
        <w:t>Use multiple sources to confirm the component:</w:t>
      </w:r>
    </w:p>
    <w:p>
      <w:pPr>
        <w:tabs>
          <w:tab w:pos="403" w:val="left"/>
        </w:tabs>
        <w:spacing w:after="40" w:line="276" w:lineRule="auto"/>
        <w:ind w:left="403" w:hanging="403"/>
        <w:jc w:val="left"/>
      </w:pPr>
      <w:r>
        <w:rPr>
          <w:color w:val="1A2E4A"/>
        </w:rPr>
        <w:t>1.</w:t>
        <w:tab/>
      </w:r>
      <w:r>
        <w:t>Read the manufacturer label and part number.</w:t>
      </w:r>
    </w:p>
    <w:p>
      <w:pPr>
        <w:tabs>
          <w:tab w:pos="403" w:val="left"/>
        </w:tabs>
        <w:spacing w:after="40" w:line="276" w:lineRule="auto"/>
        <w:ind w:left="403" w:hanging="403"/>
        <w:jc w:val="left"/>
      </w:pPr>
      <w:r>
        <w:rPr>
          <w:color w:val="1A2E4A"/>
        </w:rPr>
        <w:t>2.</w:t>
        <w:tab/>
      </w:r>
      <w:r>
        <w:t>Check the IPC or machine bill of materials.</w:t>
      </w:r>
    </w:p>
    <w:p>
      <w:pPr>
        <w:tabs>
          <w:tab w:pos="403" w:val="left"/>
        </w:tabs>
        <w:spacing w:after="40" w:line="276" w:lineRule="auto"/>
        <w:ind w:left="403" w:hanging="403"/>
        <w:jc w:val="left"/>
      </w:pPr>
      <w:r>
        <w:rPr>
          <w:color w:val="1A2E4A"/>
        </w:rPr>
        <w:t>3.</w:t>
        <w:tab/>
      </w:r>
      <w:r>
        <w:t>Review the original purchase or maintenance record.</w:t>
      </w:r>
    </w:p>
    <w:p>
      <w:pPr>
        <w:tabs>
          <w:tab w:pos="403" w:val="left"/>
        </w:tabs>
        <w:spacing w:after="40" w:line="276" w:lineRule="auto"/>
        <w:ind w:left="403" w:hanging="403"/>
        <w:jc w:val="left"/>
      </w:pPr>
      <w:r>
        <w:rPr>
          <w:color w:val="1A2E4A"/>
        </w:rPr>
        <w:t>4.</w:t>
        <w:tab/>
      </w:r>
      <w:r>
        <w:t>Inspect Device Manager and vendor utilities.</w:t>
      </w:r>
    </w:p>
    <w:p>
      <w:pPr>
        <w:tabs>
          <w:tab w:pos="403" w:val="left"/>
        </w:tabs>
        <w:spacing w:after="40" w:line="276" w:lineRule="auto"/>
        <w:ind w:left="403" w:hanging="403"/>
        <w:jc w:val="left"/>
      </w:pPr>
      <w:r>
        <w:rPr>
          <w:color w:val="1A2E4A"/>
        </w:rPr>
        <w:t>5.</w:t>
        <w:tab/>
      </w:r>
      <w:r>
        <w:t>Review the approved electrical drawing or system architecture.</w:t>
      </w:r>
    </w:p>
    <w:p>
      <w:pPr>
        <w:tabs>
          <w:tab w:pos="403" w:val="left"/>
        </w:tabs>
        <w:spacing w:after="40" w:line="276" w:lineRule="auto"/>
        <w:ind w:left="403" w:hanging="403"/>
        <w:jc w:val="left"/>
      </w:pPr>
      <w:r>
        <w:rPr>
          <w:color w:val="1A2E4A"/>
        </w:rPr>
        <w:t>6.</w:t>
        <w:tab/>
      </w:r>
      <w:r>
        <w:t>Confirm the manufacturer's replacement or compatibility documentation.</w:t>
      </w:r>
    </w:p>
    <w:p>
      <w:r>
        <w:t>For an installed Windows system, PowerShell can help identify certain hardware details.</w:t>
      </w:r>
    </w:p>
    <w:p>
      <w:pPr>
        <w:shd w:val="clear" w:color="auto" w:fill="F4F4F4"/>
        <w:spacing w:before="0" w:after="0" w:line="240" w:lineRule="auto"/>
        <w:ind w:left="216" w:right="216"/>
        <w:jc w:val="left"/>
      </w:pPr>
      <w:r>
        <w:rPr>
          <w:rFonts w:ascii="Consolas" w:hAnsi="Consolas"/>
          <w:color w:val="202020"/>
          <w:sz w:val="18"/>
        </w:rPr>
        <w:t>Get-CimInstance Win32_ComputerSystem |</w:t>
      </w:r>
    </w:p>
    <w:p>
      <w:pPr>
        <w:shd w:val="clear" w:color="auto" w:fill="F4F4F4"/>
        <w:spacing w:before="0" w:after="0" w:line="240" w:lineRule="auto"/>
        <w:ind w:left="216" w:right="216"/>
        <w:jc w:val="left"/>
      </w:pPr>
      <w:r>
        <w:rPr>
          <w:rFonts w:ascii="Consolas" w:hAnsi="Consolas"/>
          <w:color w:val="202020"/>
          <w:sz w:val="18"/>
        </w:rPr>
        <w:t xml:space="preserve">    Select-Object Manufacturer, Model, SystemType</w:t>
      </w:r>
    </w:p>
    <w:p/>
    <w:p>
      <w:r>
        <w:t>Inspect installed memory:</w:t>
      </w:r>
    </w:p>
    <w:p>
      <w:pPr>
        <w:shd w:val="clear" w:color="auto" w:fill="F4F4F4"/>
        <w:spacing w:before="0" w:after="0" w:line="240" w:lineRule="auto"/>
        <w:ind w:left="216" w:right="216"/>
        <w:jc w:val="left"/>
      </w:pPr>
      <w:r>
        <w:rPr>
          <w:rFonts w:ascii="Consolas" w:hAnsi="Consolas"/>
          <w:color w:val="202020"/>
          <w:sz w:val="18"/>
        </w:rPr>
        <w:t>Get-CimInstance Win32_PhysicalMemory |</w:t>
      </w:r>
    </w:p>
    <w:p>
      <w:pPr>
        <w:shd w:val="clear" w:color="auto" w:fill="F4F4F4"/>
        <w:spacing w:before="0" w:after="0" w:line="240" w:lineRule="auto"/>
        <w:ind w:left="216" w:right="216"/>
        <w:jc w:val="left"/>
      </w:pPr>
      <w:r>
        <w:rPr>
          <w:rFonts w:ascii="Consolas" w:hAnsi="Consolas"/>
          <w:color w:val="202020"/>
          <w:sz w:val="18"/>
        </w:rPr>
        <w:t xml:space="preserve">    Select-Object Manufacturer, PartNumber, Capacity, Speed</w:t>
      </w:r>
    </w:p>
    <w:p/>
    <w:p>
      <w:r>
        <w:t>Inspect physical disk models:</w:t>
      </w:r>
    </w:p>
    <w:p>
      <w:pPr>
        <w:shd w:val="clear" w:color="auto" w:fill="F4F4F4"/>
        <w:spacing w:before="0" w:after="0" w:line="240" w:lineRule="auto"/>
        <w:ind w:left="216" w:right="216"/>
        <w:jc w:val="left"/>
      </w:pPr>
      <w:r>
        <w:rPr>
          <w:rFonts w:ascii="Consolas" w:hAnsi="Consolas"/>
          <w:color w:val="202020"/>
          <w:sz w:val="18"/>
        </w:rPr>
        <w:t>Get-CimInstance Win32_DiskDrive |</w:t>
      </w:r>
    </w:p>
    <w:p>
      <w:pPr>
        <w:shd w:val="clear" w:color="auto" w:fill="F4F4F4"/>
        <w:spacing w:before="0" w:after="0" w:line="240" w:lineRule="auto"/>
        <w:ind w:left="216" w:right="216"/>
        <w:jc w:val="left"/>
      </w:pPr>
      <w:r>
        <w:rPr>
          <w:rFonts w:ascii="Consolas" w:hAnsi="Consolas"/>
          <w:color w:val="202020"/>
          <w:sz w:val="18"/>
        </w:rPr>
        <w:t xml:space="preserve">    Select-Object Model, SerialNumber, InterfaceType, Size</w:t>
      </w:r>
    </w:p>
    <w:p/>
    <w:p>
      <w:r>
        <w:t>These commands provide useful inventory information, but they do not establish complete compatibility. Some hardware properties may be unavailable, inaccurate, or reported differently by vendor drivers.</w:t>
      </w:r>
    </w:p>
    <w:p>
      <w:pPr>
        <w:pStyle w:val="Heading2"/>
      </w:pPr>
      <w:r>
        <w:t>5. Replacement vs. Repair</w:t>
      </w:r>
    </w:p>
    <w:p>
      <w:r>
        <w:t>Not every hardware fault requires component replacement. Diagnose the fault and compare the available repair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Possible action</w:t>
            </w:r>
          </w:p>
        </w:tc>
        <w:tc>
          <w:tcPr>
            <w:tcW w:type="dxa" w:w="3600"/>
            <w:shd w:val="clear" w:color="auto" w:fill="EEF2F7"/>
          </w:tcPr>
          <w:p>
            <w:pPr>
              <w:spacing w:after="0" w:before="0" w:line="240" w:lineRule="auto"/>
              <w:jc w:val="left"/>
            </w:pPr>
            <w:r>
              <w:rPr>
                <w:b/>
                <w:color w:val="1A2E4A"/>
              </w:rPr>
              <w:t>Decision consideration</w:t>
            </w:r>
          </w:p>
        </w:tc>
      </w:tr>
      <w:tr>
        <w:tc>
          <w:tcPr>
            <w:tcW w:type="dxa" w:w="3600"/>
          </w:tcPr>
          <w:p>
            <w:pPr>
              <w:spacing w:after="0" w:before="0" w:line="240" w:lineRule="auto"/>
              <w:jc w:val="left"/>
            </w:pPr>
            <w:r>
              <w:t>SSD failure confirmed</w:t>
            </w:r>
          </w:p>
        </w:tc>
        <w:tc>
          <w:tcPr>
            <w:tcW w:type="dxa" w:w="3600"/>
          </w:tcPr>
          <w:p>
            <w:pPr>
              <w:spacing w:after="0" w:before="0" w:line="240" w:lineRule="auto"/>
              <w:jc w:val="left"/>
            </w:pPr>
            <w:r>
              <w:t>Replace SSD</w:t>
            </w:r>
          </w:p>
        </w:tc>
        <w:tc>
          <w:tcPr>
            <w:tcW w:type="dxa" w:w="3600"/>
          </w:tcPr>
          <w:p>
            <w:pPr>
              <w:spacing w:after="0" w:before="0" w:line="240" w:lineRule="auto"/>
              <w:jc w:val="left"/>
            </w:pPr>
            <w:r>
              <w:t>Restore image and recover recent data</w:t>
            </w:r>
          </w:p>
        </w:tc>
      </w:tr>
      <w:tr>
        <w:tc>
          <w:tcPr>
            <w:tcW w:type="dxa" w:w="3600"/>
          </w:tcPr>
          <w:p>
            <w:pPr>
              <w:spacing w:after="0" w:before="0" w:line="240" w:lineRule="auto"/>
              <w:jc w:val="left"/>
            </w:pPr>
            <w:r>
              <w:t>RAM errors confirmed</w:t>
            </w:r>
          </w:p>
        </w:tc>
        <w:tc>
          <w:tcPr>
            <w:tcW w:type="dxa" w:w="3600"/>
          </w:tcPr>
          <w:p>
            <w:pPr>
              <w:spacing w:after="0" w:before="0" w:line="240" w:lineRule="auto"/>
              <w:jc w:val="left"/>
            </w:pPr>
            <w:r>
              <w:t>Reseat or replace RAM according to approved procedure</w:t>
            </w:r>
          </w:p>
        </w:tc>
        <w:tc>
          <w:tcPr>
            <w:tcW w:type="dxa" w:w="3600"/>
          </w:tcPr>
          <w:p>
            <w:pPr>
              <w:spacing w:after="0" w:before="0" w:line="240" w:lineRule="auto"/>
              <w:jc w:val="left"/>
            </w:pPr>
            <w:r>
              <w:t>Check slot, module, compatibility, and diagnostics</w:t>
            </w:r>
          </w:p>
        </w:tc>
      </w:tr>
      <w:tr>
        <w:tc>
          <w:tcPr>
            <w:tcW w:type="dxa" w:w="3600"/>
          </w:tcPr>
          <w:p>
            <w:pPr>
              <w:spacing w:after="0" w:before="0" w:line="240" w:lineRule="auto"/>
              <w:jc w:val="left"/>
            </w:pPr>
            <w:r>
              <w:t>Loose connector</w:t>
            </w:r>
          </w:p>
        </w:tc>
        <w:tc>
          <w:tcPr>
            <w:tcW w:type="dxa" w:w="3600"/>
          </w:tcPr>
          <w:p>
            <w:pPr>
              <w:spacing w:after="0" w:before="0" w:line="240" w:lineRule="auto"/>
              <w:jc w:val="left"/>
            </w:pPr>
            <w:r>
              <w:t>Correct connection</w:t>
            </w:r>
          </w:p>
        </w:tc>
        <w:tc>
          <w:tcPr>
            <w:tcW w:type="dxa" w:w="3600"/>
          </w:tcPr>
          <w:p>
            <w:pPr>
              <w:spacing w:after="0" w:before="0" w:line="240" w:lineRule="auto"/>
              <w:jc w:val="left"/>
            </w:pPr>
            <w:r>
              <w:t>Inspect connector and cable condition</w:t>
            </w:r>
          </w:p>
        </w:tc>
      </w:tr>
      <w:tr>
        <w:tc>
          <w:tcPr>
            <w:tcW w:type="dxa" w:w="3600"/>
          </w:tcPr>
          <w:p>
            <w:pPr>
              <w:spacing w:after="0" w:before="0" w:line="240" w:lineRule="auto"/>
              <w:jc w:val="left"/>
            </w:pPr>
            <w:r>
              <w:t>Damaged PCB component</w:t>
            </w:r>
          </w:p>
        </w:tc>
        <w:tc>
          <w:tcPr>
            <w:tcW w:type="dxa" w:w="3600"/>
          </w:tcPr>
          <w:p>
            <w:pPr>
              <w:spacing w:after="0" w:before="0" w:line="240" w:lineRule="auto"/>
              <w:jc w:val="left"/>
            </w:pPr>
            <w:r>
              <w:t>Approved board-level repair or board replacement</w:t>
            </w:r>
          </w:p>
        </w:tc>
        <w:tc>
          <w:tcPr>
            <w:tcW w:type="dxa" w:w="3600"/>
          </w:tcPr>
          <w:p>
            <w:pPr>
              <w:spacing w:after="0" w:before="0" w:line="240" w:lineRule="auto"/>
              <w:jc w:val="left"/>
            </w:pPr>
            <w:r>
              <w:t>Repair capability, risk, and vendor support</w:t>
            </w:r>
          </w:p>
        </w:tc>
      </w:tr>
      <w:tr>
        <w:tc>
          <w:tcPr>
            <w:tcW w:type="dxa" w:w="3600"/>
          </w:tcPr>
          <w:p>
            <w:pPr>
              <w:spacing w:after="0" w:before="0" w:line="240" w:lineRule="auto"/>
              <w:jc w:val="left"/>
            </w:pPr>
            <w:r>
              <w:t>Intermittent Ethernet</w:t>
            </w:r>
          </w:p>
        </w:tc>
        <w:tc>
          <w:tcPr>
            <w:tcW w:type="dxa" w:w="3600"/>
          </w:tcPr>
          <w:p>
            <w:pPr>
              <w:spacing w:after="0" w:before="0" w:line="240" w:lineRule="auto"/>
              <w:jc w:val="left"/>
            </w:pPr>
            <w:r>
              <w:t>Diagnose cable, port, adapter, and network</w:t>
            </w:r>
          </w:p>
        </w:tc>
        <w:tc>
          <w:tcPr>
            <w:tcW w:type="dxa" w:w="3600"/>
          </w:tcPr>
          <w:p>
            <w:pPr>
              <w:spacing w:after="0" w:before="0" w:line="240" w:lineRule="auto"/>
              <w:jc w:val="left"/>
            </w:pPr>
            <w:r>
              <w:t>Do not assume the IPC adapter is faulty</w:t>
            </w:r>
          </w:p>
        </w:tc>
      </w:tr>
      <w:tr>
        <w:tc>
          <w:tcPr>
            <w:tcW w:type="dxa" w:w="3600"/>
          </w:tcPr>
          <w:p>
            <w:pPr>
              <w:spacing w:after="0" w:before="0" w:line="240" w:lineRule="auto"/>
              <w:jc w:val="left"/>
            </w:pPr>
            <w:r>
              <w:t>Fan failure</w:t>
            </w:r>
          </w:p>
        </w:tc>
        <w:tc>
          <w:tcPr>
            <w:tcW w:type="dxa" w:w="3600"/>
          </w:tcPr>
          <w:p>
            <w:pPr>
              <w:spacing w:after="0" w:before="0" w:line="240" w:lineRule="auto"/>
              <w:jc w:val="left"/>
            </w:pPr>
            <w:r>
              <w:t>Replace compatible fan</w:t>
            </w:r>
          </w:p>
        </w:tc>
        <w:tc>
          <w:tcPr>
            <w:tcW w:type="dxa" w:w="3600"/>
          </w:tcPr>
          <w:p>
            <w:pPr>
              <w:spacing w:after="0" w:before="0" w:line="240" w:lineRule="auto"/>
              <w:jc w:val="left"/>
            </w:pPr>
            <w:r>
              <w:t>Verify airflow, electrical rating, and monitoring</w:t>
            </w:r>
          </w:p>
        </w:tc>
      </w:tr>
      <w:tr>
        <w:tc>
          <w:tcPr>
            <w:tcW w:type="dxa" w:w="3600"/>
          </w:tcPr>
          <w:p>
            <w:pPr>
              <w:spacing w:after="0" w:before="0" w:line="240" w:lineRule="auto"/>
              <w:jc w:val="left"/>
            </w:pPr>
            <w:r>
              <w:t>Obsolete motherboard</w:t>
            </w:r>
          </w:p>
        </w:tc>
        <w:tc>
          <w:tcPr>
            <w:tcW w:type="dxa" w:w="3600"/>
          </w:tcPr>
          <w:p>
            <w:pPr>
              <w:spacing w:after="0" w:before="0" w:line="240" w:lineRule="auto"/>
              <w:jc w:val="left"/>
            </w:pPr>
            <w:r>
              <w:t>Approved motherboard or IPC migration</w:t>
            </w:r>
          </w:p>
        </w:tc>
        <w:tc>
          <w:tcPr>
            <w:tcW w:type="dxa" w:w="3600"/>
          </w:tcPr>
          <w:p>
            <w:pPr>
              <w:spacing w:after="0" w:before="0" w:line="240" w:lineRule="auto"/>
              <w:jc w:val="left"/>
            </w:pPr>
            <w:r>
              <w:t>Reassess OS, drivers, licensing, and application compatibility</w:t>
            </w:r>
          </w:p>
        </w:tc>
      </w:tr>
      <w:tr>
        <w:tc>
          <w:tcPr>
            <w:tcW w:type="dxa" w:w="3600"/>
          </w:tcPr>
          <w:p>
            <w:pPr>
              <w:spacing w:after="0" w:before="0" w:line="240" w:lineRule="auto"/>
              <w:jc w:val="left"/>
            </w:pPr>
            <w:r>
              <w:t>Repeated thermal shutdown</w:t>
            </w:r>
          </w:p>
        </w:tc>
        <w:tc>
          <w:tcPr>
            <w:tcW w:type="dxa" w:w="3600"/>
          </w:tcPr>
          <w:p>
            <w:pPr>
              <w:spacing w:after="0" w:before="0" w:line="240" w:lineRule="auto"/>
              <w:jc w:val="left"/>
            </w:pPr>
            <w:r>
              <w:t>Diagnose cooling and load</w:t>
            </w:r>
          </w:p>
        </w:tc>
        <w:tc>
          <w:tcPr>
            <w:tcW w:type="dxa" w:w="3600"/>
          </w:tcPr>
          <w:p>
            <w:pPr>
              <w:spacing w:after="0" w:before="0" w:line="240" w:lineRule="auto"/>
              <w:jc w:val="left"/>
            </w:pPr>
            <w:r>
              <w:t>Replacing a fan alone may not correct blocked airflow or excessive heat</w:t>
            </w:r>
          </w:p>
        </w:tc>
      </w:tr>
      <w:tr>
        <w:tc>
          <w:tcPr>
            <w:tcW w:type="dxa" w:w="3600"/>
          </w:tcPr>
          <w:p>
            <w:pPr>
              <w:spacing w:after="0" w:before="0" w:line="240" w:lineRule="auto"/>
              <w:jc w:val="left"/>
            </w:pPr>
            <w:r>
              <w:t>Failed USB peripheral</w:t>
            </w:r>
          </w:p>
        </w:tc>
        <w:tc>
          <w:tcPr>
            <w:tcW w:type="dxa" w:w="3600"/>
          </w:tcPr>
          <w:p>
            <w:pPr>
              <w:spacing w:after="0" w:before="0" w:line="240" w:lineRule="auto"/>
              <w:jc w:val="left"/>
            </w:pPr>
            <w:r>
              <w:t>Test cable, port, power, and peripheral</w:t>
            </w:r>
          </w:p>
        </w:tc>
        <w:tc>
          <w:tcPr>
            <w:tcW w:type="dxa" w:w="3600"/>
          </w:tcPr>
          <w:p>
            <w:pPr>
              <w:spacing w:after="0" w:before="0" w:line="240" w:lineRule="auto"/>
              <w:jc w:val="left"/>
            </w:pPr>
            <w:r>
              <w:t>Establish the failed component before replacement</w:t>
            </w:r>
          </w:p>
        </w:tc>
      </w:tr>
    </w:tbl>
    <w:p/>
    <w:p>
      <w:r>
        <w:t>For safety-critical equipment, use only approved repair and replacement methods. A component that appears to work after an improvised repair may still be electrically unsafe or unreliable.</w:t>
      </w:r>
    </w:p>
    <w:p>
      <w:pPr>
        <w:pStyle w:val="Heading2"/>
      </w:pPr>
      <w:r>
        <w:t>6. Pre-Replacement Preparation</w:t>
      </w:r>
    </w:p>
    <w:p>
      <w:r>
        <w:t>Hardware replacement should be treated as a controlled maintenance activity, not an unrecorded parts swap.</w:t>
      </w:r>
    </w:p>
    <w:p>
      <w:pPr>
        <w:pStyle w:val="Heading3"/>
      </w:pPr>
      <w:r>
        <w:t>6.1 Operational preparation</w:t>
      </w:r>
    </w:p>
    <w:p>
      <w:pPr>
        <w:pStyle w:val="ListBullet"/>
      </w:pPr>
      <w:r>
        <w:t>Obtain authorization and arrange a suitable maintenance window.</w:t>
      </w:r>
    </w:p>
    <w:p>
      <w:pPr>
        <w:pStyle w:val="ListBullet"/>
      </w:pPr>
      <w:r>
        <w:t>Inform operations about expected downtime.</w:t>
      </w:r>
    </w:p>
    <w:p>
      <w:pPr>
        <w:pStyle w:val="ListBullet"/>
      </w:pPr>
      <w:r>
        <w:t>Identify machine-specific shutdown requirements.</w:t>
      </w:r>
    </w:p>
    <w:p>
      <w:pPr>
        <w:pStyle w:val="ListBullet"/>
      </w:pPr>
      <w:r>
        <w:t>Confirm whether another system depends on the IPC.</w:t>
      </w:r>
    </w:p>
    <w:p>
      <w:pPr>
        <w:pStyle w:val="ListBullet"/>
      </w:pPr>
      <w:r>
        <w:t>Record current alarms, operating state, and relevant production data.</w:t>
      </w:r>
    </w:p>
    <w:p>
      <w:pPr>
        <w:pStyle w:val="ListBullet"/>
      </w:pPr>
      <w:r>
        <w:t>Prepare the replacement component and required tools.</w:t>
      </w:r>
    </w:p>
    <w:p>
      <w:pPr>
        <w:pStyle w:val="ListBullet"/>
      </w:pPr>
      <w:r>
        <w:t>Confirm the recovery plan and availability of backups.</w:t>
      </w:r>
    </w:p>
    <w:p>
      <w:pPr>
        <w:pStyle w:val="ListBullet"/>
      </w:pPr>
      <w:r>
        <w:t>Establish the post-replacement validation procedure.</w:t>
      </w:r>
    </w:p>
    <w:p>
      <w:r>
        <w:t>If the IPC supports active production or machine control, follow the machine-specific shutdown and isolation procedure. Do not remove power while active writes or controlled shutdown activities are in progress unless an emergency procedure requires it.</w:t>
      </w:r>
    </w:p>
    <w:p>
      <w:pPr>
        <w:pStyle w:val="Heading3"/>
      </w:pPr>
      <w:r>
        <w:t>6.2 Backup and configuration capture</w:t>
      </w:r>
    </w:p>
    <w:p>
      <w:r>
        <w:t>Before replacement, back up or document relevant items:</w:t>
      </w:r>
    </w:p>
    <w:p>
      <w:pPr>
        <w:pStyle w:val="ListBullet"/>
      </w:pPr>
      <w:r>
        <w:t>Verified IPC image.</w:t>
      </w:r>
    </w:p>
    <w:p>
      <w:pPr>
        <w:pStyle w:val="ListBullet"/>
      </w:pPr>
      <w:r>
        <w:t>Application and project configuration.</w:t>
      </w:r>
    </w:p>
    <w:p>
      <w:pPr>
        <w:pStyle w:val="ListBullet"/>
      </w:pPr>
      <w:r>
        <w:t>Current PLC/CNC communication settings.</w:t>
      </w:r>
    </w:p>
    <w:p>
      <w:pPr>
        <w:pStyle w:val="ListBullet"/>
      </w:pPr>
      <w:r>
        <w:t>IP address, subnet, gateway, and DNS configuration where applicable.</w:t>
      </w:r>
    </w:p>
    <w:p>
      <w:pPr>
        <w:pStyle w:val="ListBullet"/>
      </w:pPr>
      <w:r>
        <w:t>MAC address and adapter mapping where relevant.</w:t>
      </w:r>
    </w:p>
    <w:p>
      <w:pPr>
        <w:pStyle w:val="ListBullet"/>
      </w:pPr>
      <w:r>
        <w:t>COM-port assignments and serial interface settings.</w:t>
      </w:r>
    </w:p>
    <w:p>
      <w:pPr>
        <w:pStyle w:val="ListBullet"/>
      </w:pPr>
      <w:r>
        <w:t>Installed drivers and versions.</w:t>
      </w:r>
    </w:p>
    <w:p>
      <w:pPr>
        <w:pStyle w:val="ListBullet"/>
      </w:pPr>
      <w:r>
        <w:t>License and activation recovery information.</w:t>
      </w:r>
    </w:p>
    <w:p>
      <w:pPr>
        <w:pStyle w:val="ListBullet"/>
      </w:pPr>
      <w:r>
        <w:t>Certificates and trust configuration, using approved secure handling.</w:t>
      </w:r>
    </w:p>
    <w:p>
      <w:pPr>
        <w:pStyle w:val="ListBullet"/>
      </w:pPr>
      <w:r>
        <w:t>Database and application data backups.</w:t>
      </w:r>
    </w:p>
    <w:p>
      <w:pPr>
        <w:pStyle w:val="ListBullet"/>
      </w:pPr>
      <w:r>
        <w:t>Firmware settings and boot mode.</w:t>
      </w:r>
    </w:p>
    <w:p>
      <w:pPr>
        <w:pStyle w:val="ListBullet"/>
      </w:pPr>
      <w:r>
        <w:t>Expansion-card slot assignments.</w:t>
      </w:r>
    </w:p>
    <w:p>
      <w:pPr>
        <w:pStyle w:val="ListBullet"/>
      </w:pPr>
      <w:r>
        <w:t>Device-specific configuration and calibration data.</w:t>
      </w:r>
    </w:p>
    <w:p>
      <w:r>
        <w:t>A disk image is useful but does not automatically preserve every hardware-bound setting, external service, activation state, or calibration parameter.</w:t>
      </w:r>
    </w:p>
    <w:p>
      <w:pPr>
        <w:pStyle w:val="Heading3"/>
      </w:pPr>
      <w:r>
        <w:t>6.3 Tools and materials</w:t>
      </w:r>
    </w:p>
    <w:p>
      <w:r>
        <w:t>Prepare the tools required by the manufacturer's procedure, which may include:</w:t>
      </w:r>
    </w:p>
    <w:p>
      <w:pPr>
        <w:pStyle w:val="ListBullet"/>
      </w:pPr>
      <w:r>
        <w:t>Correct screwdrivers and mounting tools.</w:t>
      </w:r>
    </w:p>
    <w:p>
      <w:pPr>
        <w:pStyle w:val="ListBullet"/>
      </w:pPr>
      <w:r>
        <w:t>Approved ESD protection.</w:t>
      </w:r>
    </w:p>
    <w:p>
      <w:pPr>
        <w:pStyle w:val="ListBullet"/>
      </w:pPr>
      <w:r>
        <w:t>Compatible cables and adapters.</w:t>
      </w:r>
    </w:p>
    <w:p>
      <w:pPr>
        <w:pStyle w:val="ListBullet"/>
      </w:pPr>
      <w:r>
        <w:t>Label printer or cable markers.</w:t>
      </w:r>
    </w:p>
    <w:p>
      <w:pPr>
        <w:pStyle w:val="ListBullet"/>
      </w:pPr>
      <w:r>
        <w:t>Replacement fasteners and approved thermal materials.</w:t>
      </w:r>
    </w:p>
    <w:p>
      <w:pPr>
        <w:pStyle w:val="ListBullet"/>
      </w:pPr>
      <w:r>
        <w:t>Diagnostic or recovery media.</w:t>
      </w:r>
    </w:p>
    <w:p>
      <w:pPr>
        <w:pStyle w:val="ListBullet"/>
      </w:pPr>
      <w:r>
        <w:t>Approved backup storage.</w:t>
      </w:r>
    </w:p>
    <w:p>
      <w:pPr>
        <w:pStyle w:val="ListBullet"/>
      </w:pPr>
      <w:r>
        <w:t>Required drivers and configuration utilities.</w:t>
      </w:r>
    </w:p>
    <w:p>
      <w:r>
        <w:t>Use the specified ESD precautions when handling sensitive electronics. Disconnect and verify energy isolation as required by the equipment procedure.</w:t>
      </w:r>
    </w:p>
    <w:p>
      <w:pPr>
        <w:pStyle w:val="Heading2"/>
      </w:pPr>
      <w:r>
        <w:t>7. Safe Removal and Installation</w:t>
      </w:r>
    </w:p>
    <w:p>
      <w:r>
        <w:t>The exact method depends on the IPC design and component.</w:t>
      </w:r>
    </w:p>
    <w:p>
      <w:pPr>
        <w:pStyle w:val="Heading3"/>
      </w:pPr>
      <w:r>
        <w:t>7.1 General replacement sequence</w:t>
      </w:r>
    </w:p>
    <w:p>
      <w:pPr>
        <w:tabs>
          <w:tab w:pos="403" w:val="left"/>
        </w:tabs>
        <w:spacing w:after="40" w:line="276" w:lineRule="auto"/>
        <w:ind w:left="403" w:hanging="403"/>
        <w:jc w:val="left"/>
      </w:pPr>
      <w:r>
        <w:rPr>
          <w:color w:val="1A2E4A"/>
        </w:rPr>
        <w:t>1.</w:t>
        <w:tab/>
      </w:r>
      <w:r>
        <w:t>Verify the machine and IPC identification.</w:t>
      </w:r>
    </w:p>
    <w:p>
      <w:pPr>
        <w:tabs>
          <w:tab w:pos="403" w:val="left"/>
        </w:tabs>
        <w:spacing w:after="40" w:line="276" w:lineRule="auto"/>
        <w:ind w:left="403" w:hanging="403"/>
        <w:jc w:val="left"/>
      </w:pPr>
      <w:r>
        <w:rPr>
          <w:color w:val="1A2E4A"/>
        </w:rPr>
        <w:t>2.</w:t>
        <w:tab/>
      </w:r>
      <w:r>
        <w:t>Confirm authorization and safe operating state.</w:t>
      </w:r>
    </w:p>
    <w:p>
      <w:pPr>
        <w:tabs>
          <w:tab w:pos="403" w:val="left"/>
        </w:tabs>
        <w:spacing w:after="40" w:line="276" w:lineRule="auto"/>
        <w:ind w:left="403" w:hanging="403"/>
        <w:jc w:val="left"/>
      </w:pPr>
      <w:r>
        <w:rPr>
          <w:color w:val="1A2E4A"/>
        </w:rPr>
        <w:t>3.</w:t>
        <w:tab/>
      </w:r>
      <w:r>
        <w:t>Shut down the operating system using the approved procedure.</w:t>
      </w:r>
    </w:p>
    <w:p>
      <w:pPr>
        <w:tabs>
          <w:tab w:pos="403" w:val="left"/>
        </w:tabs>
        <w:spacing w:after="40" w:line="276" w:lineRule="auto"/>
        <w:ind w:left="403" w:hanging="403"/>
        <w:jc w:val="left"/>
      </w:pPr>
      <w:r>
        <w:rPr>
          <w:color w:val="1A2E4A"/>
        </w:rPr>
        <w:t>4.</w:t>
        <w:tab/>
      </w:r>
      <w:r>
        <w:t>Isolate electrical power and any additional energy sources as required.</w:t>
      </w:r>
    </w:p>
    <w:p>
      <w:pPr>
        <w:tabs>
          <w:tab w:pos="403" w:val="left"/>
        </w:tabs>
        <w:spacing w:after="40" w:line="276" w:lineRule="auto"/>
        <w:ind w:left="403" w:hanging="403"/>
        <w:jc w:val="left"/>
      </w:pPr>
      <w:r>
        <w:rPr>
          <w:color w:val="1A2E4A"/>
        </w:rPr>
        <w:t>5.</w:t>
        <w:tab/>
      </w:r>
      <w:r>
        <w:t>Verify that the equipment is safe to access.</w:t>
      </w:r>
    </w:p>
    <w:p>
      <w:pPr>
        <w:tabs>
          <w:tab w:pos="403" w:val="left"/>
        </w:tabs>
        <w:spacing w:after="40" w:line="276" w:lineRule="auto"/>
        <w:ind w:left="403" w:hanging="403"/>
        <w:jc w:val="left"/>
      </w:pPr>
      <w:r>
        <w:rPr>
          <w:color w:val="1A2E4A"/>
        </w:rPr>
        <w:t>6.</w:t>
        <w:tab/>
      </w:r>
      <w:r>
        <w:t>Apply ESD protection where necessary.</w:t>
      </w:r>
    </w:p>
    <w:p>
      <w:pPr>
        <w:tabs>
          <w:tab w:pos="403" w:val="left"/>
        </w:tabs>
        <w:spacing w:after="40" w:line="276" w:lineRule="auto"/>
        <w:ind w:left="403" w:hanging="403"/>
        <w:jc w:val="left"/>
      </w:pPr>
      <w:r>
        <w:rPr>
          <w:color w:val="1A2E4A"/>
        </w:rPr>
        <w:t>7.</w:t>
        <w:tab/>
      </w:r>
      <w:r>
        <w:t>Label relevant cables and connectors before removal.</w:t>
      </w:r>
    </w:p>
    <w:p>
      <w:pPr>
        <w:tabs>
          <w:tab w:pos="403" w:val="left"/>
        </w:tabs>
        <w:spacing w:after="40" w:line="276" w:lineRule="auto"/>
        <w:ind w:left="403" w:hanging="403"/>
        <w:jc w:val="left"/>
      </w:pPr>
      <w:r>
        <w:rPr>
          <w:color w:val="1A2E4A"/>
        </w:rPr>
        <w:t>8.</w:t>
        <w:tab/>
      </w:r>
      <w:r>
        <w:t>Record the original component model and configuration.</w:t>
      </w:r>
    </w:p>
    <w:p>
      <w:pPr>
        <w:tabs>
          <w:tab w:pos="403" w:val="left"/>
        </w:tabs>
        <w:spacing w:after="40" w:line="276" w:lineRule="auto"/>
        <w:ind w:left="403" w:hanging="403"/>
        <w:jc w:val="left"/>
      </w:pPr>
      <w:r>
        <w:rPr>
          <w:color w:val="1A2E4A"/>
        </w:rPr>
        <w:t>9.</w:t>
        <w:tab/>
      </w:r>
      <w:r>
        <w:t>Remove the component according to the manufacturer's instructions.</w:t>
      </w:r>
    </w:p>
    <w:p>
      <w:pPr>
        <w:tabs>
          <w:tab w:pos="403" w:val="left"/>
        </w:tabs>
        <w:spacing w:after="40" w:line="276" w:lineRule="auto"/>
        <w:ind w:left="403" w:hanging="403"/>
        <w:jc w:val="left"/>
      </w:pPr>
      <w:r>
        <w:rPr>
          <w:color w:val="1A2E4A"/>
        </w:rPr>
        <w:t>10.</w:t>
        <w:tab/>
      </w:r>
      <w:r>
        <w:t>Inspect connectors, mounting points, cables, and nearby components.</w:t>
      </w:r>
    </w:p>
    <w:p>
      <w:pPr>
        <w:tabs>
          <w:tab w:pos="403" w:val="left"/>
        </w:tabs>
        <w:spacing w:after="40" w:line="276" w:lineRule="auto"/>
        <w:ind w:left="403" w:hanging="403"/>
        <w:jc w:val="left"/>
      </w:pPr>
      <w:r>
        <w:rPr>
          <w:color w:val="1A2E4A"/>
        </w:rPr>
        <w:t>11.</w:t>
        <w:tab/>
      </w:r>
      <w:r>
        <w:t>Install the approved replacement.</w:t>
      </w:r>
    </w:p>
    <w:p>
      <w:pPr>
        <w:tabs>
          <w:tab w:pos="403" w:val="left"/>
        </w:tabs>
        <w:spacing w:after="40" w:line="276" w:lineRule="auto"/>
        <w:ind w:left="403" w:hanging="403"/>
        <w:jc w:val="left"/>
      </w:pPr>
      <w:r>
        <w:rPr>
          <w:color w:val="1A2E4A"/>
        </w:rPr>
        <w:t>12.</w:t>
        <w:tab/>
      </w:r>
      <w:r>
        <w:t>Reconnect and secure all required connections.</w:t>
      </w:r>
    </w:p>
    <w:p>
      <w:pPr>
        <w:tabs>
          <w:tab w:pos="403" w:val="left"/>
        </w:tabs>
        <w:spacing w:after="40" w:line="276" w:lineRule="auto"/>
        <w:ind w:left="403" w:hanging="403"/>
        <w:jc w:val="left"/>
      </w:pPr>
      <w:r>
        <w:rPr>
          <w:color w:val="1A2E4A"/>
        </w:rPr>
        <w:t>13.</w:t>
        <w:tab/>
      </w:r>
      <w:r>
        <w:t>Inspect for loose hardware, trapped cables, or blocked airflow.</w:t>
      </w:r>
    </w:p>
    <w:p>
      <w:pPr>
        <w:tabs>
          <w:tab w:pos="403" w:val="left"/>
        </w:tabs>
        <w:spacing w:after="40" w:line="276" w:lineRule="auto"/>
        <w:ind w:left="403" w:hanging="403"/>
        <w:jc w:val="left"/>
      </w:pPr>
      <w:r>
        <w:rPr>
          <w:color w:val="1A2E4A"/>
        </w:rPr>
        <w:t>14.</w:t>
        <w:tab/>
      </w:r>
      <w:r>
        <w:t>Close the enclosure and restore power according to the approved procedure.</w:t>
      </w:r>
    </w:p>
    <w:p>
      <w:pPr>
        <w:tabs>
          <w:tab w:pos="403" w:val="left"/>
        </w:tabs>
        <w:spacing w:after="40" w:line="276" w:lineRule="auto"/>
        <w:ind w:left="403" w:hanging="403"/>
        <w:jc w:val="left"/>
      </w:pPr>
      <w:r>
        <w:rPr>
          <w:color w:val="1A2E4A"/>
        </w:rPr>
        <w:t>15.</w:t>
        <w:tab/>
      </w:r>
      <w:r>
        <w:t>Complete startup and functional validation.</w:t>
      </w:r>
    </w:p>
    <w:p>
      <w:r>
        <w:t>Some industrial PCs include internal power supplies or stored electrical energy. Follow the manufacturer's discharge and access requirements rather than assuming that a switched-off system is safe to open.</w:t>
      </w:r>
    </w:p>
    <w:p>
      <w:pPr>
        <w:pStyle w:val="Heading3"/>
      </w:pPr>
      <w:r>
        <w:t>7.2 Before energizing</w:t>
      </w:r>
    </w:p>
    <w:p>
      <w:r>
        <w:t>Check:</w:t>
      </w:r>
    </w:p>
    <w:p>
      <w:pPr>
        <w:pStyle w:val="ListBullet"/>
      </w:pPr>
      <w:r>
        <w:t>Correct component and orientation.</w:t>
      </w:r>
    </w:p>
    <w:p>
      <w:pPr>
        <w:pStyle w:val="ListBullet"/>
      </w:pPr>
      <w:r>
        <w:t>Connector seating and locking.</w:t>
      </w:r>
    </w:p>
    <w:p>
      <w:pPr>
        <w:pStyle w:val="ListBullet"/>
      </w:pPr>
      <w:r>
        <w:t>Cable polarity and pinout where applicable.</w:t>
      </w:r>
    </w:p>
    <w:p>
      <w:pPr>
        <w:pStyle w:val="ListBullet"/>
      </w:pPr>
      <w:r>
        <w:t>Fasteners and mechanical retention.</w:t>
      </w:r>
    </w:p>
    <w:p>
      <w:pPr>
        <w:pStyle w:val="ListBullet"/>
      </w:pPr>
      <w:r>
        <w:t>Cooling path and fan connections.</w:t>
      </w:r>
    </w:p>
    <w:p>
      <w:pPr>
        <w:pStyle w:val="ListBullet"/>
      </w:pPr>
      <w:r>
        <w:t>Protective earth and grounding.</w:t>
      </w:r>
    </w:p>
    <w:p>
      <w:pPr>
        <w:pStyle w:val="ListBullet"/>
      </w:pPr>
      <w:r>
        <w:t>Enclosure closure and environmental seals.</w:t>
      </w:r>
    </w:p>
    <w:p>
      <w:pPr>
        <w:pStyle w:val="ListBullet"/>
      </w:pPr>
      <w:r>
        <w:t>Absence of tools or loose hardware inside the enclosure.</w:t>
      </w:r>
    </w:p>
    <w:p>
      <w:pPr>
        <w:pStyle w:val="Heading2"/>
      </w:pPr>
      <w:r>
        <w:t>8. SSD/HDD Replacement</w:t>
      </w:r>
    </w:p>
    <w:p>
      <w:r>
        <w:t>Storage replacement is common because the drive contains the operating system, applications, configuration, and potentially local production data.</w:t>
      </w:r>
    </w:p>
    <w:p>
      <w:pPr>
        <w:pStyle w:val="Heading3"/>
      </w:pPr>
      <w:r>
        <w:t>8.1 Compatibility checks</w:t>
      </w:r>
    </w:p>
    <w:p>
      <w:r>
        <w:t>Verify:</w:t>
      </w:r>
    </w:p>
    <w:p>
      <w:pPr>
        <w:pStyle w:val="ListBullet"/>
      </w:pPr>
      <w:r>
        <w:t>Form factor, such as 2.5-inch or M.2.</w:t>
      </w:r>
    </w:p>
    <w:p>
      <w:pPr>
        <w:pStyle w:val="ListBullet"/>
      </w:pPr>
      <w:r>
        <w:t>Interface, such as SATA or NVMe.</w:t>
      </w:r>
    </w:p>
    <w:p>
      <w:pPr>
        <w:pStyle w:val="ListBullet"/>
      </w:pPr>
      <w:r>
        <w:t>Supported protocol and motherboard slot.</w:t>
      </w:r>
    </w:p>
    <w:p>
      <w:pPr>
        <w:pStyle w:val="ListBullet"/>
      </w:pPr>
      <w:r>
        <w:t>Physical keying and length for M.2 devices.</w:t>
      </w:r>
    </w:p>
    <w:p>
      <w:pPr>
        <w:pStyle w:val="ListBullet"/>
      </w:pPr>
      <w:r>
        <w:t>Capacity and imaging-tool requirements.</w:t>
      </w:r>
    </w:p>
    <w:p>
      <w:pPr>
        <w:pStyle w:val="ListBullet"/>
      </w:pPr>
      <w:r>
        <w:t>Endurance rating and workload suitability.</w:t>
      </w:r>
    </w:p>
    <w:p>
      <w:pPr>
        <w:pStyle w:val="ListBullet"/>
      </w:pPr>
      <w:r>
        <w:t>Temperature rating.</w:t>
      </w:r>
    </w:p>
    <w:p>
      <w:pPr>
        <w:pStyle w:val="ListBullet"/>
      </w:pPr>
      <w:r>
        <w:t>Power and thermal requirements.</w:t>
      </w:r>
    </w:p>
    <w:p>
      <w:pPr>
        <w:pStyle w:val="ListBullet"/>
      </w:pPr>
      <w:r>
        <w:t>Vendor support and availability.</w:t>
      </w:r>
    </w:p>
    <w:p>
      <w:r>
        <w:t>An M.2 connector does not guarantee NVMe support. Some M.2 devices use SATA, while others use PCIe/NVMe. Confirm the motherboard's actual capabilities.</w:t>
      </w:r>
    </w:p>
    <w:p>
      <w:pPr>
        <w:pStyle w:val="Heading3"/>
      </w:pPr>
      <w:r>
        <w:t>8.2 Replacement options</w:t>
      </w:r>
    </w:p>
    <w:p>
      <w:r>
        <w:t>Option A: Restore a verified image</w:t>
      </w:r>
    </w:p>
    <w:p>
      <w:pPr>
        <w:pStyle w:val="ListBullet"/>
      </w:pPr>
      <w:r>
        <w:t>Install the compatible replacement drive.</w:t>
      </w:r>
    </w:p>
    <w:p>
      <w:pPr>
        <w:pStyle w:val="ListBullet"/>
      </w:pPr>
      <w:r>
        <w:t>Boot from approved recovery media.</w:t>
      </w:r>
    </w:p>
    <w:p>
      <w:pPr>
        <w:pStyle w:val="ListBullet"/>
      </w:pPr>
      <w:r>
        <w:t>Restore the image and required partitions.</w:t>
      </w:r>
    </w:p>
    <w:p>
      <w:pPr>
        <w:pStyle w:val="ListBullet"/>
      </w:pPr>
      <w:r>
        <w:t>Verify boot configuration.</w:t>
      </w:r>
    </w:p>
    <w:p>
      <w:pPr>
        <w:pStyle w:val="ListBullet"/>
      </w:pPr>
      <w:r>
        <w:t>Validate applications and machine connectivity.</w:t>
      </w:r>
    </w:p>
    <w:p>
      <w:r>
        <w:t>Option B: Clone the original drive</w:t>
      </w:r>
    </w:p>
    <w:p>
      <w:r>
        <w:t>Use cloning only when the original drive remains readable and the procedure is approved. Confirm the source and destination carefully because cloning may overwrite the destination.</w:t>
      </w:r>
    </w:p>
    <w:p>
      <w:r>
        <w:t>Option C: Rebuild the system</w:t>
      </w:r>
    </w:p>
    <w:p>
      <w:r>
        <w:t>If no suitable image exists, reinstall the supported OS, required drivers, runtime libraries, industrial applications, configuration, and licensing components according to the approved rebuild plan.</w:t>
      </w:r>
    </w:p>
    <w:p>
      <w:pPr>
        <w:pStyle w:val="Heading3"/>
      </w:pPr>
      <w:r>
        <w:t>8.3 Storage replacement validation</w:t>
      </w:r>
    </w:p>
    <w:p>
      <w:pPr>
        <w:pStyle w:val="ListBullet"/>
      </w:pPr>
      <w:r>
        <w:t>Confirm firmware detects the drive.</w:t>
      </w:r>
    </w:p>
    <w:p>
      <w:pPr>
        <w:pStyle w:val="ListBullet"/>
      </w:pPr>
      <w:r>
        <w:t>Verify correct boot order and mode.</w:t>
      </w:r>
    </w:p>
    <w:p>
      <w:pPr>
        <w:pStyle w:val="ListBullet"/>
      </w:pPr>
      <w:r>
        <w:t>Check operating-system startup.</w:t>
      </w:r>
    </w:p>
    <w:p>
      <w:pPr>
        <w:pStyle w:val="ListBullet"/>
      </w:pPr>
      <w:r>
        <w:t>Inspect storage health and event logs.</w:t>
      </w:r>
    </w:p>
    <w:p>
      <w:pPr>
        <w:pStyle w:val="ListBullet"/>
      </w:pPr>
      <w:r>
        <w:t>Confirm application startup and configuration.</w:t>
      </w:r>
    </w:p>
    <w:p>
      <w:pPr>
        <w:pStyle w:val="ListBullet"/>
      </w:pPr>
      <w:r>
        <w:t>Verify license status.</w:t>
      </w:r>
    </w:p>
    <w:p>
      <w:pPr>
        <w:pStyle w:val="ListBullet"/>
      </w:pPr>
      <w:r>
        <w:t>Check PLC/CNC communication and data logging.</w:t>
      </w:r>
    </w:p>
    <w:p>
      <w:pPr>
        <w:pStyle w:val="ListBullet"/>
      </w:pPr>
      <w:r>
        <w:t>Recover any newer data not present in the image.</w:t>
      </w:r>
    </w:p>
    <w:p>
      <w:r>
        <w:t>Do not discard the original drive until the recovery has been validated and any required data-preservation process is complete.</w:t>
      </w:r>
    </w:p>
    <w:p>
      <w:pPr>
        <w:pStyle w:val="Heading2"/>
      </w:pPr>
      <w:r>
        <w:t>9. RAM Replacement</w:t>
      </w:r>
    </w:p>
    <w:p>
      <w:r>
        <w:t>RAM faults can cause intermittent crashes, application failures, boot errors, and data corruption.</w:t>
      </w:r>
    </w:p>
    <w:p>
      <w:pPr>
        <w:pStyle w:val="Heading3"/>
      </w:pPr>
      <w:r>
        <w:t>9.1 Compatibility requirements</w:t>
      </w:r>
    </w:p>
    <w:p>
      <w:r>
        <w:t>Verify:</w:t>
      </w:r>
    </w:p>
    <w:p>
      <w:pPr>
        <w:pStyle w:val="ListBullet"/>
      </w:pPr>
      <w:r>
        <w:t>DDR generation.</w:t>
      </w:r>
    </w:p>
    <w:p>
      <w:pPr>
        <w:pStyle w:val="ListBullet"/>
      </w:pPr>
      <w:r>
        <w:t>Module type, such as UDIMM, SO-DIMM, or ECC RDIMM where applicable.</w:t>
      </w:r>
    </w:p>
    <w:p>
      <w:pPr>
        <w:pStyle w:val="ListBullet"/>
      </w:pPr>
      <w:r>
        <w:t>Supported capacity per module and total capacity.</w:t>
      </w:r>
    </w:p>
    <w:p>
      <w:pPr>
        <w:pStyle w:val="ListBullet"/>
      </w:pPr>
      <w:r>
        <w:t>Supported speed.</w:t>
      </w:r>
    </w:p>
    <w:p>
      <w:pPr>
        <w:pStyle w:val="ListBullet"/>
      </w:pPr>
      <w:r>
        <w:t>Voltage requirements.</w:t>
      </w:r>
    </w:p>
    <w:p>
      <w:pPr>
        <w:pStyle w:val="ListBullet"/>
      </w:pPr>
      <w:r>
        <w:t>ECC support and compatibility.</w:t>
      </w:r>
    </w:p>
    <w:p>
      <w:pPr>
        <w:pStyle w:val="ListBullet"/>
      </w:pPr>
      <w:r>
        <w:t>Number of available slots.</w:t>
      </w:r>
    </w:p>
    <w:p>
      <w:pPr>
        <w:pStyle w:val="ListBullet"/>
      </w:pPr>
      <w:r>
        <w:t>Approved slot population sequence.</w:t>
      </w:r>
    </w:p>
    <w:p>
      <w:r>
        <w:t>Physical similarity does not guarantee compatibility. The motherboard, CPU, firmware, and module type must support the selected memory.</w:t>
      </w:r>
    </w:p>
    <w:p>
      <w:pPr>
        <w:pStyle w:val="Heading3"/>
      </w:pPr>
      <w:r>
        <w:t>9.2 Diagnostic procedure</w:t>
      </w:r>
    </w:p>
    <w:p>
      <w:pPr>
        <w:tabs>
          <w:tab w:pos="403" w:val="left"/>
        </w:tabs>
        <w:spacing w:after="40" w:line="276" w:lineRule="auto"/>
        <w:ind w:left="403" w:hanging="403"/>
        <w:jc w:val="left"/>
      </w:pPr>
      <w:r>
        <w:rPr>
          <w:color w:val="1A2E4A"/>
        </w:rPr>
        <w:t>1.</w:t>
        <w:tab/>
      </w:r>
      <w:r>
        <w:t>Review memory-related errors and symptoms.</w:t>
      </w:r>
    </w:p>
    <w:p>
      <w:pPr>
        <w:tabs>
          <w:tab w:pos="403" w:val="left"/>
        </w:tabs>
        <w:spacing w:after="40" w:line="276" w:lineRule="auto"/>
        <w:ind w:left="403" w:hanging="403"/>
        <w:jc w:val="left"/>
      </w:pPr>
      <w:r>
        <w:rPr>
          <w:color w:val="1A2E4A"/>
        </w:rPr>
        <w:t>2.</w:t>
        <w:tab/>
      </w:r>
      <w:r>
        <w:t>Run approved memory diagnostics.</w:t>
      </w:r>
    </w:p>
    <w:p>
      <w:pPr>
        <w:tabs>
          <w:tab w:pos="403" w:val="left"/>
        </w:tabs>
        <w:spacing w:after="40" w:line="276" w:lineRule="auto"/>
        <w:ind w:left="403" w:hanging="403"/>
        <w:jc w:val="left"/>
      </w:pPr>
      <w:r>
        <w:rPr>
          <w:color w:val="1A2E4A"/>
        </w:rPr>
        <w:t>3.</w:t>
        <w:tab/>
      </w:r>
      <w:r>
        <w:t>Verify the installed module part numbers.</w:t>
      </w:r>
    </w:p>
    <w:p>
      <w:pPr>
        <w:tabs>
          <w:tab w:pos="403" w:val="left"/>
        </w:tabs>
        <w:spacing w:after="40" w:line="276" w:lineRule="auto"/>
        <w:ind w:left="403" w:hanging="403"/>
        <w:jc w:val="left"/>
      </w:pPr>
      <w:r>
        <w:rPr>
          <w:color w:val="1A2E4A"/>
        </w:rPr>
        <w:t>4.</w:t>
        <w:tab/>
      </w:r>
      <w:r>
        <w:t>Follow the manufacturer's procedure for reseating or replacing modules.</w:t>
      </w:r>
    </w:p>
    <w:p>
      <w:pPr>
        <w:tabs>
          <w:tab w:pos="403" w:val="left"/>
        </w:tabs>
        <w:spacing w:after="40" w:line="276" w:lineRule="auto"/>
        <w:ind w:left="403" w:hanging="403"/>
        <w:jc w:val="left"/>
      </w:pPr>
      <w:r>
        <w:rPr>
          <w:color w:val="1A2E4A"/>
        </w:rPr>
        <w:t>5.</w:t>
        <w:tab/>
      </w:r>
      <w:r>
        <w:t>Test the system using the approved diagnostic method.</w:t>
      </w:r>
    </w:p>
    <w:p>
      <w:pPr>
        <w:tabs>
          <w:tab w:pos="403" w:val="left"/>
        </w:tabs>
        <w:spacing w:after="40" w:line="276" w:lineRule="auto"/>
        <w:ind w:left="403" w:hanging="403"/>
        <w:jc w:val="left"/>
      </w:pPr>
      <w:r>
        <w:rPr>
          <w:color w:val="1A2E4A"/>
        </w:rPr>
        <w:t>6.</w:t>
        <w:tab/>
      </w:r>
      <w:r>
        <w:t>Confirm that Windows reports the expected capacity.</w:t>
      </w:r>
    </w:p>
    <w:p>
      <w:pPr>
        <w:tabs>
          <w:tab w:pos="403" w:val="left"/>
        </w:tabs>
        <w:spacing w:after="40" w:line="276" w:lineRule="auto"/>
        <w:ind w:left="403" w:hanging="403"/>
        <w:jc w:val="left"/>
      </w:pPr>
      <w:r>
        <w:rPr>
          <w:color w:val="1A2E4A"/>
        </w:rPr>
        <w:t>7.</w:t>
        <w:tab/>
      </w:r>
      <w:r>
        <w:t>Run application-level and operational validation.</w:t>
      </w:r>
    </w:p>
    <w:p>
      <w:r>
        <w:t>Do not replace RAM solely because an application crashes. Storage faults, overheating, power instability, driver errors, and software defects can produce similar symptoms.</w:t>
      </w:r>
    </w:p>
    <w:p>
      <w:pPr>
        <w:pStyle w:val="Heading2"/>
      </w:pPr>
      <w:r>
        <w:t>10. Power Supply and Cooling Replacement</w:t>
      </w:r>
    </w:p>
    <w:p>
      <w:r>
        <w:t>Power and thermal faults can create symptoms that resemble software instability.</w:t>
      </w:r>
    </w:p>
    <w:p>
      <w:pPr>
        <w:pStyle w:val="Heading3"/>
      </w:pPr>
      <w:r>
        <w:t>10.1 Power supply</w:t>
      </w:r>
    </w:p>
    <w:p>
      <w:r>
        <w:t>Confirm:</w:t>
      </w:r>
    </w:p>
    <w:p>
      <w:pPr>
        <w:pStyle w:val="ListBullet"/>
      </w:pPr>
      <w:r>
        <w:t>Correct input-voltage range.</w:t>
      </w:r>
    </w:p>
    <w:p>
      <w:pPr>
        <w:pStyle w:val="ListBullet"/>
      </w:pPr>
      <w:r>
        <w:t>Required output voltages.</w:t>
      </w:r>
    </w:p>
    <w:p>
      <w:pPr>
        <w:pStyle w:val="ListBullet"/>
      </w:pPr>
      <w:r>
        <w:t>Current and total power capacity.</w:t>
      </w:r>
    </w:p>
    <w:p>
      <w:pPr>
        <w:pStyle w:val="ListBullet"/>
      </w:pPr>
      <w:r>
        <w:t>Connector and pinout compatibility.</w:t>
      </w:r>
    </w:p>
    <w:p>
      <w:pPr>
        <w:pStyle w:val="ListBullet"/>
      </w:pPr>
      <w:r>
        <w:t>Grounding and protective features.</w:t>
      </w:r>
    </w:p>
    <w:p>
      <w:pPr>
        <w:pStyle w:val="ListBullet"/>
      </w:pPr>
      <w:r>
        <w:t>Environmental ratings.</w:t>
      </w:r>
    </w:p>
    <w:p>
      <w:pPr>
        <w:pStyle w:val="ListBullet"/>
      </w:pPr>
      <w:r>
        <w:t>Manufacturer approval for the IPC.</w:t>
      </w:r>
    </w:p>
    <w:p>
      <w:r>
        <w:t>A supply with adequate nominal wattage may still be unsuitable if its output quality, connectors, transient response, or environmental rating is incompatible.</w:t>
      </w:r>
    </w:p>
    <w:p>
      <w:r>
        <w:t>For systems using external DC supplies, verify the required polarity and voltage at the specified measurement point using approved electrical procedures.</w:t>
      </w:r>
    </w:p>
    <w:p>
      <w:pPr>
        <w:pStyle w:val="Heading3"/>
      </w:pPr>
      <w:r>
        <w:t>10.2 Cooling components</w:t>
      </w:r>
    </w:p>
    <w:p>
      <w:r>
        <w:t>Check:</w:t>
      </w:r>
    </w:p>
    <w:p>
      <w:pPr>
        <w:pStyle w:val="ListBullet"/>
      </w:pPr>
      <w:r>
        <w:t>Fan dimensions and mounting.</w:t>
      </w:r>
    </w:p>
    <w:p>
      <w:pPr>
        <w:pStyle w:val="ListBullet"/>
      </w:pPr>
      <w:r>
        <w:t>Supply voltage and current.</w:t>
      </w:r>
    </w:p>
    <w:p>
      <w:pPr>
        <w:pStyle w:val="ListBullet"/>
      </w:pPr>
      <w:r>
        <w:t>Airflow and static-pressure requirements.</w:t>
      </w:r>
    </w:p>
    <w:p>
      <w:pPr>
        <w:pStyle w:val="ListBullet"/>
      </w:pPr>
      <w:r>
        <w:t>Connector and tachometer support.</w:t>
      </w:r>
    </w:p>
    <w:p>
      <w:pPr>
        <w:pStyle w:val="ListBullet"/>
      </w:pPr>
      <w:r>
        <w:t>Temperature sensors.</w:t>
      </w:r>
    </w:p>
    <w:p>
      <w:pPr>
        <w:pStyle w:val="ListBullet"/>
      </w:pPr>
      <w:r>
        <w:t>Airflow direction.</w:t>
      </w:r>
    </w:p>
    <w:p>
      <w:pPr>
        <w:pStyle w:val="ListBullet"/>
      </w:pPr>
      <w:r>
        <w:t>Dust filters and heatsink condition.</w:t>
      </w:r>
    </w:p>
    <w:p>
      <w:r>
        <w:t>After replacement, verify that the fan operates as expected and that temperatures remain within manufacturer limits under the required operating conditions.</w:t>
      </w:r>
    </w:p>
    <w:p>
      <w:pPr>
        <w:pStyle w:val="Heading2"/>
      </w:pPr>
      <w:r>
        <w:t>11. Network Adapter and Communication Hardware Replacement</w:t>
      </w:r>
    </w:p>
    <w:p>
      <w:r>
        <w:t>Industrial communication hardware may include Ethernet adapters, serial cards, USB-to-serial converters, fieldbus cards, and vendor-specific interface modules.</w:t>
      </w:r>
    </w:p>
    <w:p>
      <w:r>
        <w:t>A replacement may affect more than physical connectivity.</w:t>
      </w:r>
    </w:p>
    <w:p>
      <w:r>
        <w:t>Potential impacts include:</w:t>
      </w:r>
    </w:p>
    <w:p>
      <w:pPr>
        <w:pStyle w:val="ListBullet"/>
      </w:pPr>
      <w:r>
        <w:t>Changed MAC address.</w:t>
      </w:r>
    </w:p>
    <w:p>
      <w:pPr>
        <w:pStyle w:val="ListBullet"/>
      </w:pPr>
      <w:r>
        <w:t>Changed Windows adapter name.</w:t>
      </w:r>
    </w:p>
    <w:p>
      <w:pPr>
        <w:pStyle w:val="ListBullet"/>
      </w:pPr>
      <w:r>
        <w:t>New driver version.</w:t>
      </w:r>
    </w:p>
    <w:p>
      <w:pPr>
        <w:pStyle w:val="ListBullet"/>
      </w:pPr>
      <w:r>
        <w:t>Different COM-port number.</w:t>
      </w:r>
    </w:p>
    <w:p>
      <w:pPr>
        <w:pStyle w:val="ListBullet"/>
      </w:pPr>
      <w:r>
        <w:t>Changed adapter ordering.</w:t>
      </w:r>
    </w:p>
    <w:p>
      <w:pPr>
        <w:pStyle w:val="ListBullet"/>
      </w:pPr>
      <w:r>
        <w:t>Different interface binding.</w:t>
      </w:r>
    </w:p>
    <w:p>
      <w:pPr>
        <w:pStyle w:val="ListBullet"/>
      </w:pPr>
      <w:r>
        <w:t>Modified routing or firewall behavior.</w:t>
      </w:r>
    </w:p>
    <w:p>
      <w:pPr>
        <w:pStyle w:val="ListBullet"/>
      </w:pPr>
      <w:r>
        <w:t>Loss of a hardware-specific license binding.</w:t>
      </w:r>
    </w:p>
    <w:p>
      <w:pPr>
        <w:pStyle w:val="ListBullet"/>
      </w:pPr>
      <w:r>
        <w:t>Changed communication performance or timing.</w:t>
      </w:r>
    </w:p>
    <w:p>
      <w:pPr>
        <w:pStyle w:val="Heading3"/>
      </w:pPr>
      <w:r>
        <w:t>11.1 Ethernet adapter replacement</w:t>
      </w:r>
    </w:p>
    <w:p>
      <w:r>
        <w:t>Before removal, record:</w:t>
      </w:r>
    </w:p>
    <w:p>
      <w:pPr>
        <w:pStyle w:val="ListBullet"/>
      </w:pPr>
      <w:r>
        <w:t>Adapter model and driver version.</w:t>
      </w:r>
    </w:p>
    <w:p>
      <w:pPr>
        <w:pStyle w:val="ListBullet"/>
      </w:pPr>
      <w:r>
        <w:t>MAC address.</w:t>
      </w:r>
    </w:p>
    <w:p>
      <w:pPr>
        <w:pStyle w:val="ListBullet"/>
      </w:pPr>
      <w:r>
        <w:t>IP address and subnet.</w:t>
      </w:r>
    </w:p>
    <w:p>
      <w:pPr>
        <w:pStyle w:val="ListBullet"/>
      </w:pPr>
      <w:r>
        <w:t>Gateway and DNS settings where applicable.</w:t>
      </w:r>
    </w:p>
    <w:p>
      <w:pPr>
        <w:pStyle w:val="ListBullet"/>
      </w:pPr>
      <w:r>
        <w:t>VLAN or port-security requirements.</w:t>
      </w:r>
    </w:p>
    <w:p>
      <w:pPr>
        <w:pStyle w:val="ListBullet"/>
      </w:pPr>
      <w:r>
        <w:t>Redundancy configuration.</w:t>
      </w:r>
    </w:p>
    <w:p>
      <w:pPr>
        <w:pStyle w:val="ListBullet"/>
      </w:pPr>
      <w:r>
        <w:t>Application-specific interface selection.</w:t>
      </w:r>
    </w:p>
    <w:p>
      <w:r>
        <w:t>After replacement, verify the adapter driver, approved network configuration, connectivity, and application communication.</w:t>
      </w:r>
    </w:p>
    <w:p>
      <w:r>
        <w:t>Do not assign an old static IP address to the new adapter without confirming that the original interface is no longer active on the same network. Duplicate IP addresses can disrupt other devices.</w:t>
      </w:r>
    </w:p>
    <w:p>
      <w:pPr>
        <w:pStyle w:val="Heading3"/>
      </w:pPr>
      <w:r>
        <w:t>11.2 Serial interface replacement</w:t>
      </w:r>
    </w:p>
    <w:p>
      <w:r>
        <w:t>Record:</w:t>
      </w:r>
    </w:p>
    <w:p>
      <w:pPr>
        <w:pStyle w:val="ListBullet"/>
      </w:pPr>
      <w:r>
        <w:t>Electrical interface: RS-232, RS-422, or RS-485.</w:t>
      </w:r>
    </w:p>
    <w:p>
      <w:pPr>
        <w:pStyle w:val="ListBullet"/>
      </w:pPr>
      <w:r>
        <w:t>Connector pinout.</w:t>
      </w:r>
    </w:p>
    <w:p>
      <w:pPr>
        <w:pStyle w:val="ListBullet"/>
      </w:pPr>
      <w:r>
        <w:t>Baud rate.</w:t>
      </w:r>
    </w:p>
    <w:p>
      <w:pPr>
        <w:pStyle w:val="ListBullet"/>
      </w:pPr>
      <w:r>
        <w:t>Data bits, parity, and stop bits.</w:t>
      </w:r>
    </w:p>
    <w:p>
      <w:pPr>
        <w:pStyle w:val="ListBullet"/>
      </w:pPr>
      <w:r>
        <w:t>Flow-control settings.</w:t>
      </w:r>
    </w:p>
    <w:p>
      <w:pPr>
        <w:pStyle w:val="ListBullet"/>
      </w:pPr>
      <w:r>
        <w:t>COM-port assignment.</w:t>
      </w:r>
    </w:p>
    <w:p>
      <w:pPr>
        <w:pStyle w:val="ListBullet"/>
      </w:pPr>
      <w:r>
        <w:t>Isolation requirements.</w:t>
      </w:r>
    </w:p>
    <w:p>
      <w:pPr>
        <w:pStyle w:val="ListBullet"/>
      </w:pPr>
      <w:r>
        <w:t>Device-specific termination and biasing requirements.</w:t>
      </w:r>
    </w:p>
    <w:p>
      <w:r>
        <w:t>Two serial adapters may use the same connector but different electrical standards or pin assignments. Confirm the wiring and electrical interface before connecting the replacement.</w:t>
      </w:r>
    </w:p>
    <w:p>
      <w:pPr>
        <w:pStyle w:val="Heading2"/>
      </w:pPr>
      <w:r>
        <w:t>12. Motherboard or Complete IPC Replacement</w:t>
      </w:r>
    </w:p>
    <w:p>
      <w:r>
        <w:t>Motherboard and complete IPC replacements have a wider impact than replacing a single peripheral.</w:t>
      </w:r>
    </w:p>
    <w:p>
      <w:pPr>
        <w:pStyle w:val="Heading3"/>
      </w:pPr>
      <w:r>
        <w:t>12.1 Compatibility review</w:t>
      </w:r>
    </w:p>
    <w:p>
      <w:r>
        <w:t>Evaluate:</w:t>
      </w:r>
    </w:p>
    <w:p>
      <w:pPr>
        <w:pStyle w:val="ListBullet"/>
      </w:pPr>
      <w:r>
        <w:t>CPU and memory support.</w:t>
      </w:r>
    </w:p>
    <w:p>
      <w:pPr>
        <w:pStyle w:val="ListBullet"/>
      </w:pPr>
      <w:r>
        <w:t>Storage interface.</w:t>
      </w:r>
    </w:p>
    <w:p>
      <w:pPr>
        <w:pStyle w:val="ListBullet"/>
      </w:pPr>
      <w:r>
        <w:t>Expansion slots and cards.</w:t>
      </w:r>
    </w:p>
    <w:p>
      <w:pPr>
        <w:pStyle w:val="ListBullet"/>
      </w:pPr>
      <w:r>
        <w:t>Firmware and boot mode.</w:t>
      </w:r>
    </w:p>
    <w:p>
      <w:pPr>
        <w:pStyle w:val="ListBullet"/>
      </w:pPr>
      <w:r>
        <w:t>Operating-system support.</w:t>
      </w:r>
    </w:p>
    <w:p>
      <w:pPr>
        <w:pStyle w:val="ListBullet"/>
      </w:pPr>
      <w:r>
        <w:t>Display and USB interfaces.</w:t>
      </w:r>
    </w:p>
    <w:p>
      <w:pPr>
        <w:pStyle w:val="ListBullet"/>
      </w:pPr>
      <w:r>
        <w:t>Ethernet and serial interfaces.</w:t>
      </w:r>
    </w:p>
    <w:p>
      <w:pPr>
        <w:pStyle w:val="ListBullet"/>
      </w:pPr>
      <w:r>
        <w:t>Industrial environment ratings.</w:t>
      </w:r>
    </w:p>
    <w:p>
      <w:pPr>
        <w:pStyle w:val="ListBullet"/>
      </w:pPr>
      <w:r>
        <w:t>Power and cooling requirements.</w:t>
      </w:r>
    </w:p>
    <w:p>
      <w:pPr>
        <w:pStyle w:val="ListBullet"/>
      </w:pPr>
      <w:r>
        <w:t>Mounting and enclosure dimensions.</w:t>
      </w:r>
    </w:p>
    <w:p>
      <w:pPr>
        <w:pStyle w:val="ListBullet"/>
      </w:pPr>
      <w:r>
        <w:t>Application and licensing compatibility.</w:t>
      </w:r>
    </w:p>
    <w:p>
      <w:pPr>
        <w:pStyle w:val="Heading3"/>
      </w:pPr>
      <w:r>
        <w:t>12.2 Migration considerations</w:t>
      </w:r>
    </w:p>
    <w:p>
      <w:r>
        <w:t>A new motherboard or IPC can change:</w:t>
      </w:r>
    </w:p>
    <w:p>
      <w:pPr>
        <w:pStyle w:val="ListBullet"/>
      </w:pPr>
      <w:r>
        <w:t>Hardware identifiers.</w:t>
      </w:r>
    </w:p>
    <w:p>
      <w:pPr>
        <w:pStyle w:val="ListBullet"/>
      </w:pPr>
      <w:r>
        <w:t>Device enumeration.</w:t>
      </w:r>
    </w:p>
    <w:p>
      <w:pPr>
        <w:pStyle w:val="ListBullet"/>
      </w:pPr>
      <w:r>
        <w:t>Windows activation state.</w:t>
      </w:r>
    </w:p>
    <w:p>
      <w:pPr>
        <w:pStyle w:val="ListBullet"/>
      </w:pPr>
      <w:r>
        <w:t>Driver requirements.</w:t>
      </w:r>
    </w:p>
    <w:p>
      <w:pPr>
        <w:pStyle w:val="ListBullet"/>
      </w:pPr>
      <w:r>
        <w:t>TPM-related configuration.</w:t>
      </w:r>
    </w:p>
    <w:p>
      <w:pPr>
        <w:pStyle w:val="ListBullet"/>
      </w:pPr>
      <w:r>
        <w:t>Secure Boot behavior.</w:t>
      </w:r>
    </w:p>
    <w:p>
      <w:pPr>
        <w:pStyle w:val="ListBullet"/>
      </w:pPr>
      <w:r>
        <w:t>Network adapter identity.</w:t>
      </w:r>
    </w:p>
    <w:p>
      <w:pPr>
        <w:pStyle w:val="ListBullet"/>
      </w:pPr>
      <w:r>
        <w:t>License activation.</w:t>
      </w:r>
    </w:p>
    <w:p>
      <w:pPr>
        <w:pStyle w:val="ListBullet"/>
      </w:pPr>
      <w:r>
        <w:t>USB dongle or serial-device assignments.</w:t>
      </w:r>
    </w:p>
    <w:p>
      <w:pPr>
        <w:pStyle w:val="ListBullet"/>
      </w:pPr>
      <w:r>
        <w:t>Application compatibility.</w:t>
      </w:r>
    </w:p>
    <w:p>
      <w:r>
        <w:t>A restored image may boot on replacement hardware but still require approved driver installation, configuration migration, or vendor-supported activation.</w:t>
      </w:r>
    </w:p>
    <w:p>
      <w:pPr>
        <w:pStyle w:val="Heading3"/>
      </w:pPr>
      <w:r>
        <w:t>12.3 Recommended migration strategy</w:t>
      </w:r>
    </w:p>
    <w:p>
      <w:pPr>
        <w:tabs>
          <w:tab w:pos="403" w:val="left"/>
        </w:tabs>
        <w:spacing w:after="40" w:line="276" w:lineRule="auto"/>
        <w:ind w:left="403" w:hanging="403"/>
        <w:jc w:val="left"/>
      </w:pPr>
      <w:r>
        <w:rPr>
          <w:color w:val="1A2E4A"/>
        </w:rPr>
        <w:t>1.</w:t>
        <w:tab/>
      </w:r>
      <w:r>
        <w:t>Inventory the existing IPC and installed hardware.</w:t>
      </w:r>
    </w:p>
    <w:p>
      <w:pPr>
        <w:tabs>
          <w:tab w:pos="403" w:val="left"/>
        </w:tabs>
        <w:spacing w:after="40" w:line="276" w:lineRule="auto"/>
        <w:ind w:left="403" w:hanging="403"/>
        <w:jc w:val="left"/>
      </w:pPr>
      <w:r>
        <w:rPr>
          <w:color w:val="1A2E4A"/>
        </w:rPr>
        <w:t>2.</w:t>
        <w:tab/>
      </w:r>
      <w:r>
        <w:t>Confirm the proposed replacement meets the required specifications.</w:t>
      </w:r>
    </w:p>
    <w:p>
      <w:pPr>
        <w:tabs>
          <w:tab w:pos="403" w:val="left"/>
        </w:tabs>
        <w:spacing w:after="40" w:line="276" w:lineRule="auto"/>
        <w:ind w:left="403" w:hanging="403"/>
        <w:jc w:val="left"/>
      </w:pPr>
      <w:r>
        <w:rPr>
          <w:color w:val="1A2E4A"/>
        </w:rPr>
        <w:t>3.</w:t>
        <w:tab/>
      </w:r>
      <w:r>
        <w:t>Verify operating-system and application support.</w:t>
      </w:r>
    </w:p>
    <w:p>
      <w:pPr>
        <w:tabs>
          <w:tab w:pos="403" w:val="left"/>
        </w:tabs>
        <w:spacing w:after="40" w:line="276" w:lineRule="auto"/>
        <w:ind w:left="403" w:hanging="403"/>
        <w:jc w:val="left"/>
      </w:pPr>
      <w:r>
        <w:rPr>
          <w:color w:val="1A2E4A"/>
        </w:rPr>
        <w:t>4.</w:t>
        <w:tab/>
      </w:r>
      <w:r>
        <w:t>Capture and verify the existing image and configuration.</w:t>
      </w:r>
    </w:p>
    <w:p>
      <w:pPr>
        <w:tabs>
          <w:tab w:pos="403" w:val="left"/>
        </w:tabs>
        <w:spacing w:after="40" w:line="276" w:lineRule="auto"/>
        <w:ind w:left="403" w:hanging="403"/>
        <w:jc w:val="left"/>
      </w:pPr>
      <w:r>
        <w:rPr>
          <w:color w:val="1A2E4A"/>
        </w:rPr>
        <w:t>5.</w:t>
        <w:tab/>
      </w:r>
      <w:r>
        <w:t>Obtain required drivers, installers, licenses, and recovery instructions.</w:t>
      </w:r>
    </w:p>
    <w:p>
      <w:pPr>
        <w:tabs>
          <w:tab w:pos="403" w:val="left"/>
        </w:tabs>
        <w:spacing w:after="40" w:line="276" w:lineRule="auto"/>
        <w:ind w:left="403" w:hanging="403"/>
        <w:jc w:val="left"/>
      </w:pPr>
      <w:r>
        <w:rPr>
          <w:color w:val="1A2E4A"/>
        </w:rPr>
        <w:t>6.</w:t>
        <w:tab/>
      </w:r>
      <w:r>
        <w:t>Install the replacement in the approved maintenance window.</w:t>
      </w:r>
    </w:p>
    <w:p>
      <w:pPr>
        <w:tabs>
          <w:tab w:pos="403" w:val="left"/>
        </w:tabs>
        <w:spacing w:after="40" w:line="276" w:lineRule="auto"/>
        <w:ind w:left="403" w:hanging="403"/>
        <w:jc w:val="left"/>
      </w:pPr>
      <w:r>
        <w:rPr>
          <w:color w:val="1A2E4A"/>
        </w:rPr>
        <w:t>7.</w:t>
        <w:tab/>
      </w:r>
      <w:r>
        <w:t>Restore or migrate the system using a supported method.</w:t>
      </w:r>
    </w:p>
    <w:p>
      <w:pPr>
        <w:tabs>
          <w:tab w:pos="403" w:val="left"/>
        </w:tabs>
        <w:spacing w:after="40" w:line="276" w:lineRule="auto"/>
        <w:ind w:left="403" w:hanging="403"/>
        <w:jc w:val="left"/>
      </w:pPr>
      <w:r>
        <w:rPr>
          <w:color w:val="1A2E4A"/>
        </w:rPr>
        <w:t>8.</w:t>
        <w:tab/>
      </w:r>
      <w:r>
        <w:t>Configure hardware-specific interfaces and machine identity.</w:t>
      </w:r>
    </w:p>
    <w:p>
      <w:pPr>
        <w:tabs>
          <w:tab w:pos="403" w:val="left"/>
        </w:tabs>
        <w:spacing w:after="40" w:line="276" w:lineRule="auto"/>
        <w:ind w:left="403" w:hanging="403"/>
        <w:jc w:val="left"/>
      </w:pPr>
      <w:r>
        <w:rPr>
          <w:color w:val="1A2E4A"/>
        </w:rPr>
        <w:t>9.</w:t>
        <w:tab/>
      </w:r>
      <w:r>
        <w:t>Validate industrial functions and security.</w:t>
      </w:r>
    </w:p>
    <w:p>
      <w:pPr>
        <w:tabs>
          <w:tab w:pos="403" w:val="left"/>
        </w:tabs>
        <w:spacing w:after="40" w:line="276" w:lineRule="auto"/>
        <w:ind w:left="403" w:hanging="403"/>
        <w:jc w:val="left"/>
      </w:pPr>
      <w:r>
        <w:rPr>
          <w:color w:val="1A2E4A"/>
        </w:rPr>
        <w:t>10.</w:t>
        <w:tab/>
      </w:r>
      <w:r>
        <w:t>Obtain approval before returning the system to production.</w:t>
      </w:r>
    </w:p>
    <w:p>
      <w:pPr>
        <w:pStyle w:val="Heading2"/>
      </w:pPr>
      <w:r>
        <w:t>13. Driver and Firmware Management After Replacement</w:t>
      </w:r>
    </w:p>
    <w:p>
      <w:r>
        <w:t>New hardware may require a different driver or firmware version.</w:t>
      </w:r>
    </w:p>
    <w:p>
      <w:pPr>
        <w:pStyle w:val="Heading3"/>
      </w:pPr>
      <w:r>
        <w:t>Driver considerations</w:t>
      </w:r>
    </w:p>
    <w:p>
      <w:pPr>
        <w:pStyle w:val="ListBullet"/>
      </w:pPr>
      <w:r>
        <w:t>Use the manufacturer's approved driver.</w:t>
      </w:r>
    </w:p>
    <w:p>
      <w:pPr>
        <w:pStyle w:val="ListBullet"/>
      </w:pPr>
      <w:r>
        <w:t>Confirm OS and hardware compatibility.</w:t>
      </w:r>
    </w:p>
    <w:p>
      <w:pPr>
        <w:pStyle w:val="ListBullet"/>
      </w:pPr>
      <w:r>
        <w:t>Check digital signatures where supported.</w:t>
      </w:r>
    </w:p>
    <w:p>
      <w:pPr>
        <w:pStyle w:val="ListBullet"/>
      </w:pPr>
      <w:r>
        <w:t>Record the installed version.</w:t>
      </w:r>
    </w:p>
    <w:p>
      <w:pPr>
        <w:pStyle w:val="ListBullet"/>
      </w:pPr>
      <w:r>
        <w:t>Avoid unnecessary driver updates during recovery.</w:t>
      </w:r>
    </w:p>
    <w:p>
      <w:pPr>
        <w:pStyle w:val="ListBullet"/>
      </w:pPr>
      <w:r>
        <w:t>Preserve a rollback option where supported.</w:t>
      </w:r>
    </w:p>
    <w:p>
      <w:pPr>
        <w:pStyle w:val="ListBullet"/>
      </w:pPr>
      <w:r>
        <w:t>Confirm that industrial applications still use the intended interface.</w:t>
      </w:r>
    </w:p>
    <w:p>
      <w:pPr>
        <w:pStyle w:val="Heading3"/>
      </w:pPr>
      <w:r>
        <w:t>Firmware considerations</w:t>
      </w:r>
    </w:p>
    <w:p>
      <w:r>
        <w:t>Firmware changes can affect boot behavior, storage recognition, hardware compatibility, and security settings.</w:t>
      </w:r>
    </w:p>
    <w:p>
      <w:r>
        <w:t>Before changing firmware:</w:t>
      </w:r>
    </w:p>
    <w:p>
      <w:pPr>
        <w:pStyle w:val="ListBullet"/>
      </w:pPr>
      <w:r>
        <w:t>Confirm the exact hardware model and revision.</w:t>
      </w:r>
    </w:p>
    <w:p>
      <w:pPr>
        <w:pStyle w:val="ListBullet"/>
      </w:pPr>
      <w:r>
        <w:t>Read the manufacturer's release notes.</w:t>
      </w:r>
    </w:p>
    <w:p>
      <w:pPr>
        <w:pStyle w:val="ListBullet"/>
      </w:pPr>
      <w:r>
        <w:t>Verify the required power stability and update procedure.</w:t>
      </w:r>
    </w:p>
    <w:p>
      <w:pPr>
        <w:pStyle w:val="ListBullet"/>
      </w:pPr>
      <w:r>
        <w:t>Record current settings.</w:t>
      </w:r>
    </w:p>
    <w:p>
      <w:pPr>
        <w:pStyle w:val="ListBullet"/>
      </w:pPr>
      <w:r>
        <w:t>Ensure the update is approved.</w:t>
      </w:r>
    </w:p>
    <w:p>
      <w:pPr>
        <w:pStyle w:val="ListBullet"/>
      </w:pPr>
      <w:r>
        <w:t>Confirm that recovery from a failed update is available.</w:t>
      </w:r>
    </w:p>
    <w:p>
      <w:r>
        <w:t>Do not update BIOS, controller firmware, or device firmware merely because a newer version exists. Apply changes only when justified by a compatibility requirement, approved corrective action, or documented need.</w:t>
      </w:r>
    </w:p>
    <w:p>
      <w:pPr>
        <w:pStyle w:val="Heading2"/>
      </w:pPr>
      <w:r>
        <w:t>14. Hardware Replacement and Licensing</w:t>
      </w:r>
    </w:p>
    <w:p>
      <w:r>
        <w:t>Licensing must be included in replacement planning.</w:t>
      </w:r>
    </w:p>
    <w:p>
      <w:r>
        <w:t>Some applications use local activation, a hardware dongle, a license server, or hardware-bound identifiers.</w:t>
      </w:r>
    </w:p>
    <w:p>
      <w:r>
        <w:t>Possible effects include:</w:t>
      </w:r>
    </w:p>
    <w:p>
      <w:pPr>
        <w:pStyle w:val="ListBullet"/>
      </w:pPr>
      <w:r>
        <w:t>Activation invalidated after motherboard replacement.</w:t>
      </w:r>
    </w:p>
    <w:p>
      <w:pPr>
        <w:pStyle w:val="ListBullet"/>
      </w:pPr>
      <w:r>
        <w:t>License server sees a different client identity.</w:t>
      </w:r>
    </w:p>
    <w:p>
      <w:pPr>
        <w:pStyle w:val="ListBullet"/>
      </w:pPr>
      <w:r>
        <w:t>USB dongle is not detected on the new system.</w:t>
      </w:r>
    </w:p>
    <w:p>
      <w:pPr>
        <w:pStyle w:val="ListBullet"/>
      </w:pPr>
      <w:r>
        <w:t>Application version no longer matches the license.</w:t>
      </w:r>
    </w:p>
    <w:p>
      <w:pPr>
        <w:pStyle w:val="ListBullet"/>
      </w:pPr>
      <w:r>
        <w:t>Vendor activation requires rehosting or reactivation.</w:t>
      </w:r>
    </w:p>
    <w:p>
      <w:r>
        <w:t>Before replacement, document the license type and approved recovery method. After installation, verify the required license features before functional testing.</w:t>
      </w:r>
    </w:p>
    <w:p>
      <w:r>
        <w:t>Never assume that copying a license file or restoring a disk image will automatically transfer a license legally or technically.</w:t>
      </w:r>
    </w:p>
    <w:p>
      <w:pPr>
        <w:pStyle w:val="Heading2"/>
      </w:pPr>
      <w:r>
        <w:t>15. Configuration Preservation and Change Control</w:t>
      </w:r>
    </w:p>
    <w:p>
      <w:r>
        <w:t>Hardware replacement can alter system configuration even when the operating system is unchanged.</w:t>
      </w:r>
    </w:p>
    <w:p>
      <w:r>
        <w:t>Record and verify:</w:t>
      </w:r>
    </w:p>
    <w:p>
      <w:pPr>
        <w:pStyle w:val="ListBullet"/>
      </w:pPr>
      <w:r>
        <w:t>IP addresses and adapter assignments.</w:t>
      </w:r>
    </w:p>
    <w:p>
      <w:pPr>
        <w:pStyle w:val="ListBullet"/>
      </w:pPr>
      <w:r>
        <w:t>COM-port numbers.</w:t>
      </w:r>
    </w:p>
    <w:p>
      <w:pPr>
        <w:pStyle w:val="ListBullet"/>
      </w:pPr>
      <w:r>
        <w:t>Device paths and driver mappings.</w:t>
      </w:r>
    </w:p>
    <w:p>
      <w:pPr>
        <w:pStyle w:val="ListBullet"/>
      </w:pPr>
      <w:r>
        <w:t>Application project selection.</w:t>
      </w:r>
    </w:p>
    <w:p>
      <w:pPr>
        <w:pStyle w:val="ListBullet"/>
      </w:pPr>
      <w:r>
        <w:t>Machine and line identifiers.</w:t>
      </w:r>
    </w:p>
    <w:p>
      <w:pPr>
        <w:pStyle w:val="ListBullet"/>
      </w:pPr>
      <w:r>
        <w:t>PLC/CNC communication paths.</w:t>
      </w:r>
    </w:p>
    <w:p>
      <w:pPr>
        <w:pStyle w:val="ListBullet"/>
      </w:pPr>
      <w:r>
        <w:t>Database endpoints.</w:t>
      </w:r>
    </w:p>
    <w:p>
      <w:pPr>
        <w:pStyle w:val="ListBullet"/>
      </w:pPr>
      <w:r>
        <w:t>Certificates and trust relationships.</w:t>
      </w:r>
    </w:p>
    <w:p>
      <w:pPr>
        <w:pStyle w:val="ListBullet"/>
      </w:pPr>
      <w:r>
        <w:t>BIOS/UEFI settings.</w:t>
      </w:r>
    </w:p>
    <w:p>
      <w:pPr>
        <w:pStyle w:val="ListBullet"/>
      </w:pPr>
      <w:r>
        <w:t>Application licenses.</w:t>
      </w:r>
    </w:p>
    <w:p>
      <w:pPr>
        <w:pStyle w:val="ListBullet"/>
      </w:pPr>
      <w:r>
        <w:t>Calibration and hardware-specific parameters.</w:t>
      </w:r>
    </w:p>
    <w:p>
      <w:r>
        <w:t>Maintain a before-and-after record. If the replacement introduces a fault, the record helps distinguish an installation issue from a pre-existing problem.</w:t>
      </w:r>
    </w:p>
    <w:p>
      <w:r>
        <w:t>A hardware change should have an identified reason, approved replacement part, implementation record, validation result, and rollback or contingency plan.</w:t>
      </w:r>
    </w:p>
    <w:p>
      <w:pPr>
        <w:pStyle w:val="Heading2"/>
      </w:pPr>
      <w:r>
        <w:t>16. Post-Replacement Testing</w:t>
      </w:r>
    </w:p>
    <w:p>
      <w:r>
        <w:t>Testing should cover hardware, OS, application, communication, and the actual production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level</w:t>
            </w:r>
          </w:p>
        </w:tc>
        <w:tc>
          <w:tcPr>
            <w:tcW w:type="dxa" w:w="3600"/>
            <w:shd w:val="clear" w:color="auto" w:fill="EEF2F7"/>
          </w:tcPr>
          <w:p>
            <w:pPr>
              <w:spacing w:after="0" w:before="0" w:line="240" w:lineRule="auto"/>
              <w:jc w:val="left"/>
            </w:pPr>
            <w:r>
              <w:rPr>
                <w:b/>
                <w:color w:val="1A2E4A"/>
              </w:rPr>
              <w:t>Example checks</w:t>
            </w:r>
          </w:p>
        </w:tc>
        <w:tc>
          <w:tcPr>
            <w:tcW w:type="dxa" w:w="3600"/>
            <w:shd w:val="clear" w:color="auto" w:fill="EEF2F7"/>
          </w:tcPr>
          <w:p>
            <w:pPr>
              <w:spacing w:after="0" w:before="0" w:line="240" w:lineRule="auto"/>
              <w:jc w:val="left"/>
            </w:pPr>
            <w:r>
              <w:rPr>
                <w:b/>
                <w:color w:val="1A2E4A"/>
              </w:rPr>
              <w:t>Acceptance condition</w:t>
            </w:r>
          </w:p>
        </w:tc>
      </w:tr>
      <w:tr>
        <w:tc>
          <w:tcPr>
            <w:tcW w:type="dxa" w:w="3600"/>
          </w:tcPr>
          <w:p>
            <w:pPr>
              <w:spacing w:after="0" w:before="0" w:line="240" w:lineRule="auto"/>
              <w:jc w:val="left"/>
            </w:pPr>
            <w:r>
              <w:t>Physical</w:t>
            </w:r>
          </w:p>
        </w:tc>
        <w:tc>
          <w:tcPr>
            <w:tcW w:type="dxa" w:w="3600"/>
          </w:tcPr>
          <w:p>
            <w:pPr>
              <w:spacing w:after="0" w:before="0" w:line="240" w:lineRule="auto"/>
              <w:jc w:val="left"/>
            </w:pPr>
            <w:r>
              <w:t>Mounting, connectors, cable security</w:t>
            </w:r>
          </w:p>
        </w:tc>
        <w:tc>
          <w:tcPr>
            <w:tcW w:type="dxa" w:w="3600"/>
          </w:tcPr>
          <w:p>
            <w:pPr>
              <w:spacing w:after="0" w:before="0" w:line="240" w:lineRule="auto"/>
              <w:jc w:val="left"/>
            </w:pPr>
            <w:r>
              <w:t>Correct installation and no visible damage</w:t>
            </w:r>
          </w:p>
        </w:tc>
      </w:tr>
      <w:tr>
        <w:tc>
          <w:tcPr>
            <w:tcW w:type="dxa" w:w="3600"/>
          </w:tcPr>
          <w:p>
            <w:pPr>
              <w:spacing w:after="0" w:before="0" w:line="240" w:lineRule="auto"/>
              <w:jc w:val="left"/>
            </w:pPr>
            <w:r>
              <w:t>Electrical</w:t>
            </w:r>
          </w:p>
        </w:tc>
        <w:tc>
          <w:tcPr>
            <w:tcW w:type="dxa" w:w="3600"/>
          </w:tcPr>
          <w:p>
            <w:pPr>
              <w:spacing w:after="0" w:before="0" w:line="240" w:lineRule="auto"/>
              <w:jc w:val="left"/>
            </w:pPr>
            <w:r>
              <w:t>Supply, grounding, required voltage</w:t>
            </w:r>
          </w:p>
        </w:tc>
        <w:tc>
          <w:tcPr>
            <w:tcW w:type="dxa" w:w="3600"/>
          </w:tcPr>
          <w:p>
            <w:pPr>
              <w:spacing w:after="0" w:before="0" w:line="240" w:lineRule="auto"/>
              <w:jc w:val="left"/>
            </w:pPr>
            <w:r>
              <w:t>Within approved specifications</w:t>
            </w:r>
          </w:p>
        </w:tc>
      </w:tr>
      <w:tr>
        <w:tc>
          <w:tcPr>
            <w:tcW w:type="dxa" w:w="3600"/>
          </w:tcPr>
          <w:p>
            <w:pPr>
              <w:spacing w:after="0" w:before="0" w:line="240" w:lineRule="auto"/>
              <w:jc w:val="left"/>
            </w:pPr>
            <w:r>
              <w:t>Firmware</w:t>
            </w:r>
          </w:p>
        </w:tc>
        <w:tc>
          <w:tcPr>
            <w:tcW w:type="dxa" w:w="3600"/>
          </w:tcPr>
          <w:p>
            <w:pPr>
              <w:spacing w:after="0" w:before="0" w:line="240" w:lineRule="auto"/>
              <w:jc w:val="left"/>
            </w:pPr>
            <w:r>
              <w:t>Device detection, boot configuration</w:t>
            </w:r>
          </w:p>
        </w:tc>
        <w:tc>
          <w:tcPr>
            <w:tcW w:type="dxa" w:w="3600"/>
          </w:tcPr>
          <w:p>
            <w:pPr>
              <w:spacing w:after="0" w:before="0" w:line="240" w:lineRule="auto"/>
              <w:jc w:val="left"/>
            </w:pPr>
            <w:r>
              <w:t>Hardware recognized correctly</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Startup, drivers, event logs</w:t>
            </w:r>
          </w:p>
        </w:tc>
        <w:tc>
          <w:tcPr>
            <w:tcW w:type="dxa" w:w="3600"/>
          </w:tcPr>
          <w:p>
            <w:pPr>
              <w:spacing w:after="0" w:before="0" w:line="240" w:lineRule="auto"/>
              <w:jc w:val="left"/>
            </w:pPr>
            <w:r>
              <w:t>No unresolved critical faults</w:t>
            </w:r>
          </w:p>
        </w:tc>
      </w:tr>
      <w:tr>
        <w:tc>
          <w:tcPr>
            <w:tcW w:type="dxa" w:w="3600"/>
          </w:tcPr>
          <w:p>
            <w:pPr>
              <w:spacing w:after="0" w:before="0" w:line="240" w:lineRule="auto"/>
              <w:jc w:val="left"/>
            </w:pPr>
            <w:r>
              <w:t>Application</w:t>
            </w:r>
          </w:p>
        </w:tc>
        <w:tc>
          <w:tcPr>
            <w:tcW w:type="dxa" w:w="3600"/>
          </w:tcPr>
          <w:p>
            <w:pPr>
              <w:spacing w:after="0" w:before="0" w:line="240" w:lineRule="auto"/>
              <w:jc w:val="left"/>
            </w:pPr>
            <w:r>
              <w:t>HMI/SCADA runtime and project</w:t>
            </w:r>
          </w:p>
        </w:tc>
        <w:tc>
          <w:tcPr>
            <w:tcW w:type="dxa" w:w="3600"/>
          </w:tcPr>
          <w:p>
            <w:pPr>
              <w:spacing w:after="0" w:before="0" w:line="240" w:lineRule="auto"/>
              <w:jc w:val="left"/>
            </w:pPr>
            <w:r>
              <w:t>Correct application launches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PLC, CNC, OPC, serial or Ethernet interface</w:t>
            </w:r>
          </w:p>
        </w:tc>
        <w:tc>
          <w:tcPr>
            <w:tcW w:type="dxa" w:w="3600"/>
          </w:tcPr>
          <w:p>
            <w:pPr>
              <w:spacing w:after="0" w:before="0" w:line="240" w:lineRule="auto"/>
              <w:jc w:val="left"/>
            </w:pPr>
            <w:r>
              <w:t>Required devices communicate correctly</w:t>
            </w:r>
          </w:p>
        </w:tc>
      </w:tr>
      <w:tr>
        <w:tc>
          <w:tcPr>
            <w:tcW w:type="dxa" w:w="3600"/>
          </w:tcPr>
          <w:p>
            <w:pPr>
              <w:spacing w:after="0" w:before="0" w:line="240" w:lineRule="auto"/>
              <w:jc w:val="left"/>
            </w:pPr>
            <w:r>
              <w:t>Data</w:t>
            </w:r>
          </w:p>
        </w:tc>
        <w:tc>
          <w:tcPr>
            <w:tcW w:type="dxa" w:w="3600"/>
          </w:tcPr>
          <w:p>
            <w:pPr>
              <w:spacing w:after="0" w:before="0" w:line="240" w:lineRule="auto"/>
              <w:jc w:val="left"/>
            </w:pPr>
            <w:r>
              <w:t>Database records and timestamps</w:t>
            </w:r>
          </w:p>
        </w:tc>
        <w:tc>
          <w:tcPr>
            <w:tcW w:type="dxa" w:w="3600"/>
          </w:tcPr>
          <w:p>
            <w:pPr>
              <w:spacing w:after="0" w:before="0" w:line="240" w:lineRule="auto"/>
              <w:jc w:val="left"/>
            </w:pPr>
            <w:r>
              <w:t>Correct current data is stored where required</w:t>
            </w:r>
          </w:p>
        </w:tc>
      </w:tr>
      <w:tr>
        <w:tc>
          <w:tcPr>
            <w:tcW w:type="dxa" w:w="3600"/>
          </w:tcPr>
          <w:p>
            <w:pPr>
              <w:spacing w:after="0" w:before="0" w:line="240" w:lineRule="auto"/>
              <w:jc w:val="left"/>
            </w:pPr>
            <w:r>
              <w:t>Security</w:t>
            </w:r>
          </w:p>
        </w:tc>
        <w:tc>
          <w:tcPr>
            <w:tcW w:type="dxa" w:w="3600"/>
          </w:tcPr>
          <w:p>
            <w:pPr>
              <w:spacing w:after="0" w:before="0" w:line="240" w:lineRule="auto"/>
              <w:jc w:val="left"/>
            </w:pPr>
            <w:r>
              <w:t>Certificates, permissions, firewall configuration</w:t>
            </w:r>
          </w:p>
        </w:tc>
        <w:tc>
          <w:tcPr>
            <w:tcW w:type="dxa" w:w="3600"/>
          </w:tcPr>
          <w:p>
            <w:pPr>
              <w:spacing w:after="0" w:before="0" w:line="240" w:lineRule="auto"/>
              <w:jc w:val="left"/>
            </w:pPr>
            <w:r>
              <w:t>Approved security configuration restored</w:t>
            </w:r>
          </w:p>
        </w:tc>
      </w:tr>
      <w:tr>
        <w:tc>
          <w:tcPr>
            <w:tcW w:type="dxa" w:w="3600"/>
          </w:tcPr>
          <w:p>
            <w:pPr>
              <w:spacing w:after="0" w:before="0" w:line="240" w:lineRule="auto"/>
              <w:jc w:val="left"/>
            </w:pPr>
            <w:r>
              <w:t>Operational</w:t>
            </w:r>
          </w:p>
        </w:tc>
        <w:tc>
          <w:tcPr>
            <w:tcW w:type="dxa" w:w="3600"/>
          </w:tcPr>
          <w:p>
            <w:pPr>
              <w:spacing w:after="0" w:before="0" w:line="240" w:lineRule="auto"/>
              <w:jc w:val="left"/>
            </w:pPr>
            <w:r>
              <w:t>Machine interface and required workflow</w:t>
            </w:r>
          </w:p>
        </w:tc>
        <w:tc>
          <w:tcPr>
            <w:tcW w:type="dxa" w:w="3600"/>
          </w:tcPr>
          <w:p>
            <w:pPr>
              <w:spacing w:after="0" w:before="0" w:line="240" w:lineRule="auto"/>
              <w:jc w:val="left"/>
            </w:pPr>
            <w:r>
              <w:t>Functions pass the approved test procedure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Asset, serial number, part number, test results</w:t>
            </w:r>
          </w:p>
        </w:tc>
        <w:tc>
          <w:tcPr>
            <w:tcW w:type="dxa" w:w="3600"/>
          </w:tcPr>
          <w:p>
            <w:pPr>
              <w:spacing w:after="0" w:before="0" w:line="240" w:lineRule="auto"/>
              <w:jc w:val="left"/>
            </w:pPr>
            <w:r>
              <w:t>Maintenance record updated</w:t>
            </w:r>
          </w:p>
        </w:tc>
      </w:tr>
    </w:tbl>
    <w:p/>
    <w:p>
      <w:r>
        <w:t>A replacement should not be considered complete simply because Windows starts or Device Manager shows no warning icons.</w:t>
      </w:r>
    </w:p>
    <w:p>
      <w:pPr>
        <w:pStyle w:val="Heading2"/>
      </w:pPr>
      <w:r>
        <w:t>17. Practical Case Study: SSD Replacement on an HMI IPC</w:t>
      </w:r>
    </w:p>
    <w:p>
      <w:r>
        <w:t>Situation: An HMI IPC fails to boot, and diagnostics indicate that the SSD is defective.</w:t>
      </w:r>
    </w:p>
    <w:p>
      <w:r>
        <w:t>Initial checks:</w:t>
      </w:r>
    </w:p>
    <w:p>
      <w:pPr>
        <w:pStyle w:val="ListBullet"/>
      </w:pPr>
      <w:r>
        <w:t>Confirm the storage failure using approved diagnostics.</w:t>
      </w:r>
    </w:p>
    <w:p>
      <w:pPr>
        <w:pStyle w:val="ListBullet"/>
      </w:pPr>
      <w:r>
        <w:t>Identify the original SSD interface, form factor, and capacity.</w:t>
      </w:r>
    </w:p>
    <w:p>
      <w:pPr>
        <w:pStyle w:val="ListBullet"/>
      </w:pPr>
      <w:r>
        <w:t>Verify the latest known-good image and separate data backups.</w:t>
      </w:r>
    </w:p>
    <w:p>
      <w:pPr>
        <w:pStyle w:val="ListBullet"/>
      </w:pPr>
      <w:r>
        <w:t>Record the operating-system boot mode and machine-specific configuration.</w:t>
      </w:r>
    </w:p>
    <w:p>
      <w:pPr>
        <w:pStyle w:val="ListBullet"/>
      </w:pPr>
      <w:r>
        <w:t>Confirm the recovery media and replacement drive are compatible.</w:t>
      </w:r>
    </w:p>
    <w:p>
      <w:r>
        <w:t>Replacement procedure:</w:t>
      </w:r>
    </w:p>
    <w:p>
      <w:pPr>
        <w:tabs>
          <w:tab w:pos="403" w:val="left"/>
        </w:tabs>
        <w:spacing w:after="40" w:line="276" w:lineRule="auto"/>
        <w:ind w:left="403" w:hanging="403"/>
        <w:jc w:val="left"/>
      </w:pPr>
      <w:r>
        <w:rPr>
          <w:color w:val="1A2E4A"/>
        </w:rPr>
        <w:t>1.</w:t>
        <w:tab/>
      </w:r>
      <w:r>
        <w:t>Obtain authorization and shut down the IPC according to the approved procedure.</w:t>
      </w:r>
    </w:p>
    <w:p>
      <w:pPr>
        <w:tabs>
          <w:tab w:pos="403" w:val="left"/>
        </w:tabs>
        <w:spacing w:after="40" w:line="276" w:lineRule="auto"/>
        <w:ind w:left="403" w:hanging="403"/>
        <w:jc w:val="left"/>
      </w:pPr>
      <w:r>
        <w:rPr>
          <w:color w:val="1A2E4A"/>
        </w:rPr>
        <w:t>2.</w:t>
        <w:tab/>
      </w:r>
      <w:r>
        <w:t>Isolate power and apply required ESD precautions.</w:t>
      </w:r>
    </w:p>
    <w:p>
      <w:pPr>
        <w:tabs>
          <w:tab w:pos="403" w:val="left"/>
        </w:tabs>
        <w:spacing w:after="40" w:line="276" w:lineRule="auto"/>
        <w:ind w:left="403" w:hanging="403"/>
        <w:jc w:val="left"/>
      </w:pPr>
      <w:r>
        <w:rPr>
          <w:color w:val="1A2E4A"/>
        </w:rPr>
        <w:t>3.</w:t>
        <w:tab/>
      </w:r>
      <w:r>
        <w:t>Label and disconnect relevant cables.</w:t>
      </w:r>
    </w:p>
    <w:p>
      <w:pPr>
        <w:tabs>
          <w:tab w:pos="403" w:val="left"/>
        </w:tabs>
        <w:spacing w:after="40" w:line="276" w:lineRule="auto"/>
        <w:ind w:left="403" w:hanging="403"/>
        <w:jc w:val="left"/>
      </w:pPr>
      <w:r>
        <w:rPr>
          <w:color w:val="1A2E4A"/>
        </w:rPr>
        <w:t>4.</w:t>
        <w:tab/>
      </w:r>
      <w:r>
        <w:t>Replace the failed SSD with an approved compatible drive.</w:t>
      </w:r>
    </w:p>
    <w:p>
      <w:pPr>
        <w:tabs>
          <w:tab w:pos="403" w:val="left"/>
        </w:tabs>
        <w:spacing w:after="40" w:line="276" w:lineRule="auto"/>
        <w:ind w:left="403" w:hanging="403"/>
        <w:jc w:val="left"/>
      </w:pPr>
      <w:r>
        <w:rPr>
          <w:color w:val="1A2E4A"/>
        </w:rPr>
        <w:t>5.</w:t>
        <w:tab/>
      </w:r>
      <w:r>
        <w:t>Restore the system image using the approved recovery environment.</w:t>
      </w:r>
    </w:p>
    <w:p>
      <w:pPr>
        <w:tabs>
          <w:tab w:pos="403" w:val="left"/>
        </w:tabs>
        <w:spacing w:after="40" w:line="276" w:lineRule="auto"/>
        <w:ind w:left="403" w:hanging="403"/>
        <w:jc w:val="left"/>
      </w:pPr>
      <w:r>
        <w:rPr>
          <w:color w:val="1A2E4A"/>
        </w:rPr>
        <w:t>6.</w:t>
        <w:tab/>
      </w:r>
      <w:r>
        <w:t>Confirm the boot configuration and Windows startup.</w:t>
      </w:r>
    </w:p>
    <w:p>
      <w:pPr>
        <w:tabs>
          <w:tab w:pos="403" w:val="left"/>
        </w:tabs>
        <w:spacing w:after="40" w:line="276" w:lineRule="auto"/>
        <w:ind w:left="403" w:hanging="403"/>
        <w:jc w:val="left"/>
      </w:pPr>
      <w:r>
        <w:rPr>
          <w:color w:val="1A2E4A"/>
        </w:rPr>
        <w:t>7.</w:t>
        <w:tab/>
      </w:r>
      <w:r>
        <w:t>Check drivers, application runtime, and license status.</w:t>
      </w:r>
    </w:p>
    <w:p>
      <w:pPr>
        <w:tabs>
          <w:tab w:pos="403" w:val="left"/>
        </w:tabs>
        <w:spacing w:after="40" w:line="276" w:lineRule="auto"/>
        <w:ind w:left="403" w:hanging="403"/>
        <w:jc w:val="left"/>
      </w:pPr>
      <w:r>
        <w:rPr>
          <w:color w:val="1A2E4A"/>
        </w:rPr>
        <w:t>8.</w:t>
        <w:tab/>
      </w:r>
      <w:r>
        <w:t>Verify the HMI project and PLC communication.</w:t>
      </w:r>
    </w:p>
    <w:p>
      <w:pPr>
        <w:tabs>
          <w:tab w:pos="403" w:val="left"/>
        </w:tabs>
        <w:spacing w:after="40" w:line="276" w:lineRule="auto"/>
        <w:ind w:left="403" w:hanging="403"/>
        <w:jc w:val="left"/>
      </w:pPr>
      <w:r>
        <w:rPr>
          <w:color w:val="1A2E4A"/>
        </w:rPr>
        <w:t>9.</w:t>
        <w:tab/>
      </w:r>
      <w:r>
        <w:t>Confirm alarms and required production-data logging.</w:t>
      </w:r>
    </w:p>
    <w:p>
      <w:pPr>
        <w:tabs>
          <w:tab w:pos="403" w:val="left"/>
        </w:tabs>
        <w:spacing w:after="40" w:line="276" w:lineRule="auto"/>
        <w:ind w:left="403" w:hanging="403"/>
        <w:jc w:val="left"/>
      </w:pPr>
      <w:r>
        <w:rPr>
          <w:color w:val="1A2E4A"/>
        </w:rPr>
        <w:t>10.</w:t>
        <w:tab/>
      </w:r>
      <w:r>
        <w:t>Record the replaced SSD's part number and serial number, where applicable, and document the test results.</w:t>
      </w:r>
    </w:p>
    <w:p>
      <w:r>
        <w:t>Possible complication: Windows boots successfully, but the HMI cannot communicate with the PLC.</w:t>
      </w:r>
    </w:p>
    <w:p>
      <w:r>
        <w:t>Follow-up investigation: Check whether the restored system has the correct network adapter driver, IP configuration, communication driver, and interface binding. Verify the actual PLC communication path rather than assuming the SSD replacement is the only possible issue.</w:t>
      </w:r>
    </w:p>
    <w:p>
      <w:r>
        <w:t>Acceptance condition: The IPC is returned to service only after the approved system and industrial-function tests pass.</w:t>
      </w:r>
    </w:p>
    <w:p>
      <w:pPr>
        <w:pStyle w:val="Heading2"/>
      </w:pPr>
      <w:r>
        <w:t>18. Practical Case Study: Ethernet Adapter Replacement</w:t>
      </w:r>
    </w:p>
    <w:p>
      <w:r>
        <w:t>Situation: An IPC has an intermittent network fault. Testing confirms that the adapter is defective.</w:t>
      </w:r>
    </w:p>
    <w:p>
      <w:r>
        <w:t>Before replacement:</w:t>
      </w:r>
    </w:p>
    <w:p>
      <w:pPr>
        <w:pStyle w:val="ListBullet"/>
      </w:pPr>
      <w:r>
        <w:t>Record the existing MAC address and network configuration.</w:t>
      </w:r>
    </w:p>
    <w:p>
      <w:pPr>
        <w:pStyle w:val="ListBullet"/>
      </w:pPr>
      <w:r>
        <w:t>Confirm the intended adapter type and supported driver.</w:t>
      </w:r>
    </w:p>
    <w:p>
      <w:pPr>
        <w:pStyle w:val="ListBullet"/>
      </w:pPr>
      <w:r>
        <w:t>Check whether network access controls or license services depend on the adapter identity.</w:t>
      </w:r>
    </w:p>
    <w:p>
      <w:pPr>
        <w:pStyle w:val="ListBullet"/>
      </w:pPr>
      <w:r>
        <w:t>Verify whether the application uses a specific interface.</w:t>
      </w:r>
    </w:p>
    <w:p>
      <w:r>
        <w:t>After replacement:</w:t>
      </w:r>
    </w:p>
    <w:p>
      <w:pPr>
        <w:tabs>
          <w:tab w:pos="403" w:val="left"/>
        </w:tabs>
        <w:spacing w:after="40" w:line="276" w:lineRule="auto"/>
        <w:ind w:left="403" w:hanging="403"/>
        <w:jc w:val="left"/>
      </w:pPr>
      <w:r>
        <w:rPr>
          <w:color w:val="1A2E4A"/>
        </w:rPr>
        <w:t>1.</w:t>
        <w:tab/>
      </w:r>
      <w:r>
        <w:t>Install the approved adapter.</w:t>
      </w:r>
    </w:p>
    <w:p>
      <w:pPr>
        <w:tabs>
          <w:tab w:pos="403" w:val="left"/>
        </w:tabs>
        <w:spacing w:after="40" w:line="276" w:lineRule="auto"/>
        <w:ind w:left="403" w:hanging="403"/>
        <w:jc w:val="left"/>
      </w:pPr>
      <w:r>
        <w:rPr>
          <w:color w:val="1A2E4A"/>
        </w:rPr>
        <w:t>2.</w:t>
        <w:tab/>
      </w:r>
      <w:r>
        <w:t>Install its supported driver.</w:t>
      </w:r>
    </w:p>
    <w:p>
      <w:pPr>
        <w:tabs>
          <w:tab w:pos="403" w:val="left"/>
        </w:tabs>
        <w:spacing w:after="40" w:line="276" w:lineRule="auto"/>
        <w:ind w:left="403" w:hanging="403"/>
        <w:jc w:val="left"/>
      </w:pPr>
      <w:r>
        <w:rPr>
          <w:color w:val="1A2E4A"/>
        </w:rPr>
        <w:t>3.</w:t>
        <w:tab/>
      </w:r>
      <w:r>
        <w:t>Apply the approved IP and network configuration.</w:t>
      </w:r>
    </w:p>
    <w:p>
      <w:pPr>
        <w:tabs>
          <w:tab w:pos="403" w:val="left"/>
        </w:tabs>
        <w:spacing w:after="40" w:line="276" w:lineRule="auto"/>
        <w:ind w:left="403" w:hanging="403"/>
        <w:jc w:val="left"/>
      </w:pPr>
      <w:r>
        <w:rPr>
          <w:color w:val="1A2E4A"/>
        </w:rPr>
        <w:t>4.</w:t>
        <w:tab/>
      </w:r>
      <w:r>
        <w:t>Confirm VLAN and switch-port requirements with the network team.</w:t>
      </w:r>
    </w:p>
    <w:p>
      <w:pPr>
        <w:tabs>
          <w:tab w:pos="403" w:val="left"/>
        </w:tabs>
        <w:spacing w:after="40" w:line="276" w:lineRule="auto"/>
        <w:ind w:left="403" w:hanging="403"/>
        <w:jc w:val="left"/>
      </w:pPr>
      <w:r>
        <w:rPr>
          <w:color w:val="1A2E4A"/>
        </w:rPr>
        <w:t>5.</w:t>
        <w:tab/>
      </w:r>
      <w:r>
        <w:t>Check routing and connectivity.</w:t>
      </w:r>
    </w:p>
    <w:p>
      <w:pPr>
        <w:tabs>
          <w:tab w:pos="403" w:val="left"/>
        </w:tabs>
        <w:spacing w:after="40" w:line="276" w:lineRule="auto"/>
        <w:ind w:left="403" w:hanging="403"/>
        <w:jc w:val="left"/>
      </w:pPr>
      <w:r>
        <w:rPr>
          <w:color w:val="1A2E4A"/>
        </w:rPr>
        <w:t>6.</w:t>
        <w:tab/>
      </w:r>
      <w:r>
        <w:t>Verify communication with the intended PLC or server.</w:t>
      </w:r>
    </w:p>
    <w:p>
      <w:pPr>
        <w:tabs>
          <w:tab w:pos="403" w:val="left"/>
        </w:tabs>
        <w:spacing w:after="40" w:line="276" w:lineRule="auto"/>
        <w:ind w:left="403" w:hanging="403"/>
        <w:jc w:val="left"/>
      </w:pPr>
      <w:r>
        <w:rPr>
          <w:color w:val="1A2E4A"/>
        </w:rPr>
        <w:t>7.</w:t>
        <w:tab/>
      </w:r>
      <w:r>
        <w:t>Test the application-level protocol and current data.</w:t>
      </w:r>
    </w:p>
    <w:p>
      <w:pPr>
        <w:tabs>
          <w:tab w:pos="403" w:val="left"/>
        </w:tabs>
        <w:spacing w:after="40" w:line="276" w:lineRule="auto"/>
        <w:ind w:left="403" w:hanging="403"/>
        <w:jc w:val="left"/>
      </w:pPr>
      <w:r>
        <w:rPr>
          <w:color w:val="1A2E4A"/>
        </w:rPr>
        <w:t>8.</w:t>
        <w:tab/>
      </w:r>
      <w:r>
        <w:t>Update hardware and maintenance records.</w:t>
      </w:r>
    </w:p>
    <w:p>
      <w:r>
        <w:t>Important: A successful ping is not enough to validate an industrial adapter replacement. Confirm the required application and protocol functions as well.</w:t>
      </w:r>
    </w:p>
    <w:p>
      <w:pPr>
        <w:pStyle w:val="Heading2"/>
      </w:pPr>
      <w:r>
        <w:t>19. Hardware Replacement Checklist</w:t>
      </w:r>
    </w:p>
    <w:p>
      <w:pPr>
        <w:pStyle w:val="Heading3"/>
      </w:pPr>
      <w:r>
        <w:t>Before replacement</w:t>
      </w:r>
    </w:p>
    <w:p>
      <w:pPr>
        <w:pStyle w:val="ListBullet"/>
      </w:pPr>
      <w:r>
        <w:t>Fault confirmed and replacement justified.</w:t>
      </w:r>
    </w:p>
    <w:p>
      <w:pPr>
        <w:pStyle w:val="ListBullet"/>
      </w:pPr>
      <w:r>
        <w:t>Correct machine and IPC identified.</w:t>
      </w:r>
    </w:p>
    <w:p>
      <w:pPr>
        <w:pStyle w:val="ListBullet"/>
      </w:pPr>
      <w:r>
        <w:t>Replacement part compatibility verified.</w:t>
      </w:r>
    </w:p>
    <w:p>
      <w:pPr>
        <w:pStyle w:val="ListBullet"/>
      </w:pPr>
      <w:r>
        <w:t>Authorization and maintenance window confirmed.</w:t>
      </w:r>
    </w:p>
    <w:p>
      <w:pPr>
        <w:pStyle w:val="ListBullet"/>
      </w:pPr>
      <w:r>
        <w:t>Required shutdown and isolation procedure identified.</w:t>
      </w:r>
    </w:p>
    <w:p>
      <w:pPr>
        <w:pStyle w:val="ListBullet"/>
      </w:pPr>
      <w:r>
        <w:t>Image backup and configuration records verified.</w:t>
      </w:r>
    </w:p>
    <w:p>
      <w:pPr>
        <w:pStyle w:val="ListBullet"/>
      </w:pPr>
      <w:r>
        <w:t>License recovery requirements documented.</w:t>
      </w:r>
    </w:p>
    <w:p>
      <w:pPr>
        <w:pStyle w:val="ListBullet"/>
      </w:pPr>
      <w:r>
        <w:t>Drivers, tools, and required configuration available.</w:t>
      </w:r>
    </w:p>
    <w:p>
      <w:pPr>
        <w:pStyle w:val="ListBullet"/>
      </w:pPr>
      <w:r>
        <w:t>Validation and rollback plans prepared.</w:t>
      </w:r>
    </w:p>
    <w:p>
      <w:pPr>
        <w:pStyle w:val="Heading3"/>
      </w:pPr>
      <w:r>
        <w:t>During replacement</w:t>
      </w:r>
    </w:p>
    <w:p>
      <w:pPr>
        <w:pStyle w:val="ListBullet"/>
      </w:pPr>
      <w:r>
        <w:t>Correct component identified before removal.</w:t>
      </w:r>
    </w:p>
    <w:p>
      <w:pPr>
        <w:pStyle w:val="ListBullet"/>
      </w:pPr>
      <w:r>
        <w:t>Required electrical isolation and ESD precautions followed.</w:t>
      </w:r>
    </w:p>
    <w:p>
      <w:pPr>
        <w:pStyle w:val="ListBullet"/>
      </w:pPr>
      <w:r>
        <w:t>Cables and connectors labeled where needed.</w:t>
      </w:r>
    </w:p>
    <w:p>
      <w:pPr>
        <w:pStyle w:val="ListBullet"/>
      </w:pPr>
      <w:r>
        <w:t>Original configuration recorded.</w:t>
      </w:r>
    </w:p>
    <w:p>
      <w:pPr>
        <w:pStyle w:val="ListBullet"/>
      </w:pPr>
      <w:r>
        <w:t>Approved replacement installed correctly.</w:t>
      </w:r>
    </w:p>
    <w:p>
      <w:pPr>
        <w:pStyle w:val="ListBullet"/>
      </w:pPr>
      <w:r>
        <w:t>Connectors, mounting, grounding, and cooling checked.</w:t>
      </w:r>
    </w:p>
    <w:p>
      <w:pPr>
        <w:pStyle w:val="ListBullet"/>
      </w:pPr>
      <w:r>
        <w:t>Enclosure inspected before re-energization.</w:t>
      </w:r>
    </w:p>
    <w:p>
      <w:pPr>
        <w:pStyle w:val="Heading3"/>
      </w:pPr>
      <w:r>
        <w:t>After replacement</w:t>
      </w:r>
    </w:p>
    <w:p>
      <w:pPr>
        <w:pStyle w:val="ListBullet"/>
      </w:pPr>
      <w:r>
        <w:t>Hardware recognized correctly.</w:t>
      </w:r>
    </w:p>
    <w:p>
      <w:pPr>
        <w:pStyle w:val="ListBullet"/>
      </w:pPr>
      <w:r>
        <w:t>Firmware and boot configuration verified.</w:t>
      </w:r>
    </w:p>
    <w:p>
      <w:pPr>
        <w:pStyle w:val="ListBullet"/>
      </w:pPr>
      <w:r>
        <w:t>OS and drivers functioning.</w:t>
      </w:r>
    </w:p>
    <w:p>
      <w:pPr>
        <w:pStyle w:val="ListBullet"/>
      </w:pPr>
      <w:r>
        <w:t>Application and licensing validated.</w:t>
      </w:r>
    </w:p>
    <w:p>
      <w:pPr>
        <w:pStyle w:val="ListBullet"/>
      </w:pPr>
      <w:r>
        <w:t>Network and communication settings verified.</w:t>
      </w:r>
    </w:p>
    <w:p>
      <w:pPr>
        <w:pStyle w:val="ListBullet"/>
      </w:pPr>
      <w:r>
        <w:t>PLC/CNC or other required interfaces tested.</w:t>
      </w:r>
    </w:p>
    <w:p>
      <w:pPr>
        <w:pStyle w:val="ListBullet"/>
      </w:pPr>
      <w:r>
        <w:t>Data logging and alarms checked.</w:t>
      </w:r>
    </w:p>
    <w:p>
      <w:pPr>
        <w:pStyle w:val="ListBullet"/>
      </w:pPr>
      <w:r>
        <w:t>Safety-related requirements and operational tests completed.</w:t>
      </w:r>
    </w:p>
    <w:p>
      <w:pPr>
        <w:pStyle w:val="ListBullet"/>
      </w:pPr>
      <w:r>
        <w:t>Asset and maintenance records updated.</w:t>
      </w:r>
    </w:p>
    <w:p>
      <w:pPr>
        <w:pStyle w:val="ListBullet"/>
      </w:pPr>
      <w:r>
        <w:t>Return-to-service approval obtained.</w:t>
      </w:r>
    </w:p>
    <w:p>
      <w:pPr>
        <w:pStyle w:val="Heading2"/>
      </w:pPr>
      <w:r>
        <w:t>20. Hardware Replacement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or incident reference</w:t>
            </w:r>
          </w:p>
        </w:tc>
      </w:tr>
      <w:tr>
        <w:tc>
          <w:tcPr>
            <w:tcW w:type="dxa" w:w="5400"/>
          </w:tcPr>
          <w:p>
            <w:pPr>
              <w:spacing w:after="0" w:before="0" w:line="240" w:lineRule="auto"/>
              <w:jc w:val="left"/>
            </w:pPr>
            <w:r>
              <w:t>Machine ID</w:t>
            </w:r>
          </w:p>
        </w:tc>
        <w:tc>
          <w:tcPr>
            <w:tcW w:type="dxa" w:w="5400"/>
          </w:tcPr>
          <w:p>
            <w:pPr>
              <w:spacing w:after="0" w:before="0" w:line="240" w:lineRule="auto"/>
              <w:jc w:val="left"/>
            </w:pPr>
            <w:r>
              <w:t>Production line or equipment identifier</w:t>
            </w:r>
          </w:p>
        </w:tc>
      </w:tr>
      <w:tr>
        <w:tc>
          <w:tcPr>
            <w:tcW w:type="dxa" w:w="5400"/>
          </w:tcPr>
          <w:p>
            <w:pPr>
              <w:spacing w:after="0" w:before="0" w:line="240" w:lineRule="auto"/>
              <w:jc w:val="left"/>
            </w:pPr>
            <w:r>
              <w:t>IPC asset ID</w:t>
            </w:r>
          </w:p>
        </w:tc>
        <w:tc>
          <w:tcPr>
            <w:tcW w:type="dxa" w:w="5400"/>
          </w:tcPr>
          <w:p>
            <w:pPr>
              <w:spacing w:after="0" w:before="0" w:line="240" w:lineRule="auto"/>
              <w:jc w:val="left"/>
            </w:pPr>
            <w:r>
              <w:t>Computer identification</w:t>
            </w:r>
          </w:p>
        </w:tc>
      </w:tr>
      <w:tr>
        <w:tc>
          <w:tcPr>
            <w:tcW w:type="dxa" w:w="5400"/>
          </w:tcPr>
          <w:p>
            <w:pPr>
              <w:spacing w:after="0" w:before="0" w:line="240" w:lineRule="auto"/>
              <w:jc w:val="left"/>
            </w:pPr>
            <w:r>
              <w:t>Failed component</w:t>
            </w:r>
          </w:p>
        </w:tc>
        <w:tc>
          <w:tcPr>
            <w:tcW w:type="dxa" w:w="5400"/>
          </w:tcPr>
          <w:p>
            <w:pPr>
              <w:spacing w:after="0" w:before="0" w:line="240" w:lineRule="auto"/>
              <w:jc w:val="left"/>
            </w:pPr>
            <w:r>
              <w:t>Original hardware type and part number</w:t>
            </w:r>
          </w:p>
        </w:tc>
      </w:tr>
      <w:tr>
        <w:tc>
          <w:tcPr>
            <w:tcW w:type="dxa" w:w="5400"/>
          </w:tcPr>
          <w:p>
            <w:pPr>
              <w:spacing w:after="0" w:before="0" w:line="240" w:lineRule="auto"/>
              <w:jc w:val="left"/>
            </w:pPr>
            <w:r>
              <w:t>Failure evidence</w:t>
            </w:r>
          </w:p>
        </w:tc>
        <w:tc>
          <w:tcPr>
            <w:tcW w:type="dxa" w:w="5400"/>
          </w:tcPr>
          <w:p>
            <w:pPr>
              <w:spacing w:after="0" w:before="0" w:line="240" w:lineRule="auto"/>
              <w:jc w:val="left"/>
            </w:pPr>
            <w:r>
              <w:t>Diagnostics, alarms, and observed symptoms</w:t>
            </w:r>
          </w:p>
        </w:tc>
      </w:tr>
      <w:tr>
        <w:tc>
          <w:tcPr>
            <w:tcW w:type="dxa" w:w="5400"/>
          </w:tcPr>
          <w:p>
            <w:pPr>
              <w:spacing w:after="0" w:before="0" w:line="240" w:lineRule="auto"/>
              <w:jc w:val="left"/>
            </w:pPr>
            <w:r>
              <w:t>Replacement component</w:t>
            </w:r>
          </w:p>
        </w:tc>
        <w:tc>
          <w:tcPr>
            <w:tcW w:type="dxa" w:w="5400"/>
          </w:tcPr>
          <w:p>
            <w:pPr>
              <w:spacing w:after="0" w:before="0" w:line="240" w:lineRule="auto"/>
              <w:jc w:val="left"/>
            </w:pPr>
            <w:r>
              <w:t>New part number and model</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Original and replacement identifiers where applicable</w:t>
            </w:r>
          </w:p>
        </w:tc>
      </w:tr>
      <w:tr>
        <w:tc>
          <w:tcPr>
            <w:tcW w:type="dxa" w:w="5400"/>
          </w:tcPr>
          <w:p>
            <w:pPr>
              <w:spacing w:after="0" w:before="0" w:line="240" w:lineRule="auto"/>
              <w:jc w:val="left"/>
            </w:pPr>
            <w:r>
              <w:t>Compatibility check</w:t>
            </w:r>
          </w:p>
        </w:tc>
        <w:tc>
          <w:tcPr>
            <w:tcW w:type="dxa" w:w="5400"/>
          </w:tcPr>
          <w:p>
            <w:pPr>
              <w:spacing w:after="0" w:before="0" w:line="240" w:lineRule="auto"/>
              <w:jc w:val="left"/>
            </w:pPr>
            <w:r>
              <w:t>Electrical, mechanical, functional, and OS compatibility</w:t>
            </w:r>
          </w:p>
        </w:tc>
      </w:tr>
      <w:tr>
        <w:tc>
          <w:tcPr>
            <w:tcW w:type="dxa" w:w="5400"/>
          </w:tcPr>
          <w:p>
            <w:pPr>
              <w:spacing w:after="0" w:before="0" w:line="240" w:lineRule="auto"/>
              <w:jc w:val="left"/>
            </w:pPr>
            <w:r>
              <w:t>Software impact</w:t>
            </w:r>
          </w:p>
        </w:tc>
        <w:tc>
          <w:tcPr>
            <w:tcW w:type="dxa" w:w="5400"/>
          </w:tcPr>
          <w:p>
            <w:pPr>
              <w:spacing w:after="0" w:before="0" w:line="240" w:lineRule="auto"/>
              <w:jc w:val="left"/>
            </w:pPr>
            <w:r>
              <w:t>Driver, firmware, license, or configuration changes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Relevant image or data backup identifier</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Date and time of replacement</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Results of the approved test procedure</w:t>
            </w:r>
          </w:p>
        </w:tc>
      </w:tr>
      <w:tr>
        <w:tc>
          <w:tcPr>
            <w:tcW w:type="dxa" w:w="5400"/>
          </w:tcPr>
          <w:p>
            <w:pPr>
              <w:spacing w:after="0" w:before="0" w:line="240" w:lineRule="auto"/>
              <w:jc w:val="left"/>
            </w:pPr>
            <w:r>
              <w:t>Downtime</w:t>
            </w:r>
          </w:p>
        </w:tc>
        <w:tc>
          <w:tcPr>
            <w:tcW w:type="dxa" w:w="5400"/>
          </w:tcPr>
          <w:p>
            <w:pPr>
              <w:spacing w:after="0" w:before="0" w:line="240" w:lineRule="auto"/>
              <w:jc w:val="left"/>
            </w:pPr>
            <w:r>
              <w:t>Recorded interruption duration</w:t>
            </w:r>
          </w:p>
        </w:tc>
      </w:tr>
      <w:tr>
        <w:tc>
          <w:tcPr>
            <w:tcW w:type="dxa" w:w="5400"/>
          </w:tcPr>
          <w:p>
            <w:pPr>
              <w:spacing w:after="0" w:before="0" w:line="240" w:lineRule="auto"/>
              <w:jc w:val="left"/>
            </w:pPr>
            <w:r>
              <w:t>Technician/team</w:t>
            </w:r>
          </w:p>
        </w:tc>
        <w:tc>
          <w:tcPr>
            <w:tcW w:type="dxa" w:w="5400"/>
          </w:tcPr>
          <w:p>
            <w:pPr>
              <w:spacing w:after="0" w:before="0" w:line="240" w:lineRule="auto"/>
              <w:jc w:val="left"/>
            </w:pPr>
            <w:r>
              <w:t>Responsible personnel</w:t>
            </w:r>
          </w:p>
        </w:tc>
      </w:tr>
      <w:tr>
        <w:tc>
          <w:tcPr>
            <w:tcW w:type="dxa" w:w="5400"/>
          </w:tcPr>
          <w:p>
            <w:pPr>
              <w:spacing w:after="0" w:before="0" w:line="240" w:lineRule="auto"/>
              <w:jc w:val="left"/>
            </w:pPr>
            <w:r>
              <w:t>Approval</w:t>
            </w:r>
          </w:p>
        </w:tc>
        <w:tc>
          <w:tcPr>
            <w:tcW w:type="dxa" w:w="5400"/>
          </w:tcPr>
          <w:p>
            <w:pPr>
              <w:spacing w:after="0" w:before="0" w:line="240" w:lineRule="auto"/>
              <w:jc w:val="left"/>
            </w:pPr>
            <w:r>
              <w:t>Return-to-service authorization</w:t>
            </w:r>
          </w:p>
        </w:tc>
      </w:tr>
      <w:tr>
        <w:tc>
          <w:tcPr>
            <w:tcW w:type="dxa" w:w="5400"/>
          </w:tcPr>
          <w:p>
            <w:pPr>
              <w:spacing w:after="0" w:before="0" w:line="240" w:lineRule="auto"/>
              <w:jc w:val="left"/>
            </w:pPr>
            <w:r>
              <w:t>Follow-up</w:t>
            </w:r>
          </w:p>
        </w:tc>
        <w:tc>
          <w:tcPr>
            <w:tcW w:type="dxa" w:w="5400"/>
          </w:tcPr>
          <w:p>
            <w:pPr>
              <w:spacing w:after="0" w:before="0" w:line="240" w:lineRule="auto"/>
              <w:jc w:val="left"/>
            </w:pPr>
            <w:r>
              <w:t>Outstanding actions or monitoring requirements</w:t>
            </w:r>
          </w:p>
        </w:tc>
      </w:tr>
    </w:tbl>
    <w:p/>
    <w:p>
      <w:pPr>
        <w:pStyle w:val="Heading2"/>
      </w:pPr>
      <w:r>
        <w:t>21. Interview Questions and Answers</w:t>
      </w:r>
    </w:p>
    <w:p>
      <w:r>
        <w:t>1\. What is hardware replacement?</w:t>
      </w:r>
    </w:p>
    <w:p>
      <w:r>
        <w:t>The controlled replacement of a failed, degraded, obsolete, or unsuitable component with a compatible part while preserving the required system functionality.</w:t>
      </w:r>
    </w:p>
    <w:p>
      <w:r>
        <w:t>2\. Why is physical compatibility insufficient?</w:t>
      </w:r>
    </w:p>
    <w:p>
      <w:r>
        <w:t>The component must also meet electrical, functional, firmware, operating-system, driver, and environmental requirements.</w:t>
      </w:r>
    </w:p>
    <w:p>
      <w:r>
        <w:t>3\. What should be done before replacing an IPC SSD?</w:t>
      </w:r>
    </w:p>
    <w:p>
      <w:r>
        <w:t>Verify the failure, identify a compatible drive, back up required data and configuration, confirm image availability, and document boot and licensing requirements.</w:t>
      </w:r>
    </w:p>
    <w:p>
      <w:r>
        <w:t>4\. Why can replacing an Ethernet adapter affect industrial communication?</w:t>
      </w:r>
    </w:p>
    <w:p>
      <w:r>
        <w:t>The replacement can change the MAC address, driver, interface mapping, IP configuration, or application binding.</w:t>
      </w:r>
    </w:p>
    <w:p>
      <w:r>
        <w:t>5\. Why might a restored image fail on a different IPC model?</w:t>
      </w:r>
    </w:p>
    <w:p>
      <w:r>
        <w:t>The replacement may have different hardware, firmware, drivers, interfaces, or licensing requirements.</w:t>
      </w:r>
    </w:p>
    <w:p>
      <w:r>
        <w:t>6\. What should be checked after RAM replacement?</w:t>
      </w:r>
    </w:p>
    <w:p>
      <w:r>
        <w:t>Memory recognition and capacity, approved diagnostics, operating-system stability, application operation, and relevant event logs.</w:t>
      </w:r>
    </w:p>
    <w:p>
      <w:r>
        <w:t>7\. Why should hardware and software versions be documented?</w:t>
      </w:r>
    </w:p>
    <w:p>
      <w:r>
        <w:t>The information supports compatibility checks, troubleshooting, recovery, warranty claims, and future replacement planning.</w:t>
      </w:r>
    </w:p>
    <w:p>
      <w:r>
        <w:t>8\. When is a complete IPC replacement preferable to component repair?</w:t>
      </w:r>
    </w:p>
    <w:p>
      <w:r>
        <w:t>When the IPC has a major hardware failure, is obsolete, cannot support required software, or is more practical to replace under the approved lifecycle strategy.</w:t>
      </w:r>
    </w:p>
    <w:p>
      <w:r>
        <w:t>9\. Why should the original component be retained temporarily?</w:t>
      </w:r>
    </w:p>
    <w:p>
      <w:r>
        <w:t>It may be needed for diagnostic confirmation, data recovery, warranty processing, or controlled rollback, subject to safety and contamination requirements.</w:t>
      </w:r>
    </w:p>
    <w:p>
      <w:r>
        <w:t>10\. What is the final acceptance criterion for a replacement?</w:t>
      </w:r>
    </w:p>
    <w:p>
      <w:r>
        <w:t>The component is correctly installed, supported, configured, and validated against the approved functional and safety requirements, with records updated and return-to-service authorization obtained.</w:t>
      </w:r>
    </w:p>
    <w:p>
      <w:pPr>
        <w:pStyle w:val="Heading2"/>
      </w:pPr>
      <w:r>
        <w:t>22. Key Maintenance Principles</w:t>
      </w:r>
    </w:p>
    <w:p>
      <w:pPr>
        <w:pStyle w:val="ListBullet"/>
      </w:pPr>
      <w:r>
        <w:t>Identify the actual failed component before ordering a replacement.</w:t>
      </w:r>
    </w:p>
    <w:p>
      <w:pPr>
        <w:pStyle w:val="ListBullet"/>
      </w:pPr>
      <w:r>
        <w:t>Verify mechanical, electrical, functional, environmental, and software compatibility.</w:t>
      </w:r>
    </w:p>
    <w:p>
      <w:pPr>
        <w:pStyle w:val="ListBullet"/>
      </w:pPr>
      <w:r>
        <w:t>Preserve configuration and data before destructive changes.</w:t>
      </w:r>
    </w:p>
    <w:p>
      <w:pPr>
        <w:pStyle w:val="ListBullet"/>
      </w:pPr>
      <w:r>
        <w:t>Follow approved isolation, ESD, and installation procedures.</w:t>
      </w:r>
    </w:p>
    <w:p>
      <w:pPr>
        <w:pStyle w:val="ListBullet"/>
      </w:pPr>
      <w:r>
        <w:t>Assess effects on drivers, licenses, interfaces, and network identity.</w:t>
      </w:r>
    </w:p>
    <w:p>
      <w:pPr>
        <w:pStyle w:val="ListBullet"/>
      </w:pPr>
      <w:r>
        <w:t>Validate the industrial function, not merely hardware detection or Windows startup.</w:t>
      </w:r>
    </w:p>
    <w:p>
      <w:pPr>
        <w:pStyle w:val="ListBullet"/>
      </w:pPr>
      <w:r>
        <w:t>Update the asset register, replacement history, and recovery documentation.</w:t>
      </w:r>
    </w:p>
    <w:p>
      <w:pPr>
        <w:pStyle w:val="ListBullet"/>
      </w:pPr>
      <w:r>
        <w:t>Obtain the required operational approval before returning equipment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02_PLAN_WISE_2026\02_INDUSTRY3_0\27_Network_Maint\01_Managed_Switch - Managed-switch diagnostics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Replacement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